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83FB8" w14:textId="77777777" w:rsidR="00524E17" w:rsidRPr="005A2C80" w:rsidRDefault="00524E17" w:rsidP="00524E17">
      <w:pPr>
        <w:rPr>
          <w:b/>
        </w:rPr>
      </w:pPr>
    </w:p>
    <w:p w14:paraId="01314B0B" w14:textId="77777777" w:rsidR="00524E17" w:rsidRPr="005A2C80" w:rsidRDefault="00524E17" w:rsidP="00524E17"/>
    <w:p w14:paraId="5B188643" w14:textId="77777777" w:rsidR="00524E17" w:rsidRPr="005A2C80" w:rsidRDefault="00524E17" w:rsidP="00524E17"/>
    <w:p w14:paraId="56E3AB0E" w14:textId="7667736F" w:rsidR="00524E17" w:rsidRPr="00846E6B" w:rsidRDefault="00524E17" w:rsidP="00524E17">
      <w:pPr>
        <w:spacing w:before="100" w:beforeAutospacing="1" w:after="100" w:afterAutospacing="1"/>
        <w:jc w:val="center"/>
      </w:pPr>
      <w:r w:rsidRPr="00800C52">
        <w:rPr>
          <w:noProof/>
        </w:rPr>
        <w:drawing>
          <wp:inline distT="0" distB="0" distL="0" distR="0" wp14:anchorId="122FF936" wp14:editId="19FF17A4">
            <wp:extent cx="2571750" cy="2686050"/>
            <wp:effectExtent l="0" t="0" r="0" b="0"/>
            <wp:docPr id="205762118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1750" cy="2686050"/>
                    </a:xfrm>
                    <a:prstGeom prst="rect">
                      <a:avLst/>
                    </a:prstGeom>
                    <a:noFill/>
                    <a:ln>
                      <a:noFill/>
                    </a:ln>
                  </pic:spPr>
                </pic:pic>
              </a:graphicData>
            </a:graphic>
          </wp:inline>
        </w:drawing>
      </w:r>
    </w:p>
    <w:p w14:paraId="772620E8" w14:textId="77777777" w:rsidR="00524E17" w:rsidRDefault="00524E17" w:rsidP="00524E17">
      <w:pPr>
        <w:rPr>
          <w:b/>
        </w:rPr>
      </w:pPr>
    </w:p>
    <w:p w14:paraId="0CC968E8" w14:textId="77777777" w:rsidR="00524E17" w:rsidRPr="005A2C80" w:rsidRDefault="00524E17" w:rsidP="00524E17">
      <w:pPr>
        <w:rPr>
          <w:b/>
        </w:rPr>
      </w:pPr>
    </w:p>
    <w:p w14:paraId="25CA533E" w14:textId="77777777" w:rsidR="00524E17" w:rsidRPr="005A2C80" w:rsidRDefault="00524E17" w:rsidP="00524E17">
      <w:pPr>
        <w:rPr>
          <w:b/>
        </w:rPr>
      </w:pPr>
    </w:p>
    <w:p w14:paraId="5DE82586" w14:textId="77777777" w:rsidR="00524E17" w:rsidRPr="005A2C80" w:rsidRDefault="00524E17" w:rsidP="00524E17">
      <w:pPr>
        <w:rPr>
          <w:b/>
        </w:rPr>
      </w:pPr>
    </w:p>
    <w:p w14:paraId="2DF461C5" w14:textId="77777777" w:rsidR="00524E17" w:rsidRPr="005A2C80" w:rsidRDefault="00524E17" w:rsidP="00524E17"/>
    <w:p w14:paraId="13577F1D" w14:textId="77777777" w:rsidR="00524E17" w:rsidRPr="005A2C80" w:rsidRDefault="00524E17" w:rsidP="00524E17">
      <w:pPr>
        <w:keepNext/>
        <w:numPr>
          <w:ilvl w:val="1"/>
          <w:numId w:val="1"/>
        </w:numPr>
        <w:jc w:val="center"/>
        <w:outlineLvl w:val="1"/>
        <w:rPr>
          <w:b/>
          <w:sz w:val="32"/>
        </w:rPr>
      </w:pPr>
      <w:r w:rsidRPr="005A2C80">
        <w:rPr>
          <w:rFonts w:ascii="Bookman Old Style" w:hAnsi="Bookman Old Style" w:cs="Bookman Old Style"/>
          <w:b/>
          <w:i/>
          <w:sz w:val="72"/>
        </w:rPr>
        <w:t>SLUŽBENE NOVINE</w:t>
      </w:r>
    </w:p>
    <w:p w14:paraId="1EB42606" w14:textId="77777777" w:rsidR="00524E17" w:rsidRPr="005A2C80" w:rsidRDefault="00524E17" w:rsidP="00524E17">
      <w:pPr>
        <w:keepNext/>
        <w:numPr>
          <w:ilvl w:val="1"/>
          <w:numId w:val="1"/>
        </w:numPr>
        <w:jc w:val="center"/>
        <w:outlineLvl w:val="1"/>
        <w:rPr>
          <w:b/>
          <w:sz w:val="32"/>
        </w:rPr>
      </w:pPr>
      <w:r w:rsidRPr="005A2C80">
        <w:rPr>
          <w:rFonts w:ascii="Bookman Old Style" w:hAnsi="Bookman Old Style" w:cs="Bookman Old Style"/>
          <w:b/>
          <w:i/>
          <w:sz w:val="72"/>
        </w:rPr>
        <w:t>OPĆINE MARČANA</w:t>
      </w:r>
    </w:p>
    <w:p w14:paraId="00236749" w14:textId="77777777" w:rsidR="00524E17" w:rsidRPr="005A2C80" w:rsidRDefault="00524E17" w:rsidP="00524E17">
      <w:pPr>
        <w:rPr>
          <w:rFonts w:ascii="Bookman Old Style" w:hAnsi="Bookman Old Style" w:cs="Bookman Old Style"/>
          <w:i/>
          <w:sz w:val="36"/>
        </w:rPr>
      </w:pPr>
    </w:p>
    <w:p w14:paraId="693E0A59" w14:textId="77777777" w:rsidR="00524E17" w:rsidRPr="005A2C80" w:rsidRDefault="00524E17" w:rsidP="00524E17">
      <w:pPr>
        <w:rPr>
          <w:rFonts w:ascii="Bookman Old Style" w:hAnsi="Bookman Old Style" w:cs="Bookman Old Style"/>
          <w:i/>
          <w:sz w:val="36"/>
        </w:rPr>
      </w:pPr>
    </w:p>
    <w:p w14:paraId="0C1FE655" w14:textId="77777777" w:rsidR="00524E17" w:rsidRPr="005A2C80" w:rsidRDefault="00524E17" w:rsidP="00524E17">
      <w:pPr>
        <w:rPr>
          <w:sz w:val="36"/>
        </w:rPr>
      </w:pPr>
    </w:p>
    <w:p w14:paraId="3ED3FF41" w14:textId="77777777" w:rsidR="00524E17" w:rsidRPr="005A2C80" w:rsidRDefault="00524E17" w:rsidP="00524E17">
      <w:pPr>
        <w:rPr>
          <w:sz w:val="36"/>
        </w:rPr>
      </w:pPr>
    </w:p>
    <w:p w14:paraId="65F4392D" w14:textId="77777777" w:rsidR="00524E17" w:rsidRPr="005A2C80" w:rsidRDefault="00524E17" w:rsidP="00524E17">
      <w:pPr>
        <w:rPr>
          <w:sz w:val="36"/>
        </w:rPr>
      </w:pPr>
    </w:p>
    <w:p w14:paraId="65426802" w14:textId="15C04B03" w:rsidR="00524E17" w:rsidRPr="005A2C80" w:rsidRDefault="00524E17" w:rsidP="00524E17">
      <w:pPr>
        <w:keepNext/>
        <w:numPr>
          <w:ilvl w:val="2"/>
          <w:numId w:val="1"/>
        </w:numPr>
        <w:outlineLvl w:val="2"/>
        <w:rPr>
          <w:b/>
        </w:rPr>
      </w:pPr>
      <w:r w:rsidRPr="005A2C80">
        <w:rPr>
          <w:b/>
          <w:sz w:val="36"/>
        </w:rPr>
        <w:t xml:space="preserve">BROJ  </w:t>
      </w:r>
      <w:r w:rsidR="0054567E">
        <w:rPr>
          <w:b/>
          <w:sz w:val="36"/>
        </w:rPr>
        <w:t>8</w:t>
      </w:r>
      <w:r w:rsidRPr="005A2C80">
        <w:rPr>
          <w:b/>
          <w:sz w:val="36"/>
        </w:rPr>
        <w:t>/202</w:t>
      </w:r>
      <w:r w:rsidR="0066193D">
        <w:rPr>
          <w:b/>
          <w:sz w:val="36"/>
        </w:rPr>
        <w:t>6</w:t>
      </w:r>
      <w:r w:rsidRPr="005A2C80">
        <w:rPr>
          <w:b/>
          <w:sz w:val="36"/>
        </w:rPr>
        <w:t xml:space="preserve">                                  ISSN 1845-948X</w:t>
      </w:r>
    </w:p>
    <w:p w14:paraId="3F9D0DD0" w14:textId="7571C730" w:rsidR="00524E17" w:rsidRPr="005A2C80" w:rsidRDefault="00524E17" w:rsidP="00524E17">
      <w:pPr>
        <w:keepNext/>
        <w:numPr>
          <w:ilvl w:val="0"/>
          <w:numId w:val="1"/>
        </w:numPr>
        <w:jc w:val="both"/>
        <w:outlineLvl w:val="0"/>
        <w:rPr>
          <w:u w:val="single"/>
        </w:rPr>
      </w:pPr>
      <w:r w:rsidRPr="005A2C80">
        <w:rPr>
          <w:u w:val="single"/>
        </w:rPr>
        <w:t>GODINA XX</w:t>
      </w:r>
      <w:r>
        <w:rPr>
          <w:u w:val="single"/>
        </w:rPr>
        <w:t>VI</w:t>
      </w:r>
      <w:r w:rsidR="007B3E41">
        <w:rPr>
          <w:u w:val="single"/>
        </w:rPr>
        <w:t>II</w:t>
      </w:r>
    </w:p>
    <w:p w14:paraId="0727AC6C" w14:textId="77777777" w:rsidR="00524E17" w:rsidRPr="005A2C80" w:rsidRDefault="00524E17" w:rsidP="00524E17">
      <w:pPr>
        <w:pBdr>
          <w:top w:val="none" w:sz="0" w:space="0" w:color="000000"/>
          <w:left w:val="none" w:sz="0" w:space="0" w:color="000000"/>
          <w:bottom w:val="single" w:sz="12" w:space="1" w:color="000000"/>
          <w:right w:val="none" w:sz="0" w:space="0" w:color="000000"/>
        </w:pBdr>
      </w:pPr>
    </w:p>
    <w:p w14:paraId="180E6621" w14:textId="77777777" w:rsidR="00524E17" w:rsidRPr="005A2C80" w:rsidRDefault="00524E17" w:rsidP="00524E17"/>
    <w:p w14:paraId="7B70D0FC" w14:textId="3D8242D4" w:rsidR="00524E17" w:rsidRPr="005A2C80" w:rsidRDefault="00524E17" w:rsidP="00524E17">
      <w:r w:rsidRPr="005A2C80">
        <w:t xml:space="preserve">DATUM UMNOŽAVANJA:                                      </w:t>
      </w:r>
      <w:bookmarkStart w:id="0" w:name="_Hlk157760242"/>
      <w:r w:rsidR="0066193D">
        <w:t>Petak</w:t>
      </w:r>
      <w:r>
        <w:t xml:space="preserve">, </w:t>
      </w:r>
      <w:r w:rsidR="00353787">
        <w:t>2</w:t>
      </w:r>
      <w:r w:rsidR="0054567E">
        <w:t>9</w:t>
      </w:r>
      <w:r>
        <w:t xml:space="preserve">. </w:t>
      </w:r>
      <w:r w:rsidR="0054567E">
        <w:t>svibnja</w:t>
      </w:r>
      <w:r w:rsidRPr="005A2C80">
        <w:t xml:space="preserve"> </w:t>
      </w:r>
      <w:r>
        <w:t>202</w:t>
      </w:r>
      <w:r w:rsidR="0066193D">
        <w:t>6</w:t>
      </w:r>
      <w:r w:rsidRPr="005A2C80">
        <w:t>.</w:t>
      </w:r>
      <w:bookmarkEnd w:id="0"/>
    </w:p>
    <w:p w14:paraId="320E3AF3" w14:textId="77777777" w:rsidR="00524E17" w:rsidRPr="005A2C80" w:rsidRDefault="00524E17" w:rsidP="00524E17"/>
    <w:p w14:paraId="66F8493A" w14:textId="77777777" w:rsidR="00524E17" w:rsidRPr="005A2C80" w:rsidRDefault="00524E17" w:rsidP="00524E17">
      <w:r w:rsidRPr="005A2C80">
        <w:t>NAKLADA:                                                                 20 primjeraka</w:t>
      </w:r>
    </w:p>
    <w:p w14:paraId="5E1E24D0" w14:textId="77777777" w:rsidR="00524E17" w:rsidRPr="005A2C80" w:rsidRDefault="00524E17" w:rsidP="00524E17">
      <w:r w:rsidRPr="005A2C80">
        <w:t xml:space="preserve"> </w:t>
      </w:r>
    </w:p>
    <w:p w14:paraId="45772B3C" w14:textId="77777777" w:rsidR="00524E17" w:rsidRPr="005A2C80" w:rsidRDefault="00524E17" w:rsidP="00524E17">
      <w:pPr>
        <w:pBdr>
          <w:top w:val="none" w:sz="0" w:space="0" w:color="000000"/>
          <w:left w:val="none" w:sz="0" w:space="0" w:color="000000"/>
          <w:bottom w:val="single" w:sz="12" w:space="1" w:color="000000"/>
          <w:right w:val="none" w:sz="0" w:space="0" w:color="000000"/>
        </w:pBdr>
      </w:pPr>
    </w:p>
    <w:p w14:paraId="348CB444" w14:textId="77777777" w:rsidR="008F59DA" w:rsidRDefault="008F59DA"/>
    <w:p w14:paraId="623EA780" w14:textId="77777777" w:rsidR="0054567E" w:rsidRPr="0054567E" w:rsidRDefault="0054567E" w:rsidP="0054567E">
      <w:pPr>
        <w:ind w:firstLine="720"/>
        <w:jc w:val="both"/>
        <w:rPr>
          <w:szCs w:val="20"/>
        </w:rPr>
      </w:pPr>
      <w:bookmarkStart w:id="1" w:name="_Hlk511278617"/>
      <w:bookmarkStart w:id="2" w:name="_Hlk41644948"/>
      <w:r w:rsidRPr="0054567E">
        <w:lastRenderedPageBreak/>
        <w:t xml:space="preserve">Na temelju članka 35. b Zakona o lokalnoj i područnoj(regionalnoj) samoupravi </w:t>
      </w:r>
      <w:r w:rsidRPr="0054567E">
        <w:rPr>
          <w:szCs w:val="20"/>
        </w:rPr>
        <w:t xml:space="preserve">(“Narodne novine”, br. 33/01., 60/01., 129/05., 109/07., 125/08., 36/09., 150/11., 144/12., 19/13- pročišćeni tekst i 137/15., 123/17., 98/19. i 144/20.) </w:t>
      </w:r>
      <w:r w:rsidRPr="0054567E">
        <w:t xml:space="preserve">i članka 48. Statuta Općine Marčana („Službene novine Općine Marčana“, br.  7/09., 2/13., 4/13 – pročišćeni tekst, 3/21 i 14/22..) </w:t>
      </w:r>
      <w:r w:rsidRPr="0054567E">
        <w:rPr>
          <w:szCs w:val="20"/>
        </w:rPr>
        <w:t>Općinsko vijeće Općine Marčana je na svojoj 6. sjednici održanoj dana 28. svibnja 2026. godine, donijelo</w:t>
      </w:r>
    </w:p>
    <w:p w14:paraId="18ACD0B7" w14:textId="77777777" w:rsidR="0054567E" w:rsidRPr="0054567E" w:rsidRDefault="0054567E" w:rsidP="0054567E">
      <w:pPr>
        <w:jc w:val="both"/>
        <w:rPr>
          <w:szCs w:val="20"/>
        </w:rPr>
      </w:pPr>
    </w:p>
    <w:p w14:paraId="38CFAF95" w14:textId="77777777" w:rsidR="0054567E" w:rsidRPr="0054567E" w:rsidRDefault="0054567E" w:rsidP="0054567E">
      <w:pPr>
        <w:jc w:val="both"/>
        <w:rPr>
          <w:szCs w:val="20"/>
        </w:rPr>
      </w:pPr>
    </w:p>
    <w:p w14:paraId="128FBC53" w14:textId="77777777" w:rsidR="0054567E" w:rsidRPr="0054567E" w:rsidRDefault="0054567E" w:rsidP="0054567E">
      <w:pPr>
        <w:keepNext/>
        <w:jc w:val="center"/>
        <w:outlineLvl w:val="0"/>
        <w:rPr>
          <w:b/>
          <w:sz w:val="32"/>
          <w:szCs w:val="20"/>
        </w:rPr>
      </w:pPr>
      <w:r w:rsidRPr="0054567E">
        <w:rPr>
          <w:b/>
          <w:sz w:val="32"/>
          <w:szCs w:val="20"/>
        </w:rPr>
        <w:t xml:space="preserve">Z A K L J U Č A K </w:t>
      </w:r>
    </w:p>
    <w:p w14:paraId="2F3883C9" w14:textId="77777777" w:rsidR="0054567E" w:rsidRPr="0054567E" w:rsidRDefault="0054567E" w:rsidP="0054567E">
      <w:pPr>
        <w:jc w:val="center"/>
        <w:rPr>
          <w:b/>
          <w:sz w:val="32"/>
          <w:szCs w:val="20"/>
        </w:rPr>
      </w:pPr>
      <w:r w:rsidRPr="0054567E">
        <w:rPr>
          <w:b/>
          <w:sz w:val="32"/>
          <w:szCs w:val="20"/>
        </w:rPr>
        <w:t>o prihvaćanju Izvješća o radu Načelnika Općine Marčana u drugom polugodištu  2025. godine</w:t>
      </w:r>
    </w:p>
    <w:p w14:paraId="26248260" w14:textId="77777777" w:rsidR="0054567E" w:rsidRPr="0054567E" w:rsidRDefault="0054567E" w:rsidP="0054567E">
      <w:pPr>
        <w:jc w:val="both"/>
        <w:rPr>
          <w:szCs w:val="20"/>
        </w:rPr>
      </w:pPr>
    </w:p>
    <w:p w14:paraId="61AA53DF" w14:textId="77777777" w:rsidR="0054567E" w:rsidRPr="0054567E" w:rsidRDefault="0054567E" w:rsidP="0054567E">
      <w:pPr>
        <w:jc w:val="both"/>
        <w:rPr>
          <w:szCs w:val="20"/>
        </w:rPr>
      </w:pPr>
    </w:p>
    <w:p w14:paraId="5E60784A" w14:textId="77777777" w:rsidR="0054567E" w:rsidRPr="0054567E" w:rsidRDefault="0054567E" w:rsidP="0054567E">
      <w:pPr>
        <w:jc w:val="center"/>
        <w:rPr>
          <w:b/>
          <w:szCs w:val="20"/>
        </w:rPr>
      </w:pPr>
      <w:r w:rsidRPr="0054567E">
        <w:rPr>
          <w:b/>
          <w:szCs w:val="20"/>
        </w:rPr>
        <w:t>I.</w:t>
      </w:r>
    </w:p>
    <w:p w14:paraId="35F38666" w14:textId="77777777" w:rsidR="0054567E" w:rsidRPr="0054567E" w:rsidRDefault="0054567E" w:rsidP="0054567E">
      <w:pPr>
        <w:jc w:val="center"/>
        <w:rPr>
          <w:b/>
          <w:szCs w:val="20"/>
        </w:rPr>
      </w:pPr>
    </w:p>
    <w:p w14:paraId="5A77D6E3" w14:textId="77777777" w:rsidR="0054567E" w:rsidRPr="0054567E" w:rsidRDefault="0054567E" w:rsidP="0054567E">
      <w:pPr>
        <w:ind w:firstLine="720"/>
        <w:jc w:val="both"/>
        <w:rPr>
          <w:szCs w:val="20"/>
        </w:rPr>
      </w:pPr>
      <w:r w:rsidRPr="0054567E">
        <w:rPr>
          <w:szCs w:val="20"/>
        </w:rPr>
        <w:t>Prihvaća se Izvješće o radu Načelnika Općine Marčana u drugom polugodištu 2025. godine, koje je utvrdio i podnio Načelnik Općine Marčana dana 28. veljače 2026. godine.</w:t>
      </w:r>
    </w:p>
    <w:p w14:paraId="427BA884" w14:textId="77777777" w:rsidR="0054567E" w:rsidRPr="0054567E" w:rsidRDefault="0054567E" w:rsidP="0054567E">
      <w:pPr>
        <w:jc w:val="both"/>
        <w:rPr>
          <w:szCs w:val="20"/>
        </w:rPr>
      </w:pPr>
    </w:p>
    <w:p w14:paraId="1CFCB8EE" w14:textId="77777777" w:rsidR="0054567E" w:rsidRPr="0054567E" w:rsidRDefault="0054567E" w:rsidP="0054567E">
      <w:pPr>
        <w:jc w:val="both"/>
        <w:rPr>
          <w:szCs w:val="20"/>
        </w:rPr>
      </w:pPr>
    </w:p>
    <w:p w14:paraId="264F484C" w14:textId="77777777" w:rsidR="0054567E" w:rsidRPr="0054567E" w:rsidRDefault="0054567E" w:rsidP="0054567E">
      <w:pPr>
        <w:jc w:val="center"/>
        <w:rPr>
          <w:b/>
          <w:szCs w:val="20"/>
        </w:rPr>
      </w:pPr>
      <w:r w:rsidRPr="0054567E">
        <w:rPr>
          <w:b/>
          <w:szCs w:val="20"/>
        </w:rPr>
        <w:t>II.</w:t>
      </w:r>
    </w:p>
    <w:p w14:paraId="4A954A2D" w14:textId="77777777" w:rsidR="0054567E" w:rsidRPr="0054567E" w:rsidRDefault="0054567E" w:rsidP="0054567E">
      <w:pPr>
        <w:jc w:val="center"/>
        <w:rPr>
          <w:b/>
          <w:szCs w:val="20"/>
        </w:rPr>
      </w:pPr>
    </w:p>
    <w:p w14:paraId="5C4B6D86" w14:textId="77777777" w:rsidR="0054567E" w:rsidRPr="0054567E" w:rsidRDefault="0054567E" w:rsidP="0054567E">
      <w:pPr>
        <w:ind w:firstLine="720"/>
        <w:jc w:val="both"/>
        <w:rPr>
          <w:szCs w:val="20"/>
        </w:rPr>
      </w:pPr>
      <w:r w:rsidRPr="0054567E">
        <w:rPr>
          <w:szCs w:val="20"/>
        </w:rPr>
        <w:t>Ovaj Zaključak stupa na snagu danom donošenja, a objavit će se u “Službenim novinama Općine Marčana”.</w:t>
      </w:r>
    </w:p>
    <w:p w14:paraId="54B58AF7" w14:textId="77777777" w:rsidR="0054567E" w:rsidRPr="0054567E" w:rsidRDefault="0054567E" w:rsidP="0054567E">
      <w:pPr>
        <w:jc w:val="both"/>
        <w:rPr>
          <w:szCs w:val="20"/>
        </w:rPr>
      </w:pPr>
    </w:p>
    <w:p w14:paraId="53A1050A" w14:textId="77777777" w:rsidR="0054567E" w:rsidRPr="0054567E" w:rsidRDefault="0054567E" w:rsidP="0054567E">
      <w:pPr>
        <w:jc w:val="both"/>
        <w:rPr>
          <w:szCs w:val="20"/>
        </w:rPr>
      </w:pPr>
    </w:p>
    <w:p w14:paraId="634B2C45" w14:textId="77777777" w:rsidR="0054567E" w:rsidRPr="0054567E" w:rsidRDefault="0054567E" w:rsidP="0054567E">
      <w:pPr>
        <w:jc w:val="both"/>
        <w:rPr>
          <w:szCs w:val="20"/>
        </w:rPr>
      </w:pPr>
    </w:p>
    <w:p w14:paraId="55EE3286" w14:textId="77777777" w:rsidR="0054567E" w:rsidRPr="0054567E" w:rsidRDefault="0054567E" w:rsidP="0054567E">
      <w:pPr>
        <w:jc w:val="both"/>
      </w:pPr>
      <w:r w:rsidRPr="0054567E">
        <w:t>KLASA: 024-04/25-01/02</w:t>
      </w:r>
    </w:p>
    <w:p w14:paraId="2E152841" w14:textId="77777777" w:rsidR="0054567E" w:rsidRPr="0054567E" w:rsidRDefault="0054567E" w:rsidP="0054567E">
      <w:pPr>
        <w:jc w:val="both"/>
      </w:pPr>
      <w:r w:rsidRPr="0054567E">
        <w:t>URBROJ: 2163-26-1-26-10</w:t>
      </w:r>
    </w:p>
    <w:p w14:paraId="7CB61CD4" w14:textId="77777777" w:rsidR="0054567E" w:rsidRPr="0054567E" w:rsidRDefault="0054567E" w:rsidP="0054567E">
      <w:pPr>
        <w:jc w:val="both"/>
        <w:rPr>
          <w:b/>
        </w:rPr>
      </w:pPr>
      <w:r w:rsidRPr="0054567E">
        <w:t>Marčana, 28. svibnja 2026.</w:t>
      </w:r>
    </w:p>
    <w:p w14:paraId="717CDB56" w14:textId="77777777" w:rsidR="0054567E" w:rsidRPr="0054567E" w:rsidRDefault="0054567E" w:rsidP="0054567E">
      <w:pPr>
        <w:jc w:val="both"/>
        <w:rPr>
          <w:szCs w:val="20"/>
        </w:rPr>
      </w:pPr>
    </w:p>
    <w:p w14:paraId="5DF768DA" w14:textId="77777777" w:rsidR="0054567E" w:rsidRPr="0054567E" w:rsidRDefault="0054567E" w:rsidP="0054567E">
      <w:pPr>
        <w:jc w:val="both"/>
        <w:rPr>
          <w:szCs w:val="20"/>
        </w:rPr>
      </w:pPr>
    </w:p>
    <w:p w14:paraId="777E61B6" w14:textId="77777777" w:rsidR="0054567E" w:rsidRPr="0054567E" w:rsidRDefault="0054567E" w:rsidP="0054567E">
      <w:pPr>
        <w:ind w:left="2160"/>
        <w:jc w:val="both"/>
        <w:rPr>
          <w:b/>
          <w:szCs w:val="20"/>
        </w:rPr>
      </w:pPr>
      <w:r w:rsidRPr="0054567E">
        <w:rPr>
          <w:b/>
          <w:szCs w:val="20"/>
        </w:rPr>
        <w:t xml:space="preserve">                                        OPĆINSKO VIJEĆE OPĆINE MARČANA</w:t>
      </w:r>
    </w:p>
    <w:p w14:paraId="4677803F" w14:textId="77777777" w:rsidR="0054567E" w:rsidRPr="0054567E" w:rsidRDefault="0054567E" w:rsidP="0054567E">
      <w:pPr>
        <w:jc w:val="both"/>
        <w:rPr>
          <w:b/>
          <w:szCs w:val="20"/>
        </w:rPr>
      </w:pPr>
      <w:r w:rsidRPr="0054567E">
        <w:rPr>
          <w:b/>
          <w:szCs w:val="20"/>
        </w:rPr>
        <w:t xml:space="preserve">                                                                                                      PREDSJEDNIK</w:t>
      </w:r>
    </w:p>
    <w:p w14:paraId="717FD7E9" w14:textId="43B293B5" w:rsidR="0054567E" w:rsidRPr="0054567E" w:rsidRDefault="0054567E" w:rsidP="0054567E">
      <w:pPr>
        <w:jc w:val="both"/>
        <w:rPr>
          <w:b/>
          <w:szCs w:val="20"/>
        </w:rPr>
      </w:pPr>
      <w:r w:rsidRPr="0054567E">
        <w:rPr>
          <w:b/>
          <w:szCs w:val="20"/>
        </w:rPr>
        <w:t xml:space="preserve">                                                                                                     Denis </w:t>
      </w:r>
      <w:proofErr w:type="spellStart"/>
      <w:r w:rsidRPr="0054567E">
        <w:rPr>
          <w:b/>
          <w:szCs w:val="20"/>
        </w:rPr>
        <w:t>Diković</w:t>
      </w:r>
      <w:proofErr w:type="spellEnd"/>
      <w:r>
        <w:rPr>
          <w:b/>
          <w:szCs w:val="20"/>
        </w:rPr>
        <w:t>, v.r.</w:t>
      </w:r>
    </w:p>
    <w:p w14:paraId="508AFC7B" w14:textId="77777777" w:rsidR="0054567E" w:rsidRPr="0054567E" w:rsidRDefault="0054567E" w:rsidP="0054567E">
      <w:pPr>
        <w:jc w:val="both"/>
        <w:rPr>
          <w:b/>
          <w:szCs w:val="20"/>
        </w:rPr>
      </w:pPr>
    </w:p>
    <w:p w14:paraId="7F04D7D1" w14:textId="77777777" w:rsidR="0054567E" w:rsidRPr="0054567E" w:rsidRDefault="0054567E" w:rsidP="0054567E">
      <w:pPr>
        <w:jc w:val="both"/>
        <w:rPr>
          <w:b/>
          <w:szCs w:val="20"/>
        </w:rPr>
      </w:pPr>
    </w:p>
    <w:p w14:paraId="77D864A8" w14:textId="77777777" w:rsidR="0054567E" w:rsidRPr="0054567E" w:rsidRDefault="0054567E" w:rsidP="0054567E">
      <w:pPr>
        <w:jc w:val="both"/>
        <w:rPr>
          <w:b/>
          <w:szCs w:val="20"/>
        </w:rPr>
      </w:pPr>
    </w:p>
    <w:p w14:paraId="439A8B6D" w14:textId="77777777" w:rsidR="0054567E" w:rsidRPr="0054567E" w:rsidRDefault="0054567E" w:rsidP="0054567E">
      <w:pPr>
        <w:jc w:val="both"/>
        <w:rPr>
          <w:b/>
          <w:szCs w:val="20"/>
        </w:rPr>
      </w:pPr>
    </w:p>
    <w:p w14:paraId="1AE39AF5" w14:textId="77777777" w:rsidR="0054567E" w:rsidRPr="0054567E" w:rsidRDefault="0054567E" w:rsidP="0054567E">
      <w:pPr>
        <w:jc w:val="both"/>
        <w:rPr>
          <w:b/>
          <w:szCs w:val="20"/>
        </w:rPr>
      </w:pPr>
    </w:p>
    <w:p w14:paraId="28BC71FC" w14:textId="77777777" w:rsidR="0054567E" w:rsidRPr="0054567E" w:rsidRDefault="0054567E" w:rsidP="0054567E">
      <w:pPr>
        <w:jc w:val="both"/>
        <w:rPr>
          <w:b/>
          <w:szCs w:val="20"/>
        </w:rPr>
      </w:pPr>
    </w:p>
    <w:p w14:paraId="606DA73D" w14:textId="77777777" w:rsidR="0054567E" w:rsidRPr="0054567E" w:rsidRDefault="0054567E" w:rsidP="0054567E">
      <w:pPr>
        <w:jc w:val="both"/>
        <w:rPr>
          <w:b/>
          <w:szCs w:val="20"/>
        </w:rPr>
      </w:pPr>
    </w:p>
    <w:p w14:paraId="69B5AF11" w14:textId="77777777" w:rsidR="0054567E" w:rsidRPr="0054567E" w:rsidRDefault="0054567E" w:rsidP="0054567E">
      <w:pPr>
        <w:jc w:val="both"/>
        <w:rPr>
          <w:b/>
          <w:szCs w:val="20"/>
        </w:rPr>
      </w:pPr>
    </w:p>
    <w:p w14:paraId="7A0A0C31" w14:textId="77777777" w:rsidR="0054567E" w:rsidRPr="0054567E" w:rsidRDefault="0054567E" w:rsidP="0054567E">
      <w:pPr>
        <w:jc w:val="both"/>
        <w:rPr>
          <w:b/>
          <w:szCs w:val="20"/>
        </w:rPr>
      </w:pPr>
    </w:p>
    <w:p w14:paraId="6E82BF04" w14:textId="77777777" w:rsidR="0054567E" w:rsidRPr="0054567E" w:rsidRDefault="0054567E" w:rsidP="0054567E">
      <w:pPr>
        <w:jc w:val="both"/>
        <w:rPr>
          <w:b/>
          <w:szCs w:val="20"/>
        </w:rPr>
      </w:pPr>
    </w:p>
    <w:p w14:paraId="28E6E92D" w14:textId="77777777" w:rsidR="0054567E" w:rsidRPr="0054567E" w:rsidRDefault="0054567E" w:rsidP="0054567E">
      <w:pPr>
        <w:jc w:val="both"/>
        <w:rPr>
          <w:b/>
          <w:szCs w:val="20"/>
        </w:rPr>
      </w:pPr>
    </w:p>
    <w:p w14:paraId="3D8C2C67" w14:textId="77777777" w:rsidR="0054567E" w:rsidRPr="0054567E" w:rsidRDefault="0054567E" w:rsidP="0054567E">
      <w:pPr>
        <w:jc w:val="both"/>
        <w:rPr>
          <w:b/>
          <w:szCs w:val="20"/>
        </w:rPr>
      </w:pPr>
    </w:p>
    <w:p w14:paraId="45904914" w14:textId="77777777" w:rsidR="0054567E" w:rsidRPr="0054567E" w:rsidRDefault="0054567E" w:rsidP="0054567E">
      <w:pPr>
        <w:jc w:val="both"/>
        <w:rPr>
          <w:b/>
          <w:szCs w:val="20"/>
        </w:rPr>
      </w:pPr>
    </w:p>
    <w:p w14:paraId="4B50600D" w14:textId="77777777" w:rsidR="0054567E" w:rsidRPr="0054567E" w:rsidRDefault="0054567E" w:rsidP="0054567E">
      <w:pPr>
        <w:jc w:val="both"/>
        <w:rPr>
          <w:b/>
          <w:szCs w:val="20"/>
        </w:rPr>
      </w:pPr>
    </w:p>
    <w:p w14:paraId="6581C01E" w14:textId="77777777" w:rsidR="0054567E" w:rsidRPr="0054567E" w:rsidRDefault="0054567E" w:rsidP="0054567E">
      <w:pPr>
        <w:keepNext/>
        <w:suppressAutoHyphens/>
        <w:outlineLvl w:val="1"/>
        <w:rPr>
          <w:b/>
        </w:rPr>
      </w:pPr>
    </w:p>
    <w:p w14:paraId="3DB4203B" w14:textId="77777777" w:rsidR="0054567E" w:rsidRPr="0054567E" w:rsidRDefault="0054567E" w:rsidP="0054567E">
      <w:pPr>
        <w:keepNext/>
        <w:suppressAutoHyphens/>
        <w:outlineLvl w:val="1"/>
        <w:rPr>
          <w:b/>
        </w:rPr>
      </w:pPr>
      <w:r w:rsidRPr="0054567E">
        <w:rPr>
          <w:b/>
        </w:rPr>
        <w:t>REPUBLIKA HRVATSKA</w:t>
      </w:r>
    </w:p>
    <w:p w14:paraId="42454F66" w14:textId="77777777" w:rsidR="0054567E" w:rsidRPr="0054567E" w:rsidRDefault="0054567E" w:rsidP="0054567E">
      <w:pPr>
        <w:suppressAutoHyphens/>
        <w:jc w:val="both"/>
        <w:rPr>
          <w:b/>
        </w:rPr>
      </w:pPr>
      <w:r w:rsidRPr="0054567E">
        <w:rPr>
          <w:b/>
        </w:rPr>
        <w:t xml:space="preserve">  ISTARSKA ŽUPANIJA</w:t>
      </w:r>
    </w:p>
    <w:p w14:paraId="7803DF55" w14:textId="77777777" w:rsidR="0054567E" w:rsidRPr="0054567E" w:rsidRDefault="0054567E" w:rsidP="0054567E">
      <w:pPr>
        <w:tabs>
          <w:tab w:val="left" w:pos="2940"/>
        </w:tabs>
        <w:suppressAutoHyphens/>
        <w:jc w:val="both"/>
        <w:rPr>
          <w:b/>
        </w:rPr>
      </w:pPr>
      <w:r w:rsidRPr="0054567E">
        <w:rPr>
          <w:b/>
        </w:rPr>
        <w:t xml:space="preserve">    OPĆINA MARČANA</w:t>
      </w:r>
      <w:r w:rsidRPr="0054567E">
        <w:rPr>
          <w:b/>
        </w:rPr>
        <w:tab/>
      </w:r>
    </w:p>
    <w:p w14:paraId="479BB391" w14:textId="77777777" w:rsidR="0054567E" w:rsidRPr="0054567E" w:rsidRDefault="0054567E" w:rsidP="0054567E">
      <w:pPr>
        <w:keepNext/>
        <w:suppressAutoHyphens/>
        <w:outlineLvl w:val="0"/>
        <w:rPr>
          <w:b/>
        </w:rPr>
      </w:pPr>
      <w:r w:rsidRPr="0054567E">
        <w:rPr>
          <w:b/>
        </w:rPr>
        <w:t xml:space="preserve">             Načelnik  </w:t>
      </w:r>
    </w:p>
    <w:p w14:paraId="3B44ACE6" w14:textId="77777777" w:rsidR="0054567E" w:rsidRPr="0054567E" w:rsidRDefault="0054567E" w:rsidP="0054567E">
      <w:pPr>
        <w:suppressAutoHyphens/>
        <w:jc w:val="both"/>
      </w:pPr>
      <w:r w:rsidRPr="0054567E">
        <w:t>KLASA: 024-04/25-01/02</w:t>
      </w:r>
    </w:p>
    <w:p w14:paraId="54A9CA9F" w14:textId="77777777" w:rsidR="0054567E" w:rsidRPr="0054567E" w:rsidRDefault="0054567E" w:rsidP="0054567E">
      <w:pPr>
        <w:suppressAutoHyphens/>
        <w:jc w:val="both"/>
      </w:pPr>
      <w:r w:rsidRPr="0054567E">
        <w:t>URBROJ: 2163-26-2-26-7</w:t>
      </w:r>
    </w:p>
    <w:p w14:paraId="10CF1227" w14:textId="77777777" w:rsidR="0054567E" w:rsidRPr="0054567E" w:rsidRDefault="0054567E" w:rsidP="0054567E">
      <w:pPr>
        <w:suppressAutoHyphens/>
        <w:jc w:val="both"/>
        <w:rPr>
          <w:b/>
        </w:rPr>
      </w:pPr>
      <w:r w:rsidRPr="0054567E">
        <w:t>Marčana, 28. veljače 2025.</w:t>
      </w:r>
    </w:p>
    <w:p w14:paraId="72F81438" w14:textId="77777777" w:rsidR="0054567E" w:rsidRPr="0054567E" w:rsidRDefault="0054567E" w:rsidP="0054567E">
      <w:pPr>
        <w:suppressAutoHyphens/>
        <w:ind w:firstLine="720"/>
        <w:jc w:val="both"/>
      </w:pPr>
    </w:p>
    <w:p w14:paraId="322C8F12" w14:textId="77777777" w:rsidR="0054567E" w:rsidRPr="0054567E" w:rsidRDefault="0054567E" w:rsidP="0054567E">
      <w:pPr>
        <w:suppressAutoHyphens/>
        <w:ind w:firstLine="720"/>
        <w:jc w:val="both"/>
      </w:pPr>
      <w:r w:rsidRPr="0054567E">
        <w:t xml:space="preserve">Na temelju članka 35.b Zakona o lokalnoj i područnoj(regionalnoj) samoupravi </w:t>
      </w:r>
      <w:r w:rsidRPr="0054567E">
        <w:rPr>
          <w:szCs w:val="20"/>
        </w:rPr>
        <w:t xml:space="preserve">(“Narodne novine”, br. 33/01., 60/01., 129/05., 109/07., 125/08., 36/09., 150/11., 144/12 i 19/13- pročišćeni tekst, 137/15. i 144/20) i članka 48. Statuta Općine Marčana </w:t>
      </w:r>
      <w:r w:rsidRPr="0054567E">
        <w:rPr>
          <w:szCs w:val="22"/>
        </w:rPr>
        <w:t xml:space="preserve">(“Službene novine Općine Marčana”, br. 7/09., 2/13., 4/13-pročišćeni tekst i 3/21.),  </w:t>
      </w:r>
      <w:r w:rsidRPr="0054567E">
        <w:t>Načelnik Općine Marčana dana 28. veljače 2025. godine utvrđuje i podnosi Općinskom  vijeću Općine Marčana slijedeće</w:t>
      </w:r>
    </w:p>
    <w:p w14:paraId="72798093" w14:textId="77777777" w:rsidR="0054567E" w:rsidRPr="0054567E" w:rsidRDefault="0054567E" w:rsidP="0054567E">
      <w:pPr>
        <w:suppressAutoHyphens/>
        <w:ind w:firstLine="720"/>
        <w:jc w:val="both"/>
      </w:pPr>
    </w:p>
    <w:p w14:paraId="3A467BD7" w14:textId="77777777" w:rsidR="0054567E" w:rsidRPr="0054567E" w:rsidRDefault="0054567E" w:rsidP="0054567E">
      <w:pPr>
        <w:suppressAutoHyphens/>
        <w:spacing w:line="270" w:lineRule="atLeast"/>
      </w:pPr>
      <w:r w:rsidRPr="0054567E">
        <w:rPr>
          <w:color w:val="84878E"/>
        </w:rPr>
        <w:t> </w:t>
      </w:r>
    </w:p>
    <w:p w14:paraId="3D09CB6F" w14:textId="77777777" w:rsidR="0054567E" w:rsidRPr="0054567E" w:rsidRDefault="0054567E" w:rsidP="0054567E">
      <w:pPr>
        <w:keepNext/>
        <w:suppressAutoHyphens/>
        <w:jc w:val="center"/>
        <w:outlineLvl w:val="0"/>
        <w:rPr>
          <w:b/>
          <w:sz w:val="28"/>
          <w:szCs w:val="28"/>
        </w:rPr>
      </w:pPr>
      <w:r w:rsidRPr="0054567E">
        <w:rPr>
          <w:b/>
          <w:sz w:val="28"/>
          <w:szCs w:val="28"/>
        </w:rPr>
        <w:t>IZVJEŠĆE</w:t>
      </w:r>
    </w:p>
    <w:p w14:paraId="3BCE437B" w14:textId="77777777" w:rsidR="0054567E" w:rsidRPr="0054567E" w:rsidRDefault="0054567E" w:rsidP="0054567E">
      <w:pPr>
        <w:suppressAutoHyphens/>
        <w:jc w:val="center"/>
        <w:rPr>
          <w:b/>
          <w:caps/>
        </w:rPr>
      </w:pPr>
      <w:r w:rsidRPr="0054567E">
        <w:rPr>
          <w:b/>
          <w:caps/>
        </w:rPr>
        <w:t>o  RADU NAČELNIKA OPĆINE MARČANA</w:t>
      </w:r>
    </w:p>
    <w:p w14:paraId="72FF9D92" w14:textId="77777777" w:rsidR="0054567E" w:rsidRPr="0054567E" w:rsidRDefault="0054567E" w:rsidP="0054567E">
      <w:pPr>
        <w:suppressAutoHyphens/>
        <w:jc w:val="center"/>
        <w:rPr>
          <w:b/>
          <w:caps/>
        </w:rPr>
      </w:pPr>
      <w:r w:rsidRPr="0054567E">
        <w:rPr>
          <w:b/>
          <w:caps/>
        </w:rPr>
        <w:t>U DRUGOM polugodištu 2025. GODINE</w:t>
      </w:r>
    </w:p>
    <w:p w14:paraId="534CECB7" w14:textId="77777777" w:rsidR="0054567E" w:rsidRPr="0054567E" w:rsidRDefault="0054567E" w:rsidP="0054567E">
      <w:pPr>
        <w:suppressAutoHyphens/>
        <w:ind w:firstLine="720"/>
        <w:jc w:val="both"/>
        <w:rPr>
          <w:szCs w:val="20"/>
        </w:rPr>
      </w:pPr>
    </w:p>
    <w:p w14:paraId="4921F9ED" w14:textId="77777777" w:rsidR="0054567E" w:rsidRPr="0054567E" w:rsidRDefault="0054567E" w:rsidP="0054567E">
      <w:pPr>
        <w:suppressAutoHyphens/>
        <w:rPr>
          <w:b/>
        </w:rPr>
      </w:pPr>
      <w:r w:rsidRPr="0054567E">
        <w:rPr>
          <w:b/>
        </w:rPr>
        <w:t>1.  UVOD</w:t>
      </w:r>
    </w:p>
    <w:p w14:paraId="377DE3F2" w14:textId="77777777" w:rsidR="0054567E" w:rsidRPr="0054567E" w:rsidRDefault="0054567E" w:rsidP="0054567E">
      <w:pPr>
        <w:shd w:val="clear" w:color="auto" w:fill="FFFFFF"/>
        <w:suppressAutoHyphens/>
        <w:spacing w:before="202" w:line="254" w:lineRule="exact"/>
        <w:ind w:right="5" w:firstLine="708"/>
        <w:jc w:val="both"/>
      </w:pPr>
      <w:r w:rsidRPr="0054567E">
        <w:t>Zakon o lokalnoj i područnoj (regionalnoj) samoupravi člankom 35 b propisuje da O</w:t>
      </w:r>
      <w:r w:rsidRPr="0054567E">
        <w:rPr>
          <w:bCs/>
        </w:rPr>
        <w:t>pćinski načelnik, gradonačelnik, odnosno župan dva puta godišnje podnosi polugodišnja izvješća o svom radu predstavničkom tijelu sukladno odredbama statuta jedinice lokalne, odnosno područne (regionalne) samouprave.</w:t>
      </w:r>
    </w:p>
    <w:p w14:paraId="739E9580" w14:textId="77777777" w:rsidR="0054567E" w:rsidRPr="0054567E" w:rsidRDefault="0054567E" w:rsidP="0054567E">
      <w:pPr>
        <w:shd w:val="clear" w:color="auto" w:fill="FFFFFF"/>
        <w:suppressAutoHyphens/>
        <w:spacing w:line="250" w:lineRule="exact"/>
        <w:ind w:left="10" w:right="5" w:firstLine="720"/>
        <w:jc w:val="both"/>
      </w:pPr>
      <w:r w:rsidRPr="0054567E">
        <w:t>Člankom  48. Statuta Općine Marčana  utvrđeno je daje općinski načelnik  dužan dva puta godišnje podnositi Općinskom vijeću polugodišnja izvješća o svom radu i to prvo polugodišnje izvješće najkasnije do 1. rujna tekuće godine, a drugo polugodišnje izvješće najkasnije do 1. ožujka naredne godine.</w:t>
      </w:r>
    </w:p>
    <w:p w14:paraId="25DA407E" w14:textId="77777777" w:rsidR="0054567E" w:rsidRPr="0054567E" w:rsidRDefault="0054567E" w:rsidP="0054567E">
      <w:pPr>
        <w:shd w:val="clear" w:color="auto" w:fill="FFFFFF"/>
        <w:suppressAutoHyphens/>
        <w:spacing w:line="250" w:lineRule="exact"/>
        <w:ind w:firstLine="720"/>
        <w:jc w:val="both"/>
      </w:pPr>
      <w:r w:rsidRPr="0054567E">
        <w:t>Općinski načelnik zastupa Općinu Marčana i nositelj je izvršne vlasti u Općini Marčana, te u okviru te ovlasti priprema prijedloge općih akata koje donosi Općinsko vijeće, daje mišljenje o prijedlozima općih akata koje Općinskom vijeću  podnose drugi ovlašteni predlagatelji, izvršava ili osigurava izvršavanje općih akata Općinskog vijeća, utvrđuje  prijedlog proračuna i projekcija odnosno odluke o privremenom financiranju, te ih podnosi  Općinskom vijeću na  donošenje, odlučuje, sukladno  odluci o izvršavanju općinskog proračuna, o preraspodjelama u općinskom proračunu  i o tome izvještava Općinsko vijeće, odlučuje o korištenju  sredstava proračunske zalihe i o tome izvještava Općinsko vijeće, upravlja raspoloživim sredstvima na  računu općinskog proračuna, podnosi Općinskom vijeću na donošenje polugodišnji i godišnji izvještaj o izvršenju proračuna, te obavlja čitav niz drugih zadaća pobliže opisanih u članku 47. Statuta Općine Marčana.</w:t>
      </w:r>
    </w:p>
    <w:p w14:paraId="40E8F851" w14:textId="77777777" w:rsidR="0054567E" w:rsidRPr="0054567E" w:rsidRDefault="0054567E" w:rsidP="0054567E">
      <w:pPr>
        <w:suppressAutoHyphens/>
        <w:ind w:firstLine="708"/>
        <w:jc w:val="both"/>
      </w:pPr>
      <w:r w:rsidRPr="0054567E">
        <w:t xml:space="preserve">Općinski načelnik je  odgovoran je za zakonitost rada i usmjeravanje rada upravnih tijela   u obavljanju poslova iz samoupravnog djelokruga Općine Marčana,  nadzire njihov rad, te stoga radi cjelovitosti ovo izvješće sadrži i sumarne podatke o radu  Upravnog odjela za društvene djelatnosti, gospodarstvo, financije i javnu nabavu te Upravnog odjela za prostorno planiranje, zaštitu okoliša, komunalno gospodarstvo i izgradnju. </w:t>
      </w:r>
    </w:p>
    <w:p w14:paraId="448B0D66" w14:textId="77777777" w:rsidR="0054567E" w:rsidRPr="0054567E" w:rsidRDefault="0054567E" w:rsidP="0054567E">
      <w:pPr>
        <w:tabs>
          <w:tab w:val="left" w:pos="709"/>
          <w:tab w:val="left" w:pos="7088"/>
        </w:tabs>
        <w:suppressAutoHyphens/>
        <w:jc w:val="both"/>
      </w:pPr>
      <w:r w:rsidRPr="0054567E">
        <w:tab/>
        <w:t>Sukladno Zakonu o lokalnoj i područnoj (regionalnoj) samoupravi u jedinicama lokalne samouprave s brojem stanovnika kakav ima Općina Marčana ne bira se zamjenik općinskog načelnika, tako da ovo izvješće ne sadrži dio koji bi se odnosio na rad zamjenika načelnika.</w:t>
      </w:r>
    </w:p>
    <w:p w14:paraId="258DD0F5" w14:textId="77777777" w:rsidR="0054567E" w:rsidRPr="0054567E" w:rsidRDefault="0054567E" w:rsidP="0054567E">
      <w:pPr>
        <w:tabs>
          <w:tab w:val="left" w:pos="709"/>
          <w:tab w:val="left" w:pos="7088"/>
        </w:tabs>
        <w:suppressAutoHyphens/>
        <w:jc w:val="both"/>
      </w:pPr>
    </w:p>
    <w:p w14:paraId="4C9604BF" w14:textId="77777777" w:rsidR="0054567E" w:rsidRPr="0054567E" w:rsidRDefault="0054567E" w:rsidP="0054567E">
      <w:pPr>
        <w:tabs>
          <w:tab w:val="left" w:pos="709"/>
          <w:tab w:val="left" w:pos="7088"/>
        </w:tabs>
        <w:suppressAutoHyphens/>
        <w:jc w:val="both"/>
      </w:pPr>
    </w:p>
    <w:p w14:paraId="3240E0A4" w14:textId="77777777" w:rsidR="0054567E" w:rsidRPr="0054567E" w:rsidRDefault="0054567E" w:rsidP="0054567E">
      <w:pPr>
        <w:tabs>
          <w:tab w:val="left" w:pos="709"/>
          <w:tab w:val="left" w:pos="7088"/>
        </w:tabs>
        <w:suppressAutoHyphens/>
        <w:jc w:val="both"/>
      </w:pPr>
    </w:p>
    <w:p w14:paraId="7DF6B177" w14:textId="77777777" w:rsidR="0054567E" w:rsidRPr="0054567E" w:rsidRDefault="0054567E" w:rsidP="0054567E">
      <w:pPr>
        <w:tabs>
          <w:tab w:val="left" w:pos="709"/>
          <w:tab w:val="left" w:pos="7088"/>
        </w:tabs>
        <w:suppressAutoHyphens/>
        <w:jc w:val="both"/>
        <w:rPr>
          <w:b/>
          <w:szCs w:val="20"/>
        </w:rPr>
      </w:pPr>
      <w:r w:rsidRPr="0054567E">
        <w:rPr>
          <w:b/>
          <w:szCs w:val="20"/>
        </w:rPr>
        <w:t xml:space="preserve">2. IZVJEŠĆE O RADU </w:t>
      </w:r>
    </w:p>
    <w:p w14:paraId="7C0323C7" w14:textId="77777777" w:rsidR="0054567E" w:rsidRPr="0054567E" w:rsidRDefault="0054567E" w:rsidP="0054567E">
      <w:pPr>
        <w:tabs>
          <w:tab w:val="left" w:pos="709"/>
          <w:tab w:val="left" w:pos="7088"/>
        </w:tabs>
        <w:suppressAutoHyphens/>
        <w:jc w:val="both"/>
        <w:rPr>
          <w:b/>
          <w:sz w:val="6"/>
          <w:szCs w:val="6"/>
        </w:rPr>
      </w:pPr>
    </w:p>
    <w:p w14:paraId="1F808BBF" w14:textId="77777777" w:rsidR="0054567E" w:rsidRPr="0054567E" w:rsidRDefault="0054567E" w:rsidP="0054567E">
      <w:pPr>
        <w:tabs>
          <w:tab w:val="left" w:pos="709"/>
          <w:tab w:val="left" w:pos="7088"/>
        </w:tabs>
        <w:suppressAutoHyphens/>
        <w:jc w:val="both"/>
        <w:rPr>
          <w:b/>
          <w:szCs w:val="20"/>
        </w:rPr>
      </w:pPr>
      <w:r w:rsidRPr="0054567E">
        <w:rPr>
          <w:b/>
          <w:szCs w:val="20"/>
        </w:rPr>
        <w:t>2.1. Priprema prijedloga općih akata koje donosi Općinsko vijeće</w:t>
      </w:r>
    </w:p>
    <w:p w14:paraId="217DDB02" w14:textId="77777777" w:rsidR="0054567E" w:rsidRPr="0054567E" w:rsidRDefault="0054567E" w:rsidP="0054567E">
      <w:pPr>
        <w:suppressAutoHyphens/>
        <w:rPr>
          <w:sz w:val="20"/>
          <w:szCs w:val="20"/>
        </w:rPr>
      </w:pPr>
    </w:p>
    <w:p w14:paraId="74478D2D" w14:textId="77777777" w:rsidR="0054567E" w:rsidRPr="0054567E" w:rsidRDefault="0054567E" w:rsidP="0054567E">
      <w:pPr>
        <w:suppressAutoHyphens/>
        <w:ind w:firstLine="708"/>
        <w:jc w:val="both"/>
      </w:pPr>
      <w:r w:rsidRPr="0054567E">
        <w:t>U okviru nadležnosti propisane Statutom  Općine Marčana za pripremu prijedloga općih tijekom drugog polugodišta 2025. godine,  općinski načelnik  je  utvrdio 12 prijedloga općih akata i to:</w:t>
      </w:r>
    </w:p>
    <w:p w14:paraId="77FFF30D" w14:textId="77777777" w:rsidR="0054567E" w:rsidRPr="0054567E" w:rsidRDefault="0054567E" w:rsidP="0054567E">
      <w:pPr>
        <w:suppressAutoHyphens/>
        <w:ind w:firstLine="708"/>
        <w:jc w:val="both"/>
      </w:pPr>
    </w:p>
    <w:p w14:paraId="311C35BB" w14:textId="77777777" w:rsidR="0054567E" w:rsidRPr="0054567E" w:rsidRDefault="0054567E">
      <w:pPr>
        <w:numPr>
          <w:ilvl w:val="0"/>
          <w:numId w:val="3"/>
        </w:numPr>
        <w:suppressAutoHyphens/>
        <w:spacing w:after="160" w:line="259" w:lineRule="auto"/>
        <w:contextualSpacing/>
        <w:jc w:val="both"/>
      </w:pPr>
      <w:r w:rsidRPr="0054567E">
        <w:t>Odluka o izmjenama Odluke o izvršavanju Proračuna Općine Marčana za 2025. godinu</w:t>
      </w:r>
    </w:p>
    <w:p w14:paraId="22461217" w14:textId="77777777" w:rsidR="0054567E" w:rsidRPr="0054567E" w:rsidRDefault="0054567E">
      <w:pPr>
        <w:numPr>
          <w:ilvl w:val="0"/>
          <w:numId w:val="3"/>
        </w:numPr>
        <w:suppressAutoHyphens/>
        <w:spacing w:after="160" w:line="259" w:lineRule="auto"/>
        <w:contextualSpacing/>
        <w:jc w:val="both"/>
      </w:pPr>
      <w:r w:rsidRPr="0054567E">
        <w:t>Odluka  o uvođenju Riznice Općine Marčana i Objedinjene glavne knjige proračuna.</w:t>
      </w:r>
    </w:p>
    <w:p w14:paraId="7530B6F2" w14:textId="77777777" w:rsidR="0054567E" w:rsidRPr="0054567E" w:rsidRDefault="0054567E">
      <w:pPr>
        <w:numPr>
          <w:ilvl w:val="0"/>
          <w:numId w:val="3"/>
        </w:numPr>
        <w:suppressAutoHyphens/>
        <w:spacing w:after="160" w:line="259" w:lineRule="auto"/>
        <w:contextualSpacing/>
        <w:jc w:val="both"/>
      </w:pPr>
      <w:r w:rsidRPr="0054567E">
        <w:t xml:space="preserve">Odluka o donošenju Urbanističkog plana uređenja turističko razvojnog područja Sv. </w:t>
      </w:r>
      <w:proofErr w:type="spellStart"/>
      <w:r w:rsidRPr="0054567E">
        <w:t>Mikula</w:t>
      </w:r>
      <w:proofErr w:type="spellEnd"/>
      <w:r w:rsidRPr="0054567E">
        <w:t xml:space="preserve"> – Luka nautičkog turizma – marina </w:t>
      </w:r>
      <w:proofErr w:type="spellStart"/>
      <w:r w:rsidRPr="0054567E">
        <w:t>Rakalj</w:t>
      </w:r>
      <w:proofErr w:type="spellEnd"/>
      <w:r w:rsidRPr="0054567E">
        <w:t xml:space="preserve"> – Sveta Agneza.</w:t>
      </w:r>
    </w:p>
    <w:p w14:paraId="68E763C3" w14:textId="77777777" w:rsidR="0054567E" w:rsidRPr="0054567E" w:rsidRDefault="0054567E">
      <w:pPr>
        <w:numPr>
          <w:ilvl w:val="0"/>
          <w:numId w:val="3"/>
        </w:numPr>
        <w:suppressAutoHyphens/>
        <w:spacing w:after="160" w:line="259" w:lineRule="auto"/>
        <w:contextualSpacing/>
        <w:jc w:val="both"/>
      </w:pPr>
      <w:r w:rsidRPr="0054567E">
        <w:t>Odluka o prvoj izmjeni i dopuni Odluke o izradi izmjene i dopune Prostornog plana uređenja Općine Marčana.</w:t>
      </w:r>
    </w:p>
    <w:p w14:paraId="0FEB27CE" w14:textId="77777777" w:rsidR="0054567E" w:rsidRPr="0054567E" w:rsidRDefault="0054567E">
      <w:pPr>
        <w:numPr>
          <w:ilvl w:val="0"/>
          <w:numId w:val="3"/>
        </w:numPr>
        <w:suppressAutoHyphens/>
        <w:spacing w:after="160" w:line="259" w:lineRule="auto"/>
        <w:contextualSpacing/>
        <w:jc w:val="both"/>
      </w:pPr>
      <w:r w:rsidRPr="0054567E">
        <w:t>Odluka o drugim izmjenama Odluke o izvršavanju Proračuna Općine Marčana za 2025. godinu.</w:t>
      </w:r>
    </w:p>
    <w:p w14:paraId="4B62B5E5" w14:textId="77777777" w:rsidR="0054567E" w:rsidRPr="0054567E" w:rsidRDefault="0054567E">
      <w:pPr>
        <w:numPr>
          <w:ilvl w:val="0"/>
          <w:numId w:val="3"/>
        </w:numPr>
        <w:suppressAutoHyphens/>
        <w:spacing w:after="160" w:line="259" w:lineRule="auto"/>
        <w:contextualSpacing/>
        <w:jc w:val="both"/>
      </w:pPr>
      <w:r w:rsidRPr="0054567E">
        <w:t xml:space="preserve">Odluka o donošenju Izmjena i dopuna Urbanističkog plana uređenja </w:t>
      </w:r>
      <w:proofErr w:type="spellStart"/>
      <w:r w:rsidRPr="0054567E">
        <w:t>Krnički</w:t>
      </w:r>
      <w:proofErr w:type="spellEnd"/>
      <w:r w:rsidRPr="0054567E">
        <w:t xml:space="preserve"> porat - Sjeverozapad.</w:t>
      </w:r>
    </w:p>
    <w:p w14:paraId="24E8E48A" w14:textId="77777777" w:rsidR="0054567E" w:rsidRPr="0054567E" w:rsidRDefault="0054567E">
      <w:pPr>
        <w:numPr>
          <w:ilvl w:val="0"/>
          <w:numId w:val="3"/>
        </w:numPr>
        <w:suppressAutoHyphens/>
        <w:spacing w:after="160" w:line="259" w:lineRule="auto"/>
        <w:contextualSpacing/>
        <w:jc w:val="both"/>
      </w:pPr>
      <w:r w:rsidRPr="0054567E">
        <w:t>Odluka o vrijednosti boda komunalne naknade</w:t>
      </w:r>
    </w:p>
    <w:p w14:paraId="15944D83" w14:textId="77777777" w:rsidR="0054567E" w:rsidRPr="0054567E" w:rsidRDefault="0054567E">
      <w:pPr>
        <w:numPr>
          <w:ilvl w:val="0"/>
          <w:numId w:val="3"/>
        </w:numPr>
        <w:suppressAutoHyphens/>
        <w:spacing w:after="160" w:line="259" w:lineRule="auto"/>
        <w:contextualSpacing/>
        <w:jc w:val="both"/>
      </w:pPr>
      <w:r w:rsidRPr="0054567E">
        <w:t>Odluka o donošenju Plana razvoja Općine Marčana za razdoblje 2025. – 2030. godina.</w:t>
      </w:r>
    </w:p>
    <w:p w14:paraId="756E6A16" w14:textId="77777777" w:rsidR="0054567E" w:rsidRPr="0054567E" w:rsidRDefault="0054567E">
      <w:pPr>
        <w:numPr>
          <w:ilvl w:val="0"/>
          <w:numId w:val="3"/>
        </w:numPr>
        <w:suppressAutoHyphens/>
        <w:spacing w:after="160" w:line="259" w:lineRule="auto"/>
        <w:contextualSpacing/>
        <w:jc w:val="both"/>
      </w:pPr>
      <w:r w:rsidRPr="0054567E">
        <w:t>Odluka o izvršavanju Proračuna Općine Marčana za 2026. godinu.</w:t>
      </w:r>
    </w:p>
    <w:p w14:paraId="27E8C37B" w14:textId="77777777" w:rsidR="0054567E" w:rsidRPr="0054567E" w:rsidRDefault="0054567E">
      <w:pPr>
        <w:numPr>
          <w:ilvl w:val="0"/>
          <w:numId w:val="3"/>
        </w:numPr>
        <w:suppressAutoHyphens/>
        <w:spacing w:after="160" w:line="259" w:lineRule="auto"/>
        <w:contextualSpacing/>
        <w:jc w:val="both"/>
      </w:pPr>
      <w:r w:rsidRPr="0054567E">
        <w:t xml:space="preserve">Odluka o donošenju izmjena i dopuna UPU UTP </w:t>
      </w:r>
      <w:proofErr w:type="spellStart"/>
      <w:r w:rsidRPr="0054567E">
        <w:t>Blaz</w:t>
      </w:r>
      <w:proofErr w:type="spellEnd"/>
      <w:r w:rsidRPr="0054567E">
        <w:t xml:space="preserve"> - </w:t>
      </w:r>
      <w:proofErr w:type="spellStart"/>
      <w:r w:rsidRPr="0054567E">
        <w:t>Salamušćica</w:t>
      </w:r>
      <w:proofErr w:type="spellEnd"/>
    </w:p>
    <w:p w14:paraId="27A01855" w14:textId="77777777" w:rsidR="0054567E" w:rsidRPr="0054567E" w:rsidRDefault="0054567E">
      <w:pPr>
        <w:numPr>
          <w:ilvl w:val="0"/>
          <w:numId w:val="3"/>
        </w:numPr>
        <w:suppressAutoHyphens/>
        <w:spacing w:after="160" w:line="259" w:lineRule="auto"/>
        <w:contextualSpacing/>
        <w:jc w:val="both"/>
      </w:pPr>
      <w:r w:rsidRPr="0054567E">
        <w:t xml:space="preserve">Odluka o  privremenoj zabrani izvođenja radova tijekom turističke sezone u 2026. godini. </w:t>
      </w:r>
    </w:p>
    <w:p w14:paraId="43D235C4" w14:textId="77777777" w:rsidR="0054567E" w:rsidRPr="0054567E" w:rsidRDefault="0054567E">
      <w:pPr>
        <w:numPr>
          <w:ilvl w:val="0"/>
          <w:numId w:val="3"/>
        </w:numPr>
        <w:suppressAutoHyphens/>
        <w:spacing w:after="160" w:line="259" w:lineRule="auto"/>
        <w:contextualSpacing/>
        <w:jc w:val="both"/>
      </w:pPr>
      <w:r w:rsidRPr="0054567E">
        <w:t>Odluka o  izmjenama Odluke o koeficijentima za obračun plaće službenika i namještenika u upravnim tijelima Općine Marčana.</w:t>
      </w:r>
    </w:p>
    <w:p w14:paraId="72658594" w14:textId="77777777" w:rsidR="0054567E" w:rsidRPr="0054567E" w:rsidRDefault="0054567E" w:rsidP="0054567E">
      <w:pPr>
        <w:suppressAutoHyphens/>
        <w:jc w:val="both"/>
      </w:pPr>
    </w:p>
    <w:p w14:paraId="3BC275C1" w14:textId="77777777" w:rsidR="0054567E" w:rsidRPr="0054567E" w:rsidRDefault="0054567E" w:rsidP="0054567E">
      <w:pPr>
        <w:tabs>
          <w:tab w:val="left" w:pos="709"/>
          <w:tab w:val="left" w:pos="7088"/>
        </w:tabs>
        <w:suppressAutoHyphens/>
        <w:jc w:val="both"/>
        <w:rPr>
          <w:b/>
        </w:rPr>
      </w:pPr>
      <w:r w:rsidRPr="0054567E">
        <w:rPr>
          <w:b/>
        </w:rPr>
        <w:t>2.2. Izvješćivanje i priprema prijedloga drugih akata koje donosi Općinsko vijeće</w:t>
      </w:r>
    </w:p>
    <w:p w14:paraId="2E2C31AD" w14:textId="77777777" w:rsidR="0054567E" w:rsidRPr="0054567E" w:rsidRDefault="0054567E" w:rsidP="0054567E">
      <w:pPr>
        <w:suppressAutoHyphens/>
      </w:pPr>
    </w:p>
    <w:p w14:paraId="707A750A" w14:textId="77777777" w:rsidR="0054567E" w:rsidRPr="0054567E" w:rsidRDefault="0054567E" w:rsidP="0054567E">
      <w:pPr>
        <w:suppressAutoHyphens/>
        <w:ind w:firstLine="708"/>
        <w:jc w:val="both"/>
      </w:pPr>
      <w:r w:rsidRPr="0054567E">
        <w:t xml:space="preserve">U okviru nadležnosti propisane Statutom  za izvješćivanje i pripremu  programskih i drugih  akata koje donosi Općinsko vijeće, osim općih akata, Općinski načelnik  je  utvrdio 32 prijedloga  akata  koje je proslijedio Općinskom vijeću na raspravu i odlučivanje, i to: </w:t>
      </w:r>
    </w:p>
    <w:p w14:paraId="24E8ED81" w14:textId="77777777" w:rsidR="0054567E" w:rsidRPr="0054567E" w:rsidRDefault="0054567E" w:rsidP="0054567E">
      <w:pPr>
        <w:suppressAutoHyphens/>
      </w:pPr>
    </w:p>
    <w:p w14:paraId="16EC44DC" w14:textId="77777777" w:rsidR="0054567E" w:rsidRPr="0054567E" w:rsidRDefault="0054567E" w:rsidP="0054567E">
      <w:pPr>
        <w:suppressAutoHyphens/>
        <w:jc w:val="both"/>
        <w:rPr>
          <w:u w:val="single"/>
        </w:rPr>
      </w:pPr>
      <w:r w:rsidRPr="0054567E">
        <w:rPr>
          <w:u w:val="single"/>
        </w:rPr>
        <w:t>2.2.1. Financijsko – programski akti:</w:t>
      </w:r>
    </w:p>
    <w:p w14:paraId="011A5AFB" w14:textId="77777777" w:rsidR="0054567E" w:rsidRPr="0054567E" w:rsidRDefault="0054567E" w:rsidP="0054567E">
      <w:pPr>
        <w:suppressAutoHyphens/>
        <w:ind w:left="709"/>
        <w:jc w:val="both"/>
      </w:pPr>
    </w:p>
    <w:p w14:paraId="6B21055B" w14:textId="77777777" w:rsidR="0054567E" w:rsidRPr="0054567E" w:rsidRDefault="0054567E">
      <w:pPr>
        <w:numPr>
          <w:ilvl w:val="0"/>
          <w:numId w:val="4"/>
        </w:numPr>
        <w:suppressAutoHyphens/>
        <w:spacing w:after="160" w:line="259" w:lineRule="auto"/>
        <w:contextualSpacing/>
        <w:jc w:val="both"/>
        <w:rPr>
          <w:sz w:val="23"/>
          <w:szCs w:val="23"/>
        </w:rPr>
      </w:pPr>
      <w:r w:rsidRPr="0054567E">
        <w:rPr>
          <w:sz w:val="23"/>
          <w:szCs w:val="23"/>
        </w:rPr>
        <w:t>Prve izmjene Programa građenja komunalne infrastrukture za 2025. godinu.</w:t>
      </w:r>
    </w:p>
    <w:p w14:paraId="6CD75A69" w14:textId="77777777" w:rsidR="0054567E" w:rsidRPr="0054567E" w:rsidRDefault="0054567E">
      <w:pPr>
        <w:numPr>
          <w:ilvl w:val="0"/>
          <w:numId w:val="4"/>
        </w:numPr>
        <w:suppressAutoHyphens/>
        <w:spacing w:after="160" w:line="259" w:lineRule="auto"/>
        <w:contextualSpacing/>
        <w:jc w:val="both"/>
        <w:rPr>
          <w:sz w:val="23"/>
          <w:szCs w:val="23"/>
        </w:rPr>
      </w:pPr>
      <w:r w:rsidRPr="0054567E">
        <w:rPr>
          <w:sz w:val="23"/>
          <w:szCs w:val="23"/>
        </w:rPr>
        <w:t>Prve izmjene Programa održavanja komunalne infrastrukture za 2025. godinu.</w:t>
      </w:r>
    </w:p>
    <w:p w14:paraId="1CB4582C" w14:textId="77777777" w:rsidR="0054567E" w:rsidRPr="0054567E" w:rsidRDefault="0054567E">
      <w:pPr>
        <w:numPr>
          <w:ilvl w:val="0"/>
          <w:numId w:val="4"/>
        </w:numPr>
        <w:suppressAutoHyphens/>
        <w:spacing w:after="160" w:line="259" w:lineRule="auto"/>
        <w:contextualSpacing/>
        <w:jc w:val="both"/>
        <w:rPr>
          <w:sz w:val="23"/>
          <w:szCs w:val="23"/>
        </w:rPr>
      </w:pPr>
      <w:r w:rsidRPr="0054567E">
        <w:rPr>
          <w:sz w:val="23"/>
          <w:szCs w:val="23"/>
        </w:rPr>
        <w:t>Prve izmjene Programa korištenja sredstava naknade za zadržavanje nezakonito izgrađenih zgrada na području Općine Marčana za 2025. godinu.</w:t>
      </w:r>
    </w:p>
    <w:p w14:paraId="4DA7445C" w14:textId="77777777" w:rsidR="0054567E" w:rsidRPr="0054567E" w:rsidRDefault="0054567E">
      <w:pPr>
        <w:numPr>
          <w:ilvl w:val="0"/>
          <w:numId w:val="4"/>
        </w:numPr>
        <w:suppressAutoHyphens/>
        <w:spacing w:after="160" w:line="259" w:lineRule="auto"/>
        <w:contextualSpacing/>
        <w:jc w:val="both"/>
        <w:rPr>
          <w:sz w:val="23"/>
          <w:szCs w:val="23"/>
        </w:rPr>
      </w:pPr>
      <w:r w:rsidRPr="0054567E">
        <w:rPr>
          <w:sz w:val="23"/>
          <w:szCs w:val="23"/>
        </w:rPr>
        <w:t>Prve izmjene Programa javnih potreba u socijalnoj skrbi i zdravstvu za 2025. godinu.</w:t>
      </w:r>
    </w:p>
    <w:p w14:paraId="24F655FD" w14:textId="77777777" w:rsidR="0054567E" w:rsidRPr="0054567E" w:rsidRDefault="0054567E">
      <w:pPr>
        <w:numPr>
          <w:ilvl w:val="0"/>
          <w:numId w:val="4"/>
        </w:numPr>
        <w:suppressAutoHyphens/>
        <w:spacing w:after="160" w:line="259" w:lineRule="auto"/>
        <w:contextualSpacing/>
        <w:jc w:val="both"/>
        <w:rPr>
          <w:sz w:val="23"/>
          <w:szCs w:val="23"/>
        </w:rPr>
      </w:pPr>
      <w:r w:rsidRPr="0054567E">
        <w:rPr>
          <w:sz w:val="23"/>
          <w:szCs w:val="23"/>
        </w:rPr>
        <w:t>Druge izmjene Programa javnih potreba u djelatnosti predškolskog odgoja za 2025. godinu.</w:t>
      </w:r>
    </w:p>
    <w:p w14:paraId="194D9937" w14:textId="77777777" w:rsidR="0054567E" w:rsidRPr="0054567E" w:rsidRDefault="0054567E">
      <w:pPr>
        <w:numPr>
          <w:ilvl w:val="0"/>
          <w:numId w:val="4"/>
        </w:numPr>
        <w:suppressAutoHyphens/>
        <w:spacing w:after="160" w:line="259" w:lineRule="auto"/>
        <w:contextualSpacing/>
        <w:jc w:val="both"/>
        <w:rPr>
          <w:sz w:val="23"/>
          <w:szCs w:val="23"/>
        </w:rPr>
      </w:pPr>
      <w:r w:rsidRPr="0054567E">
        <w:rPr>
          <w:sz w:val="23"/>
          <w:szCs w:val="23"/>
        </w:rPr>
        <w:t>Prve izmjene Programa javnih potreba u školstvu za 2025. godinu.</w:t>
      </w:r>
    </w:p>
    <w:p w14:paraId="50FB7F56" w14:textId="77777777" w:rsidR="0054567E" w:rsidRPr="0054567E" w:rsidRDefault="0054567E">
      <w:pPr>
        <w:numPr>
          <w:ilvl w:val="0"/>
          <w:numId w:val="4"/>
        </w:numPr>
        <w:suppressAutoHyphens/>
        <w:spacing w:after="160" w:line="259" w:lineRule="auto"/>
        <w:contextualSpacing/>
        <w:jc w:val="both"/>
        <w:rPr>
          <w:sz w:val="23"/>
          <w:szCs w:val="23"/>
        </w:rPr>
      </w:pPr>
      <w:r w:rsidRPr="0054567E">
        <w:rPr>
          <w:sz w:val="23"/>
          <w:szCs w:val="23"/>
        </w:rPr>
        <w:t>Prve izmjene Programa javnih potreba u kulturi za 2025. godinu.</w:t>
      </w:r>
    </w:p>
    <w:p w14:paraId="5B50F476" w14:textId="77777777" w:rsidR="0054567E" w:rsidRPr="0054567E" w:rsidRDefault="0054567E">
      <w:pPr>
        <w:numPr>
          <w:ilvl w:val="0"/>
          <w:numId w:val="4"/>
        </w:numPr>
        <w:suppressAutoHyphens/>
        <w:spacing w:after="160" w:line="259" w:lineRule="auto"/>
        <w:contextualSpacing/>
        <w:jc w:val="both"/>
        <w:rPr>
          <w:sz w:val="23"/>
          <w:szCs w:val="23"/>
        </w:rPr>
      </w:pPr>
      <w:r w:rsidRPr="0054567E">
        <w:rPr>
          <w:sz w:val="23"/>
          <w:szCs w:val="23"/>
        </w:rPr>
        <w:t>Prve izmjene Programa javnih potreba u sportu za 2025. godinu.</w:t>
      </w:r>
    </w:p>
    <w:p w14:paraId="4BBF3420" w14:textId="77777777" w:rsidR="0054567E" w:rsidRPr="0054567E" w:rsidRDefault="0054567E">
      <w:pPr>
        <w:numPr>
          <w:ilvl w:val="0"/>
          <w:numId w:val="4"/>
        </w:numPr>
        <w:suppressAutoHyphens/>
        <w:spacing w:after="160" w:line="259" w:lineRule="auto"/>
        <w:contextualSpacing/>
        <w:jc w:val="both"/>
        <w:rPr>
          <w:sz w:val="23"/>
          <w:szCs w:val="23"/>
        </w:rPr>
      </w:pPr>
      <w:r w:rsidRPr="0054567E">
        <w:rPr>
          <w:sz w:val="23"/>
          <w:szCs w:val="23"/>
        </w:rPr>
        <w:t>Prve izmjene i dopuna Proračuna  Općine Marčana za 2025. godinu.</w:t>
      </w:r>
    </w:p>
    <w:p w14:paraId="013F80A0" w14:textId="77777777" w:rsidR="0054567E" w:rsidRPr="0054567E" w:rsidRDefault="0054567E">
      <w:pPr>
        <w:numPr>
          <w:ilvl w:val="0"/>
          <w:numId w:val="4"/>
        </w:numPr>
        <w:suppressAutoHyphens/>
        <w:spacing w:after="160" w:line="259" w:lineRule="auto"/>
        <w:contextualSpacing/>
        <w:jc w:val="both"/>
      </w:pPr>
      <w:r w:rsidRPr="0054567E">
        <w:t>Program građenja komunalne infrastrukture za 2026. godinu.</w:t>
      </w:r>
    </w:p>
    <w:p w14:paraId="7C363B29" w14:textId="77777777" w:rsidR="0054567E" w:rsidRPr="0054567E" w:rsidRDefault="0054567E">
      <w:pPr>
        <w:numPr>
          <w:ilvl w:val="0"/>
          <w:numId w:val="4"/>
        </w:numPr>
        <w:suppressAutoHyphens/>
        <w:spacing w:after="160" w:line="259" w:lineRule="auto"/>
        <w:contextualSpacing/>
        <w:jc w:val="both"/>
      </w:pPr>
      <w:r w:rsidRPr="0054567E">
        <w:t>Program održavanja komunalne infrastrukture za 2026. godinu.</w:t>
      </w:r>
    </w:p>
    <w:p w14:paraId="47888736" w14:textId="77777777" w:rsidR="0054567E" w:rsidRPr="0054567E" w:rsidRDefault="0054567E">
      <w:pPr>
        <w:numPr>
          <w:ilvl w:val="0"/>
          <w:numId w:val="4"/>
        </w:numPr>
        <w:suppressAutoHyphens/>
        <w:spacing w:after="160" w:line="259" w:lineRule="auto"/>
        <w:contextualSpacing/>
        <w:jc w:val="both"/>
      </w:pPr>
      <w:r w:rsidRPr="0054567E">
        <w:lastRenderedPageBreak/>
        <w:t>Program korištenja sredstava naknade za zadržavanje nezakonito izgrađenih zgrada na području Općine Marčana za 2026. godinu.</w:t>
      </w:r>
    </w:p>
    <w:p w14:paraId="5BB7F69C" w14:textId="77777777" w:rsidR="0054567E" w:rsidRPr="0054567E" w:rsidRDefault="0054567E">
      <w:pPr>
        <w:numPr>
          <w:ilvl w:val="0"/>
          <w:numId w:val="4"/>
        </w:numPr>
        <w:suppressAutoHyphens/>
        <w:spacing w:after="160" w:line="259" w:lineRule="auto"/>
        <w:contextualSpacing/>
        <w:jc w:val="both"/>
      </w:pPr>
      <w:r w:rsidRPr="0054567E">
        <w:t>Program mjera poticanja razvoja malog i srednjeg poduzetništva  na području Općine Marčana za 2026. godinu</w:t>
      </w:r>
    </w:p>
    <w:p w14:paraId="3B7CB044" w14:textId="77777777" w:rsidR="0054567E" w:rsidRPr="0054567E" w:rsidRDefault="0054567E">
      <w:pPr>
        <w:numPr>
          <w:ilvl w:val="0"/>
          <w:numId w:val="4"/>
        </w:numPr>
        <w:suppressAutoHyphens/>
        <w:spacing w:after="160" w:line="259" w:lineRule="auto"/>
        <w:contextualSpacing/>
        <w:jc w:val="both"/>
      </w:pPr>
      <w:r w:rsidRPr="0054567E">
        <w:t>Program javnih potreba u socijalnoj skrbi i zdravstvu za 2026. godinu.</w:t>
      </w:r>
    </w:p>
    <w:p w14:paraId="3982E244" w14:textId="77777777" w:rsidR="0054567E" w:rsidRPr="0054567E" w:rsidRDefault="0054567E">
      <w:pPr>
        <w:numPr>
          <w:ilvl w:val="0"/>
          <w:numId w:val="4"/>
        </w:numPr>
        <w:suppressAutoHyphens/>
        <w:spacing w:after="160" w:line="259" w:lineRule="auto"/>
        <w:contextualSpacing/>
        <w:jc w:val="both"/>
      </w:pPr>
      <w:r w:rsidRPr="0054567E">
        <w:t>Program javnih potreba u djelatnosti predškolskog odgoja za 2026. godinu.</w:t>
      </w:r>
    </w:p>
    <w:p w14:paraId="6D2F2211" w14:textId="77777777" w:rsidR="0054567E" w:rsidRPr="0054567E" w:rsidRDefault="0054567E">
      <w:pPr>
        <w:numPr>
          <w:ilvl w:val="0"/>
          <w:numId w:val="4"/>
        </w:numPr>
        <w:suppressAutoHyphens/>
        <w:spacing w:after="160" w:line="259" w:lineRule="auto"/>
        <w:contextualSpacing/>
        <w:jc w:val="both"/>
      </w:pPr>
      <w:r w:rsidRPr="0054567E">
        <w:t>Program javnih potreba u  školstvu za 2026. godinu.</w:t>
      </w:r>
    </w:p>
    <w:p w14:paraId="443ADE70" w14:textId="77777777" w:rsidR="0054567E" w:rsidRPr="0054567E" w:rsidRDefault="0054567E">
      <w:pPr>
        <w:numPr>
          <w:ilvl w:val="0"/>
          <w:numId w:val="4"/>
        </w:numPr>
        <w:suppressAutoHyphens/>
        <w:spacing w:after="160" w:line="259" w:lineRule="auto"/>
        <w:contextualSpacing/>
        <w:jc w:val="both"/>
      </w:pPr>
      <w:r w:rsidRPr="0054567E">
        <w:t xml:space="preserve">Program javnih potreba u kulturi za 2026. godinu. </w:t>
      </w:r>
    </w:p>
    <w:p w14:paraId="217436B2" w14:textId="77777777" w:rsidR="0054567E" w:rsidRPr="0054567E" w:rsidRDefault="0054567E">
      <w:pPr>
        <w:numPr>
          <w:ilvl w:val="0"/>
          <w:numId w:val="4"/>
        </w:numPr>
        <w:suppressAutoHyphens/>
        <w:spacing w:after="160" w:line="259" w:lineRule="auto"/>
        <w:contextualSpacing/>
        <w:jc w:val="both"/>
      </w:pPr>
      <w:r w:rsidRPr="0054567E">
        <w:t>Program javnih potreba u sportu za 2026. godinu.</w:t>
      </w:r>
    </w:p>
    <w:p w14:paraId="02631380" w14:textId="77777777" w:rsidR="0054567E" w:rsidRPr="0054567E" w:rsidRDefault="0054567E">
      <w:pPr>
        <w:numPr>
          <w:ilvl w:val="0"/>
          <w:numId w:val="4"/>
        </w:numPr>
        <w:suppressAutoHyphens/>
        <w:spacing w:after="160" w:line="259" w:lineRule="auto"/>
        <w:contextualSpacing/>
        <w:jc w:val="both"/>
      </w:pPr>
      <w:r w:rsidRPr="0054567E">
        <w:t>Program javnih potreba koje se ostvaruju putem udruga civilnog društva za 2026. godinu.</w:t>
      </w:r>
    </w:p>
    <w:p w14:paraId="2DEFB7E5" w14:textId="77777777" w:rsidR="0054567E" w:rsidRPr="0054567E" w:rsidRDefault="0054567E">
      <w:pPr>
        <w:numPr>
          <w:ilvl w:val="0"/>
          <w:numId w:val="4"/>
        </w:numPr>
        <w:suppressAutoHyphens/>
        <w:spacing w:after="160" w:line="259" w:lineRule="auto"/>
        <w:contextualSpacing/>
        <w:jc w:val="both"/>
      </w:pPr>
      <w:r w:rsidRPr="0054567E">
        <w:t>Proračun Općine Marčana za 2026. godinu sa projekcijama za 2027. i 2028. godinu.</w:t>
      </w:r>
    </w:p>
    <w:p w14:paraId="606E8DFB" w14:textId="77777777" w:rsidR="0054567E" w:rsidRPr="0054567E" w:rsidRDefault="0054567E">
      <w:pPr>
        <w:numPr>
          <w:ilvl w:val="0"/>
          <w:numId w:val="4"/>
        </w:numPr>
        <w:suppressAutoHyphens/>
        <w:spacing w:after="160" w:line="259" w:lineRule="auto"/>
        <w:contextualSpacing/>
        <w:jc w:val="both"/>
      </w:pPr>
      <w:r w:rsidRPr="0054567E">
        <w:t>Godišnji plan  upravljanja imovinom u vlasništvu Općine Marčana za  2026.  godinu.</w:t>
      </w:r>
    </w:p>
    <w:p w14:paraId="0C49B319" w14:textId="77777777" w:rsidR="0054567E" w:rsidRPr="0054567E" w:rsidRDefault="0054567E" w:rsidP="0054567E">
      <w:pPr>
        <w:suppressAutoHyphens/>
        <w:jc w:val="both"/>
      </w:pPr>
    </w:p>
    <w:p w14:paraId="0268828E" w14:textId="77777777" w:rsidR="0054567E" w:rsidRPr="0054567E" w:rsidRDefault="0054567E" w:rsidP="0054567E">
      <w:pPr>
        <w:suppressAutoHyphens/>
        <w:jc w:val="both"/>
      </w:pPr>
    </w:p>
    <w:p w14:paraId="7E652519" w14:textId="77777777" w:rsidR="0054567E" w:rsidRPr="0054567E" w:rsidRDefault="0054567E" w:rsidP="0054567E">
      <w:pPr>
        <w:suppressAutoHyphens/>
        <w:jc w:val="both"/>
      </w:pPr>
    </w:p>
    <w:p w14:paraId="094D3409" w14:textId="77777777" w:rsidR="0054567E" w:rsidRPr="0054567E" w:rsidRDefault="0054567E" w:rsidP="0054567E">
      <w:pPr>
        <w:suppressAutoHyphens/>
        <w:jc w:val="both"/>
        <w:rPr>
          <w:u w:val="single"/>
        </w:rPr>
      </w:pPr>
      <w:r w:rsidRPr="0054567E">
        <w:rPr>
          <w:u w:val="single"/>
        </w:rPr>
        <w:t>2.2.2 Ostali akti iz samoupravnog djelokruga:</w:t>
      </w:r>
    </w:p>
    <w:p w14:paraId="71D202BA" w14:textId="77777777" w:rsidR="0054567E" w:rsidRPr="0054567E" w:rsidRDefault="0054567E" w:rsidP="0054567E">
      <w:pPr>
        <w:tabs>
          <w:tab w:val="left" w:pos="709"/>
          <w:tab w:val="left" w:pos="7088"/>
        </w:tabs>
        <w:suppressAutoHyphens/>
        <w:jc w:val="both"/>
        <w:rPr>
          <w:b/>
          <w:szCs w:val="20"/>
        </w:rPr>
      </w:pPr>
    </w:p>
    <w:p w14:paraId="20BF8206" w14:textId="77777777" w:rsidR="0054567E" w:rsidRPr="0054567E" w:rsidRDefault="0054567E" w:rsidP="0054567E">
      <w:pPr>
        <w:tabs>
          <w:tab w:val="left" w:pos="709"/>
          <w:tab w:val="left" w:pos="7088"/>
        </w:tabs>
        <w:suppressAutoHyphens/>
        <w:jc w:val="both"/>
        <w:rPr>
          <w:b/>
          <w:szCs w:val="20"/>
        </w:rPr>
      </w:pPr>
    </w:p>
    <w:p w14:paraId="6DEBDBBF" w14:textId="77777777" w:rsidR="0054567E" w:rsidRPr="0054567E" w:rsidRDefault="0054567E">
      <w:pPr>
        <w:numPr>
          <w:ilvl w:val="0"/>
          <w:numId w:val="5"/>
        </w:numPr>
        <w:suppressAutoHyphens/>
        <w:spacing w:after="160" w:line="259" w:lineRule="auto"/>
        <w:contextualSpacing/>
        <w:jc w:val="both"/>
      </w:pPr>
      <w:r w:rsidRPr="0054567E">
        <w:t>Zaključak o prihvaćanju Izvješća o drugoj preraspodjeli sredstava na proračunskim stavkama u Proračunu Općine Marčana za 2025. godinu.</w:t>
      </w:r>
    </w:p>
    <w:p w14:paraId="0C5A17BD" w14:textId="77777777" w:rsidR="0054567E" w:rsidRPr="0054567E" w:rsidRDefault="0054567E">
      <w:pPr>
        <w:numPr>
          <w:ilvl w:val="0"/>
          <w:numId w:val="5"/>
        </w:numPr>
        <w:spacing w:after="160" w:line="259" w:lineRule="auto"/>
        <w:contextualSpacing/>
      </w:pPr>
      <w:r w:rsidRPr="0054567E">
        <w:t>Zaključak o prihvaćanju Izvješća o trećoj preraspodjeli sredstava na proračunskim stavkama u Proračunu Općine Marčana za 2025. godinu.</w:t>
      </w:r>
    </w:p>
    <w:p w14:paraId="774D701E" w14:textId="77777777" w:rsidR="0054567E" w:rsidRPr="0054567E" w:rsidRDefault="0054567E">
      <w:pPr>
        <w:numPr>
          <w:ilvl w:val="0"/>
          <w:numId w:val="5"/>
        </w:numPr>
        <w:suppressAutoHyphens/>
        <w:spacing w:after="160" w:line="259" w:lineRule="auto"/>
        <w:contextualSpacing/>
        <w:jc w:val="both"/>
      </w:pPr>
      <w:r w:rsidRPr="0054567E">
        <w:t>Odluka o prihvaćanju  Polugodišnjeg izvještaja o izvršenju Proračuna Općine Marčana za razdoblje siječanj – lipanj 2025. godine.</w:t>
      </w:r>
    </w:p>
    <w:p w14:paraId="70D33385" w14:textId="77777777" w:rsidR="0054567E" w:rsidRPr="0054567E" w:rsidRDefault="0054567E">
      <w:pPr>
        <w:numPr>
          <w:ilvl w:val="0"/>
          <w:numId w:val="5"/>
        </w:numPr>
        <w:suppressAutoHyphens/>
        <w:spacing w:after="160" w:line="259" w:lineRule="auto"/>
        <w:contextualSpacing/>
        <w:jc w:val="both"/>
      </w:pPr>
      <w:r w:rsidRPr="0054567E">
        <w:t>Zaključak o prihvaćanju Izvješća o radu Općinskog načelnika u prvom polugodištu  2025. godine.</w:t>
      </w:r>
    </w:p>
    <w:p w14:paraId="716C62A2" w14:textId="77777777" w:rsidR="0054567E" w:rsidRPr="0054567E" w:rsidRDefault="0054567E">
      <w:pPr>
        <w:numPr>
          <w:ilvl w:val="0"/>
          <w:numId w:val="5"/>
        </w:numPr>
        <w:suppressAutoHyphens/>
        <w:spacing w:after="160" w:line="259" w:lineRule="auto"/>
        <w:contextualSpacing/>
        <w:jc w:val="both"/>
      </w:pPr>
      <w:r w:rsidRPr="0054567E">
        <w:t>Zaključak o prihvaćanju Izvješća Općinskog načelnika u svezi zaprimljenih inicijativa za pokretanje postupka za izradu Izmjena i dopuna Prostornog plana uređenja Općine Marčana.</w:t>
      </w:r>
    </w:p>
    <w:p w14:paraId="6610E1A7" w14:textId="77777777" w:rsidR="0054567E" w:rsidRPr="0054567E" w:rsidRDefault="0054567E">
      <w:pPr>
        <w:numPr>
          <w:ilvl w:val="0"/>
          <w:numId w:val="5"/>
        </w:numPr>
        <w:spacing w:after="160" w:line="259" w:lineRule="auto"/>
        <w:contextualSpacing/>
      </w:pPr>
      <w:r w:rsidRPr="0054567E">
        <w:t>Zaključak o prihvaćanju Izvješća Općinskog načelnika u svezi zaprimljenih inicijativa za pokretanje postupka za izradu urbanističkih planova uređenja.</w:t>
      </w:r>
    </w:p>
    <w:p w14:paraId="30ADA6CD" w14:textId="77777777" w:rsidR="0054567E" w:rsidRPr="0054567E" w:rsidRDefault="0054567E">
      <w:pPr>
        <w:numPr>
          <w:ilvl w:val="0"/>
          <w:numId w:val="5"/>
        </w:numPr>
        <w:suppressAutoHyphens/>
        <w:spacing w:after="120" w:line="259" w:lineRule="auto"/>
        <w:contextualSpacing/>
        <w:jc w:val="both"/>
        <w:rPr>
          <w:sz w:val="23"/>
          <w:szCs w:val="23"/>
          <w:lang w:val="en-AU"/>
        </w:rPr>
      </w:pPr>
      <w:proofErr w:type="spellStart"/>
      <w:r w:rsidRPr="0054567E">
        <w:rPr>
          <w:sz w:val="23"/>
          <w:szCs w:val="23"/>
          <w:lang w:val="en-AU"/>
        </w:rPr>
        <w:t>Odluka</w:t>
      </w:r>
      <w:proofErr w:type="spellEnd"/>
      <w:r w:rsidRPr="0054567E">
        <w:rPr>
          <w:sz w:val="23"/>
          <w:szCs w:val="23"/>
          <w:lang w:val="en-AU"/>
        </w:rPr>
        <w:t xml:space="preserve"> o </w:t>
      </w:r>
      <w:proofErr w:type="spellStart"/>
      <w:r w:rsidRPr="0054567E">
        <w:rPr>
          <w:sz w:val="23"/>
          <w:szCs w:val="23"/>
          <w:lang w:val="en-AU"/>
        </w:rPr>
        <w:t>odabiru</w:t>
      </w:r>
      <w:proofErr w:type="spellEnd"/>
      <w:r w:rsidRPr="0054567E">
        <w:rPr>
          <w:sz w:val="23"/>
          <w:szCs w:val="23"/>
          <w:lang w:val="en-AU"/>
        </w:rPr>
        <w:t xml:space="preserve"> </w:t>
      </w:r>
      <w:proofErr w:type="spellStart"/>
      <w:r w:rsidRPr="0054567E">
        <w:rPr>
          <w:sz w:val="23"/>
          <w:szCs w:val="23"/>
          <w:lang w:val="en-AU"/>
        </w:rPr>
        <w:t>najpovoljnijih</w:t>
      </w:r>
      <w:proofErr w:type="spellEnd"/>
      <w:r w:rsidRPr="0054567E">
        <w:rPr>
          <w:sz w:val="23"/>
          <w:szCs w:val="23"/>
          <w:lang w:val="en-AU"/>
        </w:rPr>
        <w:t xml:space="preserve"> </w:t>
      </w:r>
      <w:proofErr w:type="spellStart"/>
      <w:r w:rsidRPr="0054567E">
        <w:rPr>
          <w:sz w:val="23"/>
          <w:szCs w:val="23"/>
          <w:lang w:val="en-AU"/>
        </w:rPr>
        <w:t>ponuditelja</w:t>
      </w:r>
      <w:proofErr w:type="spellEnd"/>
      <w:r w:rsidRPr="0054567E">
        <w:rPr>
          <w:sz w:val="23"/>
          <w:szCs w:val="23"/>
          <w:lang w:val="en-AU"/>
        </w:rPr>
        <w:t xml:space="preserve"> za </w:t>
      </w:r>
      <w:proofErr w:type="spellStart"/>
      <w:r w:rsidRPr="0054567E">
        <w:rPr>
          <w:sz w:val="23"/>
          <w:szCs w:val="23"/>
          <w:lang w:val="en-AU"/>
        </w:rPr>
        <w:t>dodjelu</w:t>
      </w:r>
      <w:proofErr w:type="spellEnd"/>
      <w:r w:rsidRPr="0054567E">
        <w:rPr>
          <w:sz w:val="23"/>
          <w:szCs w:val="23"/>
          <w:lang w:val="en-AU"/>
        </w:rPr>
        <w:t xml:space="preserve"> </w:t>
      </w:r>
      <w:proofErr w:type="spellStart"/>
      <w:r w:rsidRPr="0054567E">
        <w:rPr>
          <w:sz w:val="23"/>
          <w:szCs w:val="23"/>
          <w:lang w:val="en-AU"/>
        </w:rPr>
        <w:t>dozvola</w:t>
      </w:r>
      <w:proofErr w:type="spellEnd"/>
      <w:r w:rsidRPr="0054567E">
        <w:rPr>
          <w:sz w:val="23"/>
          <w:szCs w:val="23"/>
          <w:lang w:val="en-AU"/>
        </w:rPr>
        <w:t xml:space="preserve"> za </w:t>
      </w:r>
      <w:proofErr w:type="spellStart"/>
      <w:r w:rsidRPr="0054567E">
        <w:rPr>
          <w:sz w:val="23"/>
          <w:szCs w:val="23"/>
          <w:lang w:val="en-AU"/>
        </w:rPr>
        <w:t>obavljanje</w:t>
      </w:r>
      <w:proofErr w:type="spellEnd"/>
      <w:r w:rsidRPr="0054567E">
        <w:rPr>
          <w:sz w:val="23"/>
          <w:szCs w:val="23"/>
          <w:lang w:val="en-AU"/>
        </w:rPr>
        <w:t xml:space="preserve"> </w:t>
      </w:r>
      <w:proofErr w:type="spellStart"/>
      <w:r w:rsidRPr="0054567E">
        <w:rPr>
          <w:sz w:val="23"/>
          <w:szCs w:val="23"/>
          <w:lang w:val="en-AU"/>
        </w:rPr>
        <w:t>djelatnosti</w:t>
      </w:r>
      <w:proofErr w:type="spellEnd"/>
      <w:r w:rsidRPr="0054567E">
        <w:rPr>
          <w:sz w:val="23"/>
          <w:szCs w:val="23"/>
          <w:lang w:val="en-AU"/>
        </w:rPr>
        <w:t xml:space="preserve"> </w:t>
      </w:r>
      <w:proofErr w:type="spellStart"/>
      <w:r w:rsidRPr="0054567E">
        <w:rPr>
          <w:sz w:val="23"/>
          <w:szCs w:val="23"/>
          <w:lang w:val="en-AU"/>
        </w:rPr>
        <w:t>na</w:t>
      </w:r>
      <w:proofErr w:type="spellEnd"/>
      <w:r w:rsidRPr="0054567E">
        <w:rPr>
          <w:sz w:val="23"/>
          <w:szCs w:val="23"/>
          <w:lang w:val="en-AU"/>
        </w:rPr>
        <w:t xml:space="preserve"> </w:t>
      </w:r>
      <w:proofErr w:type="spellStart"/>
      <w:r w:rsidRPr="0054567E">
        <w:rPr>
          <w:sz w:val="23"/>
          <w:szCs w:val="23"/>
          <w:lang w:val="en-AU"/>
        </w:rPr>
        <w:t>pomorskom</w:t>
      </w:r>
      <w:proofErr w:type="spellEnd"/>
      <w:r w:rsidRPr="0054567E">
        <w:rPr>
          <w:sz w:val="23"/>
          <w:szCs w:val="23"/>
          <w:lang w:val="en-AU"/>
        </w:rPr>
        <w:t xml:space="preserve"> </w:t>
      </w:r>
      <w:proofErr w:type="spellStart"/>
      <w:r w:rsidRPr="0054567E">
        <w:rPr>
          <w:sz w:val="23"/>
          <w:szCs w:val="23"/>
          <w:lang w:val="en-AU"/>
        </w:rPr>
        <w:t>dobru</w:t>
      </w:r>
      <w:proofErr w:type="spellEnd"/>
      <w:r w:rsidRPr="0054567E">
        <w:rPr>
          <w:sz w:val="23"/>
          <w:szCs w:val="23"/>
          <w:lang w:val="en-AU"/>
        </w:rPr>
        <w:t xml:space="preserve"> </w:t>
      </w:r>
      <w:proofErr w:type="spellStart"/>
      <w:r w:rsidRPr="0054567E">
        <w:rPr>
          <w:sz w:val="23"/>
          <w:szCs w:val="23"/>
          <w:lang w:val="en-AU"/>
        </w:rPr>
        <w:t>na</w:t>
      </w:r>
      <w:proofErr w:type="spellEnd"/>
      <w:r w:rsidRPr="0054567E">
        <w:rPr>
          <w:sz w:val="23"/>
          <w:szCs w:val="23"/>
          <w:lang w:val="en-AU"/>
        </w:rPr>
        <w:t xml:space="preserve"> </w:t>
      </w:r>
      <w:proofErr w:type="spellStart"/>
      <w:r w:rsidRPr="0054567E">
        <w:rPr>
          <w:sz w:val="23"/>
          <w:szCs w:val="23"/>
          <w:lang w:val="en-AU"/>
        </w:rPr>
        <w:t>području</w:t>
      </w:r>
      <w:proofErr w:type="spellEnd"/>
      <w:r w:rsidRPr="0054567E">
        <w:rPr>
          <w:sz w:val="23"/>
          <w:szCs w:val="23"/>
          <w:lang w:val="en-AU"/>
        </w:rPr>
        <w:t xml:space="preserve"> </w:t>
      </w:r>
      <w:proofErr w:type="spellStart"/>
      <w:r w:rsidRPr="0054567E">
        <w:rPr>
          <w:sz w:val="23"/>
          <w:szCs w:val="23"/>
          <w:lang w:val="en-AU"/>
        </w:rPr>
        <w:t>Općine</w:t>
      </w:r>
      <w:proofErr w:type="spellEnd"/>
      <w:r w:rsidRPr="0054567E">
        <w:rPr>
          <w:sz w:val="23"/>
          <w:szCs w:val="23"/>
          <w:lang w:val="en-AU"/>
        </w:rPr>
        <w:t xml:space="preserve"> Marčana.</w:t>
      </w:r>
    </w:p>
    <w:p w14:paraId="10E4C5DD" w14:textId="77777777" w:rsidR="0054567E" w:rsidRPr="0054567E" w:rsidRDefault="0054567E">
      <w:pPr>
        <w:numPr>
          <w:ilvl w:val="0"/>
          <w:numId w:val="5"/>
        </w:numPr>
        <w:suppressAutoHyphens/>
        <w:spacing w:after="120" w:line="259" w:lineRule="auto"/>
        <w:contextualSpacing/>
        <w:jc w:val="both"/>
        <w:rPr>
          <w:sz w:val="23"/>
          <w:szCs w:val="23"/>
          <w:lang w:val="en-AU"/>
        </w:rPr>
      </w:pPr>
      <w:proofErr w:type="spellStart"/>
      <w:r w:rsidRPr="0054567E">
        <w:rPr>
          <w:sz w:val="23"/>
          <w:szCs w:val="23"/>
          <w:lang w:val="en-AU"/>
        </w:rPr>
        <w:t>Odluka</w:t>
      </w:r>
      <w:proofErr w:type="spellEnd"/>
      <w:r w:rsidRPr="0054567E">
        <w:rPr>
          <w:sz w:val="23"/>
          <w:szCs w:val="23"/>
          <w:lang w:val="en-AU"/>
        </w:rPr>
        <w:t xml:space="preserve"> o </w:t>
      </w:r>
      <w:proofErr w:type="spellStart"/>
      <w:r w:rsidRPr="0054567E">
        <w:rPr>
          <w:sz w:val="23"/>
          <w:szCs w:val="23"/>
          <w:lang w:val="en-AU"/>
        </w:rPr>
        <w:t>ukidanju</w:t>
      </w:r>
      <w:proofErr w:type="spellEnd"/>
      <w:r w:rsidRPr="0054567E">
        <w:rPr>
          <w:sz w:val="23"/>
          <w:szCs w:val="23"/>
          <w:lang w:val="en-AU"/>
        </w:rPr>
        <w:t xml:space="preserve"> </w:t>
      </w:r>
      <w:proofErr w:type="spellStart"/>
      <w:r w:rsidRPr="0054567E">
        <w:rPr>
          <w:sz w:val="23"/>
          <w:szCs w:val="23"/>
          <w:lang w:val="en-AU"/>
        </w:rPr>
        <w:t>dozvole</w:t>
      </w:r>
      <w:proofErr w:type="spellEnd"/>
      <w:r w:rsidRPr="0054567E">
        <w:rPr>
          <w:sz w:val="23"/>
          <w:szCs w:val="23"/>
          <w:lang w:val="en-AU"/>
        </w:rPr>
        <w:t xml:space="preserve"> za </w:t>
      </w:r>
      <w:proofErr w:type="spellStart"/>
      <w:r w:rsidRPr="0054567E">
        <w:rPr>
          <w:sz w:val="23"/>
          <w:szCs w:val="23"/>
          <w:lang w:val="en-AU"/>
        </w:rPr>
        <w:t>obavljanje</w:t>
      </w:r>
      <w:proofErr w:type="spellEnd"/>
      <w:r w:rsidRPr="0054567E">
        <w:rPr>
          <w:sz w:val="23"/>
          <w:szCs w:val="23"/>
          <w:lang w:val="en-AU"/>
        </w:rPr>
        <w:t xml:space="preserve"> </w:t>
      </w:r>
      <w:proofErr w:type="spellStart"/>
      <w:r w:rsidRPr="0054567E">
        <w:rPr>
          <w:sz w:val="23"/>
          <w:szCs w:val="23"/>
          <w:lang w:val="en-AU"/>
        </w:rPr>
        <w:t>djelatnosti</w:t>
      </w:r>
      <w:proofErr w:type="spellEnd"/>
      <w:r w:rsidRPr="0054567E">
        <w:rPr>
          <w:sz w:val="23"/>
          <w:szCs w:val="23"/>
          <w:lang w:val="en-AU"/>
        </w:rPr>
        <w:t xml:space="preserve"> </w:t>
      </w:r>
      <w:proofErr w:type="spellStart"/>
      <w:r w:rsidRPr="0054567E">
        <w:rPr>
          <w:sz w:val="23"/>
          <w:szCs w:val="23"/>
          <w:lang w:val="en-AU"/>
        </w:rPr>
        <w:t>na</w:t>
      </w:r>
      <w:proofErr w:type="spellEnd"/>
      <w:r w:rsidRPr="0054567E">
        <w:rPr>
          <w:sz w:val="23"/>
          <w:szCs w:val="23"/>
          <w:lang w:val="en-AU"/>
        </w:rPr>
        <w:t xml:space="preserve"> </w:t>
      </w:r>
      <w:proofErr w:type="spellStart"/>
      <w:r w:rsidRPr="0054567E">
        <w:rPr>
          <w:sz w:val="23"/>
          <w:szCs w:val="23"/>
          <w:lang w:val="en-AU"/>
        </w:rPr>
        <w:t>pomorskom</w:t>
      </w:r>
      <w:proofErr w:type="spellEnd"/>
      <w:r w:rsidRPr="0054567E">
        <w:rPr>
          <w:sz w:val="23"/>
          <w:szCs w:val="23"/>
          <w:lang w:val="en-AU"/>
        </w:rPr>
        <w:t xml:space="preserve"> </w:t>
      </w:r>
      <w:proofErr w:type="spellStart"/>
      <w:r w:rsidRPr="0054567E">
        <w:rPr>
          <w:sz w:val="23"/>
          <w:szCs w:val="23"/>
          <w:lang w:val="en-AU"/>
        </w:rPr>
        <w:t>dobru</w:t>
      </w:r>
      <w:proofErr w:type="spellEnd"/>
      <w:r w:rsidRPr="0054567E">
        <w:rPr>
          <w:sz w:val="23"/>
          <w:szCs w:val="23"/>
          <w:lang w:val="en-AU"/>
        </w:rPr>
        <w:t xml:space="preserve"> </w:t>
      </w:r>
      <w:proofErr w:type="spellStart"/>
      <w:r w:rsidRPr="0054567E">
        <w:rPr>
          <w:sz w:val="23"/>
          <w:szCs w:val="23"/>
          <w:lang w:val="en-AU"/>
        </w:rPr>
        <w:t>na</w:t>
      </w:r>
      <w:proofErr w:type="spellEnd"/>
      <w:r w:rsidRPr="0054567E">
        <w:rPr>
          <w:sz w:val="23"/>
          <w:szCs w:val="23"/>
          <w:lang w:val="en-AU"/>
        </w:rPr>
        <w:t xml:space="preserve"> </w:t>
      </w:r>
      <w:proofErr w:type="spellStart"/>
      <w:r w:rsidRPr="0054567E">
        <w:rPr>
          <w:sz w:val="23"/>
          <w:szCs w:val="23"/>
          <w:lang w:val="en-AU"/>
        </w:rPr>
        <w:t>području</w:t>
      </w:r>
      <w:proofErr w:type="spellEnd"/>
      <w:r w:rsidRPr="0054567E">
        <w:rPr>
          <w:sz w:val="23"/>
          <w:szCs w:val="23"/>
          <w:lang w:val="en-AU"/>
        </w:rPr>
        <w:t xml:space="preserve"> </w:t>
      </w:r>
      <w:proofErr w:type="spellStart"/>
      <w:r w:rsidRPr="0054567E">
        <w:rPr>
          <w:sz w:val="23"/>
          <w:szCs w:val="23"/>
          <w:lang w:val="en-AU"/>
        </w:rPr>
        <w:t>Općine</w:t>
      </w:r>
      <w:proofErr w:type="spellEnd"/>
      <w:r w:rsidRPr="0054567E">
        <w:rPr>
          <w:sz w:val="23"/>
          <w:szCs w:val="23"/>
          <w:lang w:val="en-AU"/>
        </w:rPr>
        <w:t xml:space="preserve"> Marčana, </w:t>
      </w:r>
      <w:proofErr w:type="spellStart"/>
      <w:r w:rsidRPr="0054567E">
        <w:rPr>
          <w:sz w:val="23"/>
          <w:szCs w:val="23"/>
          <w:lang w:val="en-AU"/>
        </w:rPr>
        <w:t>na</w:t>
      </w:r>
      <w:proofErr w:type="spellEnd"/>
      <w:r w:rsidRPr="0054567E">
        <w:rPr>
          <w:sz w:val="23"/>
          <w:szCs w:val="23"/>
          <w:lang w:val="en-AU"/>
        </w:rPr>
        <w:t xml:space="preserve"> </w:t>
      </w:r>
      <w:proofErr w:type="spellStart"/>
      <w:r w:rsidRPr="0054567E">
        <w:rPr>
          <w:sz w:val="23"/>
          <w:szCs w:val="23"/>
          <w:lang w:val="en-AU"/>
        </w:rPr>
        <w:t>mikrolokaciji</w:t>
      </w:r>
      <w:proofErr w:type="spellEnd"/>
      <w:r w:rsidRPr="0054567E">
        <w:rPr>
          <w:sz w:val="23"/>
          <w:szCs w:val="23"/>
          <w:lang w:val="en-AU"/>
        </w:rPr>
        <w:t xml:space="preserve"> r.br. 14. </w:t>
      </w:r>
      <w:proofErr w:type="spellStart"/>
      <w:r w:rsidRPr="0054567E">
        <w:rPr>
          <w:sz w:val="23"/>
          <w:szCs w:val="23"/>
          <w:lang w:val="en-AU"/>
        </w:rPr>
        <w:t>Kalavojna</w:t>
      </w:r>
      <w:proofErr w:type="spellEnd"/>
      <w:r w:rsidRPr="0054567E">
        <w:rPr>
          <w:sz w:val="23"/>
          <w:szCs w:val="23"/>
          <w:lang w:val="en-AU"/>
        </w:rPr>
        <w:t>.</w:t>
      </w:r>
    </w:p>
    <w:p w14:paraId="33877C63" w14:textId="77777777" w:rsidR="0054567E" w:rsidRPr="0054567E" w:rsidRDefault="0054567E">
      <w:pPr>
        <w:numPr>
          <w:ilvl w:val="0"/>
          <w:numId w:val="5"/>
        </w:numPr>
        <w:suppressAutoHyphens/>
        <w:spacing w:after="120" w:line="259" w:lineRule="auto"/>
        <w:contextualSpacing/>
        <w:jc w:val="both"/>
        <w:rPr>
          <w:sz w:val="23"/>
          <w:szCs w:val="23"/>
          <w:lang w:val="en-AU"/>
        </w:rPr>
      </w:pPr>
      <w:proofErr w:type="spellStart"/>
      <w:r w:rsidRPr="0054567E">
        <w:rPr>
          <w:sz w:val="23"/>
          <w:szCs w:val="23"/>
          <w:lang w:val="en-AU"/>
        </w:rPr>
        <w:t>Odluka</w:t>
      </w:r>
      <w:proofErr w:type="spellEnd"/>
      <w:r w:rsidRPr="0054567E">
        <w:rPr>
          <w:sz w:val="23"/>
          <w:szCs w:val="23"/>
          <w:lang w:val="en-AU"/>
        </w:rPr>
        <w:t xml:space="preserve"> o </w:t>
      </w:r>
      <w:proofErr w:type="spellStart"/>
      <w:r w:rsidRPr="0054567E">
        <w:rPr>
          <w:sz w:val="23"/>
          <w:szCs w:val="23"/>
          <w:lang w:val="en-AU"/>
        </w:rPr>
        <w:t>usvajanju</w:t>
      </w:r>
      <w:proofErr w:type="spellEnd"/>
      <w:r w:rsidRPr="0054567E">
        <w:rPr>
          <w:sz w:val="23"/>
          <w:szCs w:val="23"/>
          <w:lang w:val="en-AU"/>
        </w:rPr>
        <w:t xml:space="preserve"> </w:t>
      </w:r>
      <w:proofErr w:type="spellStart"/>
      <w:r w:rsidRPr="0054567E">
        <w:rPr>
          <w:sz w:val="23"/>
          <w:szCs w:val="23"/>
          <w:lang w:val="en-AU"/>
        </w:rPr>
        <w:t>Izvješća</w:t>
      </w:r>
      <w:proofErr w:type="spellEnd"/>
      <w:r w:rsidRPr="0054567E">
        <w:rPr>
          <w:sz w:val="23"/>
          <w:szCs w:val="23"/>
          <w:lang w:val="en-AU"/>
        </w:rPr>
        <w:t xml:space="preserve"> o </w:t>
      </w:r>
      <w:proofErr w:type="spellStart"/>
      <w:r w:rsidRPr="0054567E">
        <w:rPr>
          <w:sz w:val="23"/>
          <w:szCs w:val="23"/>
          <w:lang w:val="en-AU"/>
        </w:rPr>
        <w:t>probedbi</w:t>
      </w:r>
      <w:proofErr w:type="spellEnd"/>
      <w:r w:rsidRPr="0054567E">
        <w:rPr>
          <w:sz w:val="23"/>
          <w:szCs w:val="23"/>
          <w:lang w:val="en-AU"/>
        </w:rPr>
        <w:t xml:space="preserve"> </w:t>
      </w:r>
      <w:proofErr w:type="spellStart"/>
      <w:r w:rsidRPr="0054567E">
        <w:rPr>
          <w:sz w:val="23"/>
          <w:szCs w:val="23"/>
          <w:lang w:val="en-AU"/>
        </w:rPr>
        <w:t>Godišnjeg</w:t>
      </w:r>
      <w:proofErr w:type="spellEnd"/>
      <w:r w:rsidRPr="0054567E">
        <w:rPr>
          <w:sz w:val="23"/>
          <w:szCs w:val="23"/>
          <w:lang w:val="en-AU"/>
        </w:rPr>
        <w:t xml:space="preserve"> plana </w:t>
      </w:r>
      <w:proofErr w:type="spellStart"/>
      <w:r w:rsidRPr="0054567E">
        <w:rPr>
          <w:sz w:val="23"/>
          <w:szCs w:val="23"/>
          <w:lang w:val="en-AU"/>
        </w:rPr>
        <w:t>upravljanja</w:t>
      </w:r>
      <w:proofErr w:type="spellEnd"/>
      <w:r w:rsidRPr="0054567E">
        <w:rPr>
          <w:sz w:val="23"/>
          <w:szCs w:val="23"/>
          <w:lang w:val="en-AU"/>
        </w:rPr>
        <w:t xml:space="preserve"> </w:t>
      </w:r>
      <w:proofErr w:type="spellStart"/>
      <w:r w:rsidRPr="0054567E">
        <w:rPr>
          <w:sz w:val="23"/>
          <w:szCs w:val="23"/>
          <w:lang w:val="en-AU"/>
        </w:rPr>
        <w:t>imovinom</w:t>
      </w:r>
      <w:proofErr w:type="spellEnd"/>
      <w:r w:rsidRPr="0054567E">
        <w:rPr>
          <w:sz w:val="23"/>
          <w:szCs w:val="23"/>
          <w:lang w:val="en-AU"/>
        </w:rPr>
        <w:t xml:space="preserve"> u </w:t>
      </w:r>
      <w:proofErr w:type="spellStart"/>
      <w:r w:rsidRPr="0054567E">
        <w:rPr>
          <w:sz w:val="23"/>
          <w:szCs w:val="23"/>
          <w:lang w:val="en-AU"/>
        </w:rPr>
        <w:t>vlasništvu</w:t>
      </w:r>
      <w:proofErr w:type="spellEnd"/>
      <w:r w:rsidRPr="0054567E">
        <w:rPr>
          <w:sz w:val="23"/>
          <w:szCs w:val="23"/>
          <w:lang w:val="en-AU"/>
        </w:rPr>
        <w:t xml:space="preserve"> </w:t>
      </w:r>
      <w:proofErr w:type="spellStart"/>
      <w:r w:rsidRPr="0054567E">
        <w:rPr>
          <w:sz w:val="23"/>
          <w:szCs w:val="23"/>
          <w:lang w:val="en-AU"/>
        </w:rPr>
        <w:t>Općine</w:t>
      </w:r>
      <w:proofErr w:type="spellEnd"/>
      <w:r w:rsidRPr="0054567E">
        <w:rPr>
          <w:sz w:val="23"/>
          <w:szCs w:val="23"/>
          <w:lang w:val="en-AU"/>
        </w:rPr>
        <w:t xml:space="preserve"> Marčana za 2024. </w:t>
      </w:r>
      <w:proofErr w:type="spellStart"/>
      <w:r w:rsidRPr="0054567E">
        <w:rPr>
          <w:sz w:val="23"/>
          <w:szCs w:val="23"/>
          <w:lang w:val="en-AU"/>
        </w:rPr>
        <w:t>godinu</w:t>
      </w:r>
      <w:proofErr w:type="spellEnd"/>
      <w:r w:rsidRPr="0054567E">
        <w:rPr>
          <w:sz w:val="23"/>
          <w:szCs w:val="23"/>
          <w:lang w:val="en-AU"/>
        </w:rPr>
        <w:t>.</w:t>
      </w:r>
    </w:p>
    <w:p w14:paraId="6FBBB848" w14:textId="77777777" w:rsidR="0054567E" w:rsidRPr="0054567E" w:rsidRDefault="0054567E">
      <w:pPr>
        <w:numPr>
          <w:ilvl w:val="0"/>
          <w:numId w:val="5"/>
        </w:numPr>
        <w:suppressAutoHyphens/>
        <w:spacing w:after="120" w:line="259" w:lineRule="auto"/>
        <w:contextualSpacing/>
        <w:jc w:val="both"/>
        <w:rPr>
          <w:sz w:val="23"/>
          <w:szCs w:val="23"/>
          <w:lang w:val="en-AU"/>
        </w:rPr>
      </w:pPr>
      <w:proofErr w:type="spellStart"/>
      <w:r w:rsidRPr="0054567E">
        <w:rPr>
          <w:sz w:val="23"/>
          <w:szCs w:val="23"/>
          <w:lang w:val="en-AU"/>
        </w:rPr>
        <w:t>Zaključak</w:t>
      </w:r>
      <w:proofErr w:type="spellEnd"/>
      <w:r w:rsidRPr="0054567E">
        <w:rPr>
          <w:sz w:val="23"/>
          <w:szCs w:val="23"/>
          <w:lang w:val="en-AU"/>
        </w:rPr>
        <w:t xml:space="preserve"> o </w:t>
      </w:r>
      <w:proofErr w:type="spellStart"/>
      <w:r w:rsidRPr="0054567E">
        <w:rPr>
          <w:sz w:val="23"/>
          <w:szCs w:val="23"/>
          <w:lang w:val="en-AU"/>
        </w:rPr>
        <w:t>utvrđivanju</w:t>
      </w:r>
      <w:proofErr w:type="spellEnd"/>
      <w:r w:rsidRPr="0054567E">
        <w:rPr>
          <w:sz w:val="23"/>
          <w:szCs w:val="23"/>
          <w:lang w:val="en-AU"/>
        </w:rPr>
        <w:t xml:space="preserve"> </w:t>
      </w:r>
      <w:proofErr w:type="spellStart"/>
      <w:r w:rsidRPr="0054567E">
        <w:rPr>
          <w:sz w:val="23"/>
          <w:szCs w:val="23"/>
          <w:lang w:val="en-AU"/>
        </w:rPr>
        <w:t>prijedloga</w:t>
      </w:r>
      <w:proofErr w:type="spellEnd"/>
      <w:r w:rsidRPr="0054567E">
        <w:rPr>
          <w:sz w:val="23"/>
          <w:szCs w:val="23"/>
          <w:lang w:val="en-AU"/>
        </w:rPr>
        <w:t xml:space="preserve"> za </w:t>
      </w:r>
      <w:proofErr w:type="spellStart"/>
      <w:r w:rsidRPr="0054567E">
        <w:rPr>
          <w:sz w:val="23"/>
          <w:szCs w:val="23"/>
          <w:lang w:val="en-AU"/>
        </w:rPr>
        <w:t>imenovanje</w:t>
      </w:r>
      <w:proofErr w:type="spellEnd"/>
      <w:r w:rsidRPr="0054567E">
        <w:rPr>
          <w:sz w:val="23"/>
          <w:szCs w:val="23"/>
          <w:lang w:val="en-AU"/>
        </w:rPr>
        <w:t xml:space="preserve"> </w:t>
      </w:r>
      <w:proofErr w:type="spellStart"/>
      <w:r w:rsidRPr="0054567E">
        <w:rPr>
          <w:sz w:val="23"/>
          <w:szCs w:val="23"/>
          <w:lang w:val="en-AU"/>
        </w:rPr>
        <w:t>suca</w:t>
      </w:r>
      <w:proofErr w:type="spellEnd"/>
      <w:r w:rsidRPr="0054567E">
        <w:rPr>
          <w:sz w:val="23"/>
          <w:szCs w:val="23"/>
          <w:lang w:val="en-AU"/>
        </w:rPr>
        <w:t xml:space="preserve"> </w:t>
      </w:r>
      <w:proofErr w:type="spellStart"/>
      <w:r w:rsidRPr="0054567E">
        <w:rPr>
          <w:sz w:val="23"/>
          <w:szCs w:val="23"/>
          <w:lang w:val="en-AU"/>
        </w:rPr>
        <w:t>porotnika</w:t>
      </w:r>
      <w:proofErr w:type="spellEnd"/>
      <w:r w:rsidRPr="0054567E">
        <w:rPr>
          <w:sz w:val="23"/>
          <w:szCs w:val="23"/>
          <w:lang w:val="en-AU"/>
        </w:rPr>
        <w:t xml:space="preserve"> </w:t>
      </w:r>
      <w:proofErr w:type="spellStart"/>
      <w:r w:rsidRPr="0054567E">
        <w:rPr>
          <w:sz w:val="23"/>
          <w:szCs w:val="23"/>
          <w:lang w:val="en-AU"/>
        </w:rPr>
        <w:t>Općinskog</w:t>
      </w:r>
      <w:proofErr w:type="spellEnd"/>
      <w:r w:rsidRPr="0054567E">
        <w:rPr>
          <w:sz w:val="23"/>
          <w:szCs w:val="23"/>
          <w:lang w:val="en-AU"/>
        </w:rPr>
        <w:t xml:space="preserve"> </w:t>
      </w:r>
      <w:proofErr w:type="spellStart"/>
      <w:r w:rsidRPr="0054567E">
        <w:rPr>
          <w:sz w:val="23"/>
          <w:szCs w:val="23"/>
          <w:lang w:val="en-AU"/>
        </w:rPr>
        <w:t>suda</w:t>
      </w:r>
      <w:proofErr w:type="spellEnd"/>
      <w:r w:rsidRPr="0054567E">
        <w:rPr>
          <w:sz w:val="23"/>
          <w:szCs w:val="23"/>
          <w:lang w:val="en-AU"/>
        </w:rPr>
        <w:t xml:space="preserve"> u Puli.</w:t>
      </w:r>
    </w:p>
    <w:p w14:paraId="0F998597" w14:textId="77777777" w:rsidR="0054567E" w:rsidRPr="0054567E" w:rsidRDefault="0054567E">
      <w:pPr>
        <w:numPr>
          <w:ilvl w:val="0"/>
          <w:numId w:val="5"/>
        </w:numPr>
        <w:suppressAutoHyphens/>
        <w:spacing w:after="120" w:line="259" w:lineRule="auto"/>
        <w:contextualSpacing/>
        <w:jc w:val="both"/>
        <w:rPr>
          <w:sz w:val="23"/>
          <w:szCs w:val="23"/>
          <w:lang w:val="en-AU"/>
        </w:rPr>
      </w:pPr>
      <w:proofErr w:type="spellStart"/>
      <w:r w:rsidRPr="0054567E">
        <w:rPr>
          <w:sz w:val="23"/>
          <w:szCs w:val="23"/>
          <w:lang w:val="en-AU"/>
        </w:rPr>
        <w:t>Odluka</w:t>
      </w:r>
      <w:proofErr w:type="spellEnd"/>
      <w:r w:rsidRPr="0054567E">
        <w:rPr>
          <w:sz w:val="23"/>
          <w:szCs w:val="23"/>
          <w:lang w:val="en-AU"/>
        </w:rPr>
        <w:t xml:space="preserve"> o </w:t>
      </w:r>
      <w:proofErr w:type="spellStart"/>
      <w:r w:rsidRPr="0054567E">
        <w:rPr>
          <w:sz w:val="23"/>
          <w:szCs w:val="23"/>
          <w:lang w:val="en-AU"/>
        </w:rPr>
        <w:t>ukidanju</w:t>
      </w:r>
      <w:proofErr w:type="spellEnd"/>
      <w:r w:rsidRPr="0054567E">
        <w:rPr>
          <w:sz w:val="23"/>
          <w:szCs w:val="23"/>
          <w:lang w:val="en-AU"/>
        </w:rPr>
        <w:t xml:space="preserve"> </w:t>
      </w:r>
      <w:proofErr w:type="spellStart"/>
      <w:r w:rsidRPr="0054567E">
        <w:rPr>
          <w:sz w:val="23"/>
          <w:szCs w:val="23"/>
          <w:lang w:val="en-AU"/>
        </w:rPr>
        <w:t>statusa</w:t>
      </w:r>
      <w:proofErr w:type="spellEnd"/>
      <w:r w:rsidRPr="0054567E">
        <w:rPr>
          <w:sz w:val="23"/>
          <w:szCs w:val="23"/>
          <w:lang w:val="en-AU"/>
        </w:rPr>
        <w:t xml:space="preserve"> </w:t>
      </w:r>
      <w:proofErr w:type="spellStart"/>
      <w:r w:rsidRPr="0054567E">
        <w:rPr>
          <w:sz w:val="23"/>
          <w:szCs w:val="23"/>
          <w:lang w:val="en-AU"/>
        </w:rPr>
        <w:t>javnog</w:t>
      </w:r>
      <w:proofErr w:type="spellEnd"/>
      <w:r w:rsidRPr="0054567E">
        <w:rPr>
          <w:sz w:val="23"/>
          <w:szCs w:val="23"/>
          <w:lang w:val="en-AU"/>
        </w:rPr>
        <w:t xml:space="preserve"> dobra za </w:t>
      </w:r>
      <w:proofErr w:type="spellStart"/>
      <w:r w:rsidRPr="0054567E">
        <w:rPr>
          <w:sz w:val="23"/>
          <w:szCs w:val="23"/>
          <w:lang w:val="en-AU"/>
        </w:rPr>
        <w:t>k.č</w:t>
      </w:r>
      <w:proofErr w:type="spellEnd"/>
      <w:r w:rsidRPr="0054567E">
        <w:rPr>
          <w:sz w:val="23"/>
          <w:szCs w:val="23"/>
          <w:lang w:val="en-AU"/>
        </w:rPr>
        <w:t xml:space="preserve">. br. 2748/4 </w:t>
      </w:r>
      <w:proofErr w:type="spellStart"/>
      <w:r w:rsidRPr="0054567E">
        <w:rPr>
          <w:sz w:val="23"/>
          <w:szCs w:val="23"/>
          <w:lang w:val="en-AU"/>
        </w:rPr>
        <w:t>k.o.</w:t>
      </w:r>
      <w:proofErr w:type="spellEnd"/>
      <w:r w:rsidRPr="0054567E">
        <w:rPr>
          <w:sz w:val="23"/>
          <w:szCs w:val="23"/>
          <w:lang w:val="en-AU"/>
        </w:rPr>
        <w:t xml:space="preserve"> </w:t>
      </w:r>
      <w:proofErr w:type="spellStart"/>
      <w:r w:rsidRPr="0054567E">
        <w:rPr>
          <w:sz w:val="23"/>
          <w:szCs w:val="23"/>
          <w:lang w:val="en-AU"/>
        </w:rPr>
        <w:t>Krnica</w:t>
      </w:r>
      <w:proofErr w:type="spellEnd"/>
      <w:r w:rsidRPr="0054567E">
        <w:rPr>
          <w:sz w:val="23"/>
          <w:szCs w:val="23"/>
          <w:lang w:val="en-AU"/>
        </w:rPr>
        <w:t>.</w:t>
      </w:r>
    </w:p>
    <w:p w14:paraId="0FA6A6D5" w14:textId="77777777" w:rsidR="0054567E" w:rsidRPr="0054567E" w:rsidRDefault="0054567E" w:rsidP="0054567E">
      <w:pPr>
        <w:suppressAutoHyphens/>
        <w:spacing w:after="120"/>
        <w:ind w:left="720"/>
        <w:contextualSpacing/>
        <w:jc w:val="both"/>
        <w:rPr>
          <w:sz w:val="23"/>
          <w:szCs w:val="23"/>
          <w:lang w:val="en-AU"/>
        </w:rPr>
      </w:pPr>
    </w:p>
    <w:p w14:paraId="075AFCF8" w14:textId="77777777" w:rsidR="0054567E" w:rsidRPr="0054567E" w:rsidRDefault="0054567E" w:rsidP="0054567E">
      <w:pPr>
        <w:tabs>
          <w:tab w:val="left" w:pos="709"/>
          <w:tab w:val="left" w:pos="7088"/>
        </w:tabs>
        <w:suppressAutoHyphens/>
        <w:jc w:val="both"/>
        <w:rPr>
          <w:b/>
          <w:szCs w:val="20"/>
        </w:rPr>
      </w:pPr>
    </w:p>
    <w:p w14:paraId="48A7636D" w14:textId="77777777" w:rsidR="0054567E" w:rsidRPr="0054567E" w:rsidRDefault="0054567E" w:rsidP="0054567E">
      <w:pPr>
        <w:tabs>
          <w:tab w:val="left" w:pos="709"/>
          <w:tab w:val="left" w:pos="7088"/>
        </w:tabs>
        <w:suppressAutoHyphens/>
        <w:jc w:val="both"/>
        <w:rPr>
          <w:b/>
          <w:szCs w:val="20"/>
        </w:rPr>
      </w:pPr>
      <w:r w:rsidRPr="0054567E">
        <w:rPr>
          <w:b/>
          <w:szCs w:val="20"/>
        </w:rPr>
        <w:t xml:space="preserve">2.3. Donošenje općih akata, programskih akata, te pojedinačnih akata iz djelokruga općinskog načelnika </w:t>
      </w:r>
    </w:p>
    <w:p w14:paraId="589E2250" w14:textId="77777777" w:rsidR="0054567E" w:rsidRPr="0054567E" w:rsidRDefault="0054567E" w:rsidP="0054567E">
      <w:pPr>
        <w:suppressAutoHyphens/>
        <w:ind w:firstLine="708"/>
        <w:jc w:val="both"/>
      </w:pPr>
      <w:r w:rsidRPr="0054567E">
        <w:t>U okviru svoje nadležnosti propisane Statutom   općinski načelnik donio je 5 općih, 4 planska odnosno programska akta, te 120  pojedinačna akta i 131 suglasnost, i to:</w:t>
      </w:r>
    </w:p>
    <w:p w14:paraId="45974F79" w14:textId="77777777" w:rsidR="0054567E" w:rsidRPr="0054567E" w:rsidRDefault="0054567E" w:rsidP="0054567E">
      <w:pPr>
        <w:suppressAutoHyphens/>
        <w:jc w:val="both"/>
        <w:rPr>
          <w:u w:val="single"/>
        </w:rPr>
      </w:pPr>
    </w:p>
    <w:p w14:paraId="58D0AAD3" w14:textId="77777777" w:rsidR="0054567E" w:rsidRPr="0054567E" w:rsidRDefault="0054567E" w:rsidP="0054567E">
      <w:pPr>
        <w:suppressAutoHyphens/>
        <w:jc w:val="both"/>
        <w:rPr>
          <w:u w:val="single"/>
        </w:rPr>
      </w:pPr>
      <w:r w:rsidRPr="0054567E">
        <w:rPr>
          <w:u w:val="single"/>
        </w:rPr>
        <w:t>2.3.1. Opći akti:</w:t>
      </w:r>
    </w:p>
    <w:p w14:paraId="583640A2" w14:textId="77777777" w:rsidR="0054567E" w:rsidRPr="0054567E" w:rsidRDefault="0054567E" w:rsidP="0054567E">
      <w:pPr>
        <w:suppressAutoHyphens/>
        <w:ind w:left="709"/>
        <w:jc w:val="both"/>
        <w:rPr>
          <w:rFonts w:eastAsia="Calibri"/>
          <w:lang w:eastAsia="en-US"/>
        </w:rPr>
      </w:pPr>
    </w:p>
    <w:p w14:paraId="345A7AD7" w14:textId="77777777" w:rsidR="0054567E" w:rsidRPr="0054567E" w:rsidRDefault="0054567E" w:rsidP="0054567E">
      <w:pPr>
        <w:suppressAutoHyphens/>
        <w:ind w:left="709"/>
        <w:jc w:val="both"/>
        <w:rPr>
          <w:rFonts w:eastAsia="Calibri"/>
          <w:lang w:eastAsia="en-US"/>
        </w:rPr>
      </w:pPr>
      <w:r w:rsidRPr="0054567E">
        <w:rPr>
          <w:rFonts w:eastAsia="Calibri"/>
          <w:lang w:eastAsia="en-US"/>
        </w:rPr>
        <w:t>1. Odluka o visini mjesečne stipendije</w:t>
      </w:r>
    </w:p>
    <w:p w14:paraId="0E276AD7" w14:textId="77777777" w:rsidR="0054567E" w:rsidRPr="0054567E" w:rsidRDefault="0054567E" w:rsidP="0054567E">
      <w:pPr>
        <w:suppressAutoHyphens/>
        <w:ind w:left="709"/>
        <w:jc w:val="both"/>
        <w:rPr>
          <w:rFonts w:eastAsia="Calibri"/>
          <w:lang w:eastAsia="en-US"/>
        </w:rPr>
      </w:pPr>
      <w:r w:rsidRPr="0054567E">
        <w:rPr>
          <w:rFonts w:eastAsia="Calibri"/>
          <w:lang w:eastAsia="en-US"/>
        </w:rPr>
        <w:t>2. Odluka o broju stipendija koje će se dodijeliti u nastavnoj 2025/2026. godini.</w:t>
      </w:r>
    </w:p>
    <w:p w14:paraId="193A80B1" w14:textId="77777777" w:rsidR="0054567E" w:rsidRPr="0054567E" w:rsidRDefault="0054567E" w:rsidP="0054567E">
      <w:pPr>
        <w:suppressAutoHyphens/>
        <w:ind w:left="709"/>
        <w:jc w:val="both"/>
        <w:rPr>
          <w:rFonts w:eastAsia="Calibri"/>
          <w:lang w:eastAsia="en-US"/>
        </w:rPr>
      </w:pPr>
      <w:r w:rsidRPr="0054567E">
        <w:rPr>
          <w:rFonts w:eastAsia="Calibri"/>
          <w:lang w:eastAsia="en-US"/>
        </w:rPr>
        <w:t>3. Odluka o osnovici za obračun plaće službenika i namještenika u upravnim tijelima  Općine   Marčana.</w:t>
      </w:r>
    </w:p>
    <w:p w14:paraId="7467BDD2" w14:textId="77777777" w:rsidR="0054567E" w:rsidRPr="0054567E" w:rsidRDefault="0054567E" w:rsidP="0054567E">
      <w:pPr>
        <w:suppressAutoHyphens/>
        <w:ind w:left="709"/>
        <w:jc w:val="both"/>
        <w:rPr>
          <w:rFonts w:eastAsia="Calibri"/>
          <w:lang w:eastAsia="en-US"/>
        </w:rPr>
      </w:pPr>
      <w:r w:rsidRPr="0054567E">
        <w:rPr>
          <w:rFonts w:eastAsia="Calibri"/>
          <w:lang w:eastAsia="en-US"/>
        </w:rPr>
        <w:t>4. Odluka o načinu utvrđivanja prava i iznosa za isplatu  novčanog dodatka uz mirovinu, odnosno novčane jednokratne pomoći povodom božićnih i novogodišnjih blagdana za 2025. godinu umirovljenicima s područja Općine Marčana</w:t>
      </w:r>
    </w:p>
    <w:p w14:paraId="4AEA11FB" w14:textId="77777777" w:rsidR="0054567E" w:rsidRPr="0054567E" w:rsidRDefault="0054567E" w:rsidP="0054567E">
      <w:pPr>
        <w:suppressAutoHyphens/>
        <w:ind w:left="709"/>
        <w:jc w:val="both"/>
        <w:rPr>
          <w:rFonts w:eastAsia="Calibri"/>
          <w:lang w:eastAsia="en-US"/>
        </w:rPr>
      </w:pPr>
      <w:r w:rsidRPr="0054567E">
        <w:rPr>
          <w:rFonts w:eastAsia="Calibri"/>
          <w:lang w:eastAsia="en-US"/>
        </w:rPr>
        <w:t>5.</w:t>
      </w:r>
      <w:r w:rsidRPr="0054567E">
        <w:rPr>
          <w:rFonts w:ascii="Calibri" w:eastAsia="Calibri" w:hAnsi="Calibri"/>
          <w:sz w:val="22"/>
          <w:szCs w:val="22"/>
          <w:lang w:eastAsia="en-US"/>
        </w:rPr>
        <w:t xml:space="preserve"> </w:t>
      </w:r>
      <w:r w:rsidRPr="0054567E">
        <w:rPr>
          <w:rFonts w:eastAsia="Calibri"/>
          <w:lang w:eastAsia="en-US"/>
        </w:rPr>
        <w:t>Pravilnik o izmjenama i dopunama Pravilnika o unutarnjem redu Upravnog odjela za društvene djelatnosti, gospodarstvo, financije i javnu nabavu.</w:t>
      </w:r>
    </w:p>
    <w:p w14:paraId="10C0AB38" w14:textId="77777777" w:rsidR="0054567E" w:rsidRPr="0054567E" w:rsidRDefault="0054567E" w:rsidP="0054567E">
      <w:pPr>
        <w:suppressAutoHyphens/>
        <w:ind w:left="709"/>
        <w:jc w:val="both"/>
        <w:rPr>
          <w:rFonts w:eastAsia="Calibri"/>
          <w:lang w:eastAsia="en-US"/>
        </w:rPr>
      </w:pPr>
    </w:p>
    <w:p w14:paraId="4A753F70" w14:textId="77777777" w:rsidR="0054567E" w:rsidRPr="0054567E" w:rsidRDefault="0054567E" w:rsidP="0054567E">
      <w:pPr>
        <w:suppressAutoHyphens/>
        <w:ind w:left="709"/>
        <w:jc w:val="both"/>
        <w:rPr>
          <w:rFonts w:eastAsia="Calibri"/>
          <w:lang w:eastAsia="en-US"/>
        </w:rPr>
      </w:pPr>
    </w:p>
    <w:p w14:paraId="0F0F7917" w14:textId="77777777" w:rsidR="0054567E" w:rsidRPr="0054567E" w:rsidRDefault="0054567E" w:rsidP="0054567E">
      <w:pPr>
        <w:suppressAutoHyphens/>
        <w:ind w:left="709"/>
        <w:jc w:val="both"/>
        <w:rPr>
          <w:rFonts w:eastAsia="Calibri"/>
          <w:lang w:eastAsia="en-US"/>
        </w:rPr>
      </w:pPr>
    </w:p>
    <w:p w14:paraId="5FA5332E" w14:textId="77777777" w:rsidR="0054567E" w:rsidRPr="0054567E" w:rsidRDefault="0054567E" w:rsidP="0054567E">
      <w:pPr>
        <w:suppressAutoHyphens/>
        <w:ind w:left="709"/>
        <w:jc w:val="both"/>
        <w:rPr>
          <w:u w:val="single"/>
        </w:rPr>
      </w:pPr>
      <w:r w:rsidRPr="0054567E">
        <w:rPr>
          <w:u w:val="single"/>
        </w:rPr>
        <w:t>2.3.2. Programski akti:</w:t>
      </w:r>
    </w:p>
    <w:p w14:paraId="5FA96505" w14:textId="77777777" w:rsidR="0054567E" w:rsidRPr="0054567E" w:rsidRDefault="0054567E" w:rsidP="0054567E">
      <w:pPr>
        <w:suppressAutoHyphens/>
        <w:ind w:left="709"/>
        <w:jc w:val="both"/>
        <w:rPr>
          <w:u w:val="single"/>
        </w:rPr>
      </w:pPr>
    </w:p>
    <w:p w14:paraId="00954D95" w14:textId="77777777" w:rsidR="0054567E" w:rsidRPr="0054567E" w:rsidRDefault="0054567E">
      <w:pPr>
        <w:numPr>
          <w:ilvl w:val="0"/>
          <w:numId w:val="6"/>
        </w:numPr>
        <w:suppressAutoHyphens/>
        <w:spacing w:after="160" w:line="259" w:lineRule="auto"/>
        <w:contextualSpacing/>
        <w:jc w:val="both"/>
      </w:pPr>
      <w:r w:rsidRPr="0054567E">
        <w:t xml:space="preserve">Zaključak o utvrđivanju konačnog prijedloga Urbanističkog plana uređenja turističko razvojnog područja Sv. </w:t>
      </w:r>
      <w:proofErr w:type="spellStart"/>
      <w:r w:rsidRPr="0054567E">
        <w:t>Mikula</w:t>
      </w:r>
      <w:proofErr w:type="spellEnd"/>
      <w:r w:rsidRPr="0054567E">
        <w:t xml:space="preserve"> – Luka nautičkog turizma – marina </w:t>
      </w:r>
      <w:proofErr w:type="spellStart"/>
      <w:r w:rsidRPr="0054567E">
        <w:t>Rakalj</w:t>
      </w:r>
      <w:proofErr w:type="spellEnd"/>
      <w:r w:rsidRPr="0054567E">
        <w:t xml:space="preserve"> – Sveta Agneza.</w:t>
      </w:r>
    </w:p>
    <w:p w14:paraId="7ACDFBA8" w14:textId="77777777" w:rsidR="0054567E" w:rsidRPr="0054567E" w:rsidRDefault="0054567E">
      <w:pPr>
        <w:numPr>
          <w:ilvl w:val="0"/>
          <w:numId w:val="6"/>
        </w:numPr>
        <w:suppressAutoHyphens/>
        <w:spacing w:after="160" w:line="259" w:lineRule="auto"/>
        <w:contextualSpacing/>
        <w:jc w:val="both"/>
      </w:pPr>
      <w:r w:rsidRPr="0054567E">
        <w:t xml:space="preserve">Zaključak o utvrđivanju konačnog prijedloga Izmjena i dopuna Urbanističkog plana uređenja </w:t>
      </w:r>
      <w:proofErr w:type="spellStart"/>
      <w:r w:rsidRPr="0054567E">
        <w:t>Krnički</w:t>
      </w:r>
      <w:proofErr w:type="spellEnd"/>
      <w:r w:rsidRPr="0054567E">
        <w:t xml:space="preserve"> porat - Sjeverozapad.</w:t>
      </w:r>
    </w:p>
    <w:p w14:paraId="4B3C5484" w14:textId="77777777" w:rsidR="0054567E" w:rsidRPr="0054567E" w:rsidRDefault="0054567E">
      <w:pPr>
        <w:numPr>
          <w:ilvl w:val="0"/>
          <w:numId w:val="6"/>
        </w:numPr>
        <w:suppressAutoHyphens/>
        <w:spacing w:after="160" w:line="259" w:lineRule="auto"/>
        <w:contextualSpacing/>
        <w:jc w:val="both"/>
      </w:pPr>
      <w:r w:rsidRPr="0054567E">
        <w:t xml:space="preserve">Zaključak o utvrđivanju konačnog prijedloga izmjena i dopuna urbanističkog plana uređenja ugostiteljsko – turističkog područja </w:t>
      </w:r>
      <w:proofErr w:type="spellStart"/>
      <w:r w:rsidRPr="0054567E">
        <w:t>Blaz</w:t>
      </w:r>
      <w:proofErr w:type="spellEnd"/>
      <w:r w:rsidRPr="0054567E">
        <w:t xml:space="preserve"> - </w:t>
      </w:r>
      <w:proofErr w:type="spellStart"/>
      <w:r w:rsidRPr="0054567E">
        <w:t>Salamušćica</w:t>
      </w:r>
      <w:proofErr w:type="spellEnd"/>
    </w:p>
    <w:p w14:paraId="64833454" w14:textId="77777777" w:rsidR="0054567E" w:rsidRPr="0054567E" w:rsidRDefault="0054567E" w:rsidP="0054567E">
      <w:pPr>
        <w:suppressAutoHyphens/>
        <w:ind w:firstLine="708"/>
        <w:jc w:val="both"/>
      </w:pPr>
      <w:r w:rsidRPr="0054567E">
        <w:t>4.  Plan savjetovanja s javnošću za 2026. godinu.</w:t>
      </w:r>
    </w:p>
    <w:p w14:paraId="187B5555" w14:textId="77777777" w:rsidR="0054567E" w:rsidRPr="0054567E" w:rsidRDefault="0054567E" w:rsidP="0054567E">
      <w:pPr>
        <w:suppressAutoHyphens/>
        <w:jc w:val="both"/>
        <w:rPr>
          <w:u w:val="single"/>
        </w:rPr>
      </w:pPr>
    </w:p>
    <w:p w14:paraId="4E85570C" w14:textId="77777777" w:rsidR="0054567E" w:rsidRPr="0054567E" w:rsidRDefault="0054567E" w:rsidP="0054567E">
      <w:pPr>
        <w:suppressAutoHyphens/>
        <w:jc w:val="both"/>
      </w:pPr>
    </w:p>
    <w:p w14:paraId="6C6957E6" w14:textId="77777777" w:rsidR="0054567E" w:rsidRPr="0054567E" w:rsidRDefault="0054567E" w:rsidP="0054567E">
      <w:pPr>
        <w:suppressAutoHyphens/>
        <w:jc w:val="both"/>
        <w:rPr>
          <w:u w:val="single"/>
        </w:rPr>
      </w:pPr>
      <w:r w:rsidRPr="0054567E">
        <w:rPr>
          <w:u w:val="single"/>
        </w:rPr>
        <w:t>2.3.3. Pojedinačni akti:.</w:t>
      </w:r>
    </w:p>
    <w:p w14:paraId="205E0C04" w14:textId="77777777" w:rsidR="0054567E" w:rsidRPr="0054567E" w:rsidRDefault="0054567E" w:rsidP="0054567E">
      <w:pPr>
        <w:suppressAutoHyphens/>
        <w:jc w:val="both"/>
      </w:pPr>
    </w:p>
    <w:p w14:paraId="52FFB9DD" w14:textId="77777777" w:rsidR="0054567E" w:rsidRPr="0054567E" w:rsidRDefault="0054567E" w:rsidP="0054567E">
      <w:pPr>
        <w:suppressAutoHyphens/>
        <w:jc w:val="both"/>
      </w:pPr>
      <w:r w:rsidRPr="0054567E">
        <w:t>2.3.3.1. Odluke, zaključci, rješenja i sl.:</w:t>
      </w:r>
    </w:p>
    <w:p w14:paraId="378A26E8" w14:textId="77777777" w:rsidR="0054567E" w:rsidRPr="0054567E" w:rsidRDefault="0054567E" w:rsidP="0054567E">
      <w:pPr>
        <w:suppressAutoHyphens/>
        <w:ind w:left="705"/>
        <w:jc w:val="both"/>
      </w:pPr>
      <w:r w:rsidRPr="0054567E">
        <w:t>1. Odluka o prethodnoj suglasnosti za zapošljavanje spremačice na neodređeno vrijeme  u DV Vrtuljak    Marčana.</w:t>
      </w:r>
    </w:p>
    <w:p w14:paraId="4A036108" w14:textId="77777777" w:rsidR="0054567E" w:rsidRPr="0054567E" w:rsidRDefault="0054567E" w:rsidP="0054567E">
      <w:pPr>
        <w:suppressAutoHyphens/>
        <w:ind w:left="705"/>
        <w:jc w:val="both"/>
      </w:pPr>
      <w:r w:rsidRPr="0054567E">
        <w:t>2. Odluka o prethodnoj suglasnosti za zapošljavanje kuharice na određeno vrijeme  u DV Vrtuljak    Marčana.</w:t>
      </w:r>
    </w:p>
    <w:p w14:paraId="7EAE4612" w14:textId="77777777" w:rsidR="0054567E" w:rsidRPr="0054567E" w:rsidRDefault="0054567E" w:rsidP="0054567E">
      <w:pPr>
        <w:suppressAutoHyphens/>
        <w:ind w:left="705"/>
        <w:jc w:val="both"/>
      </w:pPr>
      <w:r w:rsidRPr="0054567E">
        <w:t>3. Odluka o prethodnoj suglasnosti za zapošljavanje tri odgojitelja na neodređeno vrijeme  u DV Vrtuljak    Marčana.</w:t>
      </w:r>
    </w:p>
    <w:p w14:paraId="7EC31C64" w14:textId="77777777" w:rsidR="0054567E" w:rsidRPr="0054567E" w:rsidRDefault="0054567E" w:rsidP="0054567E">
      <w:pPr>
        <w:suppressAutoHyphens/>
        <w:ind w:left="705"/>
        <w:jc w:val="both"/>
      </w:pPr>
      <w:r w:rsidRPr="0054567E">
        <w:t>4. Odluka o prethodnoj suglasnost na Pravilnik o izmjenama Pravilnika o unutarnjem ustrojstvu i načinu rada DV Vrtuljak Marčana.</w:t>
      </w:r>
    </w:p>
    <w:p w14:paraId="1E253246" w14:textId="77777777" w:rsidR="0054567E" w:rsidRPr="0054567E" w:rsidRDefault="0054567E" w:rsidP="0054567E">
      <w:pPr>
        <w:suppressAutoHyphens/>
        <w:ind w:left="705"/>
        <w:jc w:val="both"/>
      </w:pPr>
      <w:r w:rsidRPr="0054567E">
        <w:t>5. Odluka o prethodnoj suglasnosti na Pravilnik o izmjenama i dopunama Pravilnika o radu DV Vrtuljak Marčana.</w:t>
      </w:r>
    </w:p>
    <w:p w14:paraId="14066A58" w14:textId="77777777" w:rsidR="0054567E" w:rsidRPr="0054567E" w:rsidRDefault="0054567E" w:rsidP="0054567E">
      <w:pPr>
        <w:suppressAutoHyphens/>
        <w:ind w:left="708"/>
        <w:jc w:val="both"/>
      </w:pPr>
      <w:r w:rsidRPr="0054567E">
        <w:t>6. Odluka o  javnom natječaju za dodjelu devet stipendija  u akademskoj 2025/2026. godini.</w:t>
      </w:r>
    </w:p>
    <w:p w14:paraId="552A6D50" w14:textId="77777777" w:rsidR="0054567E" w:rsidRPr="0054567E" w:rsidRDefault="0054567E" w:rsidP="0054567E">
      <w:pPr>
        <w:suppressAutoHyphens/>
        <w:ind w:left="708"/>
        <w:jc w:val="both"/>
      </w:pPr>
      <w:r w:rsidRPr="0054567E">
        <w:t xml:space="preserve">7. Odluka o isplati regresa za godišnji odmor službenika i namještenika u upravnim odjelima općine  Marčana.  </w:t>
      </w:r>
    </w:p>
    <w:p w14:paraId="57B06A81" w14:textId="77777777" w:rsidR="0054567E" w:rsidRPr="0054567E" w:rsidRDefault="0054567E" w:rsidP="0054567E">
      <w:pPr>
        <w:suppressAutoHyphens/>
        <w:ind w:left="708"/>
        <w:jc w:val="both"/>
      </w:pPr>
      <w:r w:rsidRPr="0054567E">
        <w:t>8. Odluka o isplati božićnice službenicima i namještenicima u upravnim odjelima Općine Marčana.</w:t>
      </w:r>
    </w:p>
    <w:p w14:paraId="25F2CBE7" w14:textId="77777777" w:rsidR="0054567E" w:rsidRPr="0054567E" w:rsidRDefault="0054567E" w:rsidP="0054567E">
      <w:pPr>
        <w:suppressAutoHyphens/>
        <w:ind w:left="708"/>
        <w:jc w:val="both"/>
      </w:pPr>
      <w:r w:rsidRPr="0054567E">
        <w:t>9. Odluka o odobravanju novčane pomoći od po 50 EUR povodom božićnih i novogodišnjih blagdana korisnicima zajamčene minimalne naknade), korisnicima osobne invalidnine, korisnicima smještaja u dom socijalne skrbi i korisnicima doplatka za pomoć i njegu, ukupno 89 korisnika.</w:t>
      </w:r>
    </w:p>
    <w:p w14:paraId="6E852C1D" w14:textId="77777777" w:rsidR="0054567E" w:rsidRPr="0054567E" w:rsidRDefault="0054567E" w:rsidP="0054567E">
      <w:pPr>
        <w:suppressAutoHyphens/>
        <w:ind w:left="708"/>
        <w:jc w:val="both"/>
      </w:pPr>
      <w:r w:rsidRPr="0054567E">
        <w:t>10. Odluku o početku postupka nabave za ustupanje radova i usluga te o izboru izvođača u 21 predmetu.</w:t>
      </w:r>
    </w:p>
    <w:p w14:paraId="05FA5484" w14:textId="77777777" w:rsidR="0054567E" w:rsidRPr="0054567E" w:rsidRDefault="0054567E" w:rsidP="0054567E">
      <w:pPr>
        <w:suppressAutoHyphens/>
        <w:ind w:left="708"/>
        <w:jc w:val="both"/>
      </w:pPr>
      <w:r w:rsidRPr="0054567E">
        <w:lastRenderedPageBreak/>
        <w:t xml:space="preserve">11. Dva rješenja o godišnjem odmoru pročelnika upravnih odjela Općine Marčana.  </w:t>
      </w:r>
    </w:p>
    <w:p w14:paraId="6F8908B8" w14:textId="77777777" w:rsidR="0054567E" w:rsidRPr="0054567E" w:rsidRDefault="0054567E" w:rsidP="0054567E">
      <w:pPr>
        <w:suppressAutoHyphens/>
        <w:ind w:left="708"/>
        <w:jc w:val="both"/>
        <w:rPr>
          <w:szCs w:val="20"/>
        </w:rPr>
      </w:pPr>
      <w:r w:rsidRPr="0054567E">
        <w:rPr>
          <w:szCs w:val="20"/>
        </w:rPr>
        <w:t>12. Ukupno 58 pojedinačnih rješenja o odobravanju novčane pomoći po pojedinačnim zamolbama.</w:t>
      </w:r>
    </w:p>
    <w:p w14:paraId="77206098" w14:textId="77777777" w:rsidR="0054567E" w:rsidRPr="0054567E" w:rsidRDefault="0054567E" w:rsidP="0054567E">
      <w:pPr>
        <w:suppressAutoHyphens/>
        <w:ind w:left="708"/>
        <w:jc w:val="both"/>
        <w:rPr>
          <w:szCs w:val="20"/>
        </w:rPr>
      </w:pPr>
      <w:r w:rsidRPr="0054567E">
        <w:rPr>
          <w:szCs w:val="20"/>
        </w:rPr>
        <w:t xml:space="preserve">13. Ukupno 32 zaključaka o odobravanju sponzorstava ili odobravanju sredstva sukladno programima javnih potreba (Osnovna škola Divšići, DVD Općine Marčana, Opća bolnica Pula – Služba za internu medicinu, Osnovna škola Vladimira Nazora </w:t>
      </w:r>
      <w:proofErr w:type="spellStart"/>
      <w:r w:rsidRPr="0054567E">
        <w:rPr>
          <w:szCs w:val="20"/>
        </w:rPr>
        <w:t>Krnica</w:t>
      </w:r>
      <w:proofErr w:type="spellEnd"/>
      <w:r w:rsidRPr="0054567E">
        <w:rPr>
          <w:szCs w:val="20"/>
        </w:rPr>
        <w:t xml:space="preserve"> dva zaključka u drugom polugodištu 2025., NK </w:t>
      </w:r>
      <w:proofErr w:type="spellStart"/>
      <w:r w:rsidRPr="0054567E">
        <w:rPr>
          <w:szCs w:val="20"/>
        </w:rPr>
        <w:t>Manjadvorci</w:t>
      </w:r>
      <w:proofErr w:type="spellEnd"/>
      <w:r w:rsidRPr="0054567E">
        <w:rPr>
          <w:szCs w:val="20"/>
        </w:rPr>
        <w:t xml:space="preserve"> dva zaključka u drugom polugodištu 2025.,  Dom za odrasle osobe Vila Maria, Udruga slijepih Istarske županije dva zaključka u drugom polugodištu 2025, Sepe, obrat za sport, Dnevni centar za radnu terapiju i rehabilitaciju Pula, Lovačko društvo Kamenjarka </w:t>
      </w:r>
      <w:proofErr w:type="spellStart"/>
      <w:r w:rsidRPr="0054567E">
        <w:rPr>
          <w:szCs w:val="20"/>
        </w:rPr>
        <w:t>Krnica</w:t>
      </w:r>
      <w:proofErr w:type="spellEnd"/>
      <w:r w:rsidRPr="0054567E">
        <w:rPr>
          <w:szCs w:val="20"/>
        </w:rPr>
        <w:t xml:space="preserve">, KUD Mate Balote </w:t>
      </w:r>
      <w:proofErr w:type="spellStart"/>
      <w:r w:rsidRPr="0054567E">
        <w:rPr>
          <w:szCs w:val="20"/>
        </w:rPr>
        <w:t>Rakalj</w:t>
      </w:r>
      <w:proofErr w:type="spellEnd"/>
      <w:r w:rsidRPr="0054567E">
        <w:rPr>
          <w:szCs w:val="20"/>
        </w:rPr>
        <w:t xml:space="preserve">, Mladenka </w:t>
      </w:r>
      <w:proofErr w:type="spellStart"/>
      <w:r w:rsidRPr="0054567E">
        <w:rPr>
          <w:szCs w:val="20"/>
        </w:rPr>
        <w:t>Buić</w:t>
      </w:r>
      <w:proofErr w:type="spellEnd"/>
      <w:r w:rsidRPr="0054567E">
        <w:rPr>
          <w:szCs w:val="20"/>
        </w:rPr>
        <w:t xml:space="preserve">, CIK dr. Božo </w:t>
      </w:r>
      <w:proofErr w:type="spellStart"/>
      <w:r w:rsidRPr="0054567E">
        <w:rPr>
          <w:szCs w:val="20"/>
        </w:rPr>
        <w:t>Milnaović</w:t>
      </w:r>
      <w:proofErr w:type="spellEnd"/>
      <w:r w:rsidRPr="0054567E">
        <w:rPr>
          <w:szCs w:val="20"/>
        </w:rPr>
        <w:t xml:space="preserve">, Nataša Murtić, Župni ured Svetog Petra i Pavla, GEA PULA, Klub žena liječenih od karcinoma dojke, Udruga uzgajivača istarske ovce „Istrijanka“, Istarski kulturni centar, Društvo distrofičara Istre, Župa Gospe od zdravlja, Osnovna škola Marčana, Centar za zdrave životne navike „Vita nova“, Općina </w:t>
      </w:r>
      <w:proofErr w:type="spellStart"/>
      <w:r w:rsidRPr="0054567E">
        <w:rPr>
          <w:szCs w:val="20"/>
        </w:rPr>
        <w:t>Lanišće</w:t>
      </w:r>
      <w:proofErr w:type="spellEnd"/>
      <w:r w:rsidRPr="0054567E">
        <w:rPr>
          <w:szCs w:val="20"/>
        </w:rPr>
        <w:t>, Sveučilište Jurja Dobrile u Puli, Boksački klub Boks Pula, Lovački savez Istarske županije, Marko Čalić, Šahovski klub Veli Vrh Pula.</w:t>
      </w:r>
    </w:p>
    <w:p w14:paraId="30269AD6" w14:textId="77777777" w:rsidR="0054567E" w:rsidRPr="0054567E" w:rsidRDefault="0054567E" w:rsidP="0054567E">
      <w:pPr>
        <w:suppressAutoHyphens/>
        <w:ind w:firstLine="708"/>
        <w:jc w:val="both"/>
        <w:rPr>
          <w:szCs w:val="20"/>
        </w:rPr>
      </w:pPr>
      <w:r w:rsidRPr="0054567E">
        <w:rPr>
          <w:szCs w:val="20"/>
        </w:rPr>
        <w:t xml:space="preserve">14. Odluka o postupku izrade Procjene rizika od velikih nesreća za Općinu Marčana </w:t>
      </w:r>
    </w:p>
    <w:p w14:paraId="540EC1B5" w14:textId="77777777" w:rsidR="0054567E" w:rsidRPr="0054567E" w:rsidRDefault="0054567E" w:rsidP="0054567E">
      <w:pPr>
        <w:suppressAutoHyphens/>
        <w:ind w:left="708"/>
        <w:jc w:val="both"/>
        <w:rPr>
          <w:szCs w:val="20"/>
        </w:rPr>
      </w:pPr>
      <w:r w:rsidRPr="0054567E">
        <w:rPr>
          <w:szCs w:val="20"/>
        </w:rPr>
        <w:t>15. Odluka o Javnom natječaju za imenovanje pročelnika  Upravnog odjela za prostorno planiranje, zaštitu okoliša, komunalno gospodarstvo i izgradnju Općine Marčana.</w:t>
      </w:r>
    </w:p>
    <w:p w14:paraId="552A1EE9" w14:textId="77777777" w:rsidR="0054567E" w:rsidRPr="0054567E" w:rsidRDefault="0054567E" w:rsidP="0054567E">
      <w:pPr>
        <w:suppressAutoHyphens/>
        <w:ind w:left="708"/>
        <w:jc w:val="both"/>
        <w:rPr>
          <w:szCs w:val="20"/>
        </w:rPr>
      </w:pPr>
      <w:r w:rsidRPr="0054567E">
        <w:rPr>
          <w:szCs w:val="20"/>
        </w:rPr>
        <w:t>16. Odluka o poništenju Javnog natječaja za imenovanje pročelnika  Upravnog odjela za prostorno planiranje, zaštitu okoliša, komunalno gospodarstvo i izgradnju Općine Marčana.</w:t>
      </w:r>
    </w:p>
    <w:p w14:paraId="4BF0A889" w14:textId="77777777" w:rsidR="0054567E" w:rsidRPr="0054567E" w:rsidRDefault="0054567E" w:rsidP="0054567E">
      <w:pPr>
        <w:suppressAutoHyphens/>
        <w:jc w:val="both"/>
        <w:rPr>
          <w:szCs w:val="20"/>
        </w:rPr>
      </w:pPr>
    </w:p>
    <w:p w14:paraId="6A7E6C14" w14:textId="77777777" w:rsidR="0054567E" w:rsidRPr="0054567E" w:rsidRDefault="0054567E" w:rsidP="0054567E">
      <w:pPr>
        <w:suppressAutoHyphens/>
        <w:jc w:val="both"/>
        <w:rPr>
          <w:szCs w:val="20"/>
        </w:rPr>
      </w:pPr>
      <w:r w:rsidRPr="0054567E">
        <w:rPr>
          <w:szCs w:val="20"/>
        </w:rPr>
        <w:t>2.3.3.2.Davanja suglasnosti</w:t>
      </w:r>
    </w:p>
    <w:p w14:paraId="0F053314" w14:textId="77777777" w:rsidR="0054567E" w:rsidRPr="0054567E" w:rsidRDefault="0054567E" w:rsidP="0054567E">
      <w:pPr>
        <w:suppressAutoHyphens/>
        <w:ind w:left="708"/>
        <w:jc w:val="both"/>
        <w:rPr>
          <w:szCs w:val="20"/>
        </w:rPr>
      </w:pPr>
      <w:r w:rsidRPr="0054567E">
        <w:rPr>
          <w:szCs w:val="20"/>
        </w:rPr>
        <w:t>1. Ukupno 4</w:t>
      </w:r>
      <w:r w:rsidRPr="0054567E">
        <w:rPr>
          <w:color w:val="FF0000"/>
          <w:szCs w:val="20"/>
        </w:rPr>
        <w:t xml:space="preserve"> </w:t>
      </w:r>
      <w:r w:rsidRPr="0054567E">
        <w:rPr>
          <w:szCs w:val="20"/>
        </w:rPr>
        <w:t>pojedinačnih zaključaka o davanju suglasnosti za priključak vode za potrebe poljoprivrede.</w:t>
      </w:r>
    </w:p>
    <w:p w14:paraId="55854AC0" w14:textId="77777777" w:rsidR="0054567E" w:rsidRPr="0054567E" w:rsidRDefault="0054567E" w:rsidP="0054567E">
      <w:pPr>
        <w:suppressAutoHyphens/>
        <w:ind w:left="708"/>
        <w:jc w:val="both"/>
        <w:rPr>
          <w:szCs w:val="20"/>
        </w:rPr>
      </w:pPr>
      <w:r w:rsidRPr="0054567E">
        <w:rPr>
          <w:szCs w:val="20"/>
        </w:rPr>
        <w:t xml:space="preserve">2. Ukupno 2 rješenja o odbijanju suglasnosti za priključak vode za potrebe poljoprivrede. </w:t>
      </w:r>
    </w:p>
    <w:p w14:paraId="75918256" w14:textId="77777777" w:rsidR="0054567E" w:rsidRPr="0054567E" w:rsidRDefault="0054567E" w:rsidP="0054567E">
      <w:pPr>
        <w:suppressAutoHyphens/>
        <w:ind w:left="708"/>
        <w:jc w:val="both"/>
        <w:rPr>
          <w:szCs w:val="20"/>
        </w:rPr>
      </w:pPr>
      <w:r w:rsidRPr="0054567E">
        <w:rPr>
          <w:szCs w:val="20"/>
        </w:rPr>
        <w:t>3. Ukupno 42 pojedinačnih zaključka o davanju suglasnosti za privremeni priključak vode.</w:t>
      </w:r>
    </w:p>
    <w:p w14:paraId="6A420E3B" w14:textId="77777777" w:rsidR="0054567E" w:rsidRPr="0054567E" w:rsidRDefault="0054567E" w:rsidP="0054567E">
      <w:pPr>
        <w:suppressAutoHyphens/>
        <w:ind w:left="708"/>
        <w:jc w:val="both"/>
        <w:rPr>
          <w:szCs w:val="20"/>
        </w:rPr>
      </w:pPr>
      <w:r w:rsidRPr="0054567E">
        <w:rPr>
          <w:szCs w:val="20"/>
        </w:rPr>
        <w:t>4. Ukupno 73 pojedinačna zaključka o davanju suglasnosti za upis djece u predškolske ustanove izvan područja Općine Marčana uz obvezu Općine Marčana za sufinanciranje programa predškolskog odgoja.</w:t>
      </w:r>
    </w:p>
    <w:p w14:paraId="0328EA58" w14:textId="77777777" w:rsidR="0054567E" w:rsidRPr="0054567E" w:rsidRDefault="0054567E" w:rsidP="0054567E">
      <w:pPr>
        <w:suppressAutoHyphens/>
        <w:ind w:left="708"/>
        <w:jc w:val="both"/>
        <w:rPr>
          <w:szCs w:val="20"/>
        </w:rPr>
      </w:pPr>
      <w:r w:rsidRPr="0054567E">
        <w:rPr>
          <w:szCs w:val="20"/>
        </w:rPr>
        <w:t>5. Ukupno 5 pojedinačnih zaključaka o davanju suglasnosti za produženi boravak u osnovnim školama izvan područja Općine Marčana uz obvezu Općine Marčana za sufinanciranje programa predškolskog odgoja.</w:t>
      </w:r>
    </w:p>
    <w:p w14:paraId="53B2DD93" w14:textId="77777777" w:rsidR="0054567E" w:rsidRPr="0054567E" w:rsidRDefault="0054567E" w:rsidP="0054567E">
      <w:pPr>
        <w:suppressAutoHyphens/>
        <w:ind w:left="708"/>
        <w:jc w:val="both"/>
        <w:rPr>
          <w:szCs w:val="20"/>
        </w:rPr>
      </w:pPr>
      <w:r w:rsidRPr="0054567E">
        <w:rPr>
          <w:szCs w:val="20"/>
        </w:rPr>
        <w:t>6. Zaključak o davanju suglasnosti na plan godišnjih odmora u upravnim odjelima Općine Marčana.</w:t>
      </w:r>
    </w:p>
    <w:p w14:paraId="0FEB45AC" w14:textId="77777777" w:rsidR="0054567E" w:rsidRPr="0054567E" w:rsidRDefault="0054567E" w:rsidP="0054567E">
      <w:pPr>
        <w:suppressAutoHyphens/>
        <w:ind w:left="708"/>
        <w:jc w:val="both"/>
        <w:rPr>
          <w:szCs w:val="20"/>
        </w:rPr>
      </w:pPr>
      <w:r w:rsidRPr="0054567E">
        <w:rPr>
          <w:szCs w:val="20"/>
        </w:rPr>
        <w:t xml:space="preserve">7. Zaključak o davanju suglasnosti za isplatu regresa za godišnji odmor zaposlenih u Mandalena d.o.o. Marčana.  </w:t>
      </w:r>
    </w:p>
    <w:p w14:paraId="4FDC85DD" w14:textId="77777777" w:rsidR="0054567E" w:rsidRPr="0054567E" w:rsidRDefault="0054567E" w:rsidP="0054567E">
      <w:pPr>
        <w:suppressAutoHyphens/>
        <w:ind w:left="708"/>
        <w:jc w:val="both"/>
        <w:rPr>
          <w:szCs w:val="20"/>
        </w:rPr>
      </w:pPr>
      <w:r w:rsidRPr="0054567E">
        <w:rPr>
          <w:szCs w:val="20"/>
        </w:rPr>
        <w:t xml:space="preserve">8. Zaključak o davanju suglasnosti za isplatu regresa za godišnji odmor zaposlenih u Dječjem vrtiću  Vrtuljak Marčana.  </w:t>
      </w:r>
    </w:p>
    <w:p w14:paraId="5A0859D5" w14:textId="77777777" w:rsidR="0054567E" w:rsidRPr="0054567E" w:rsidRDefault="0054567E" w:rsidP="0054567E">
      <w:pPr>
        <w:suppressAutoHyphens/>
        <w:ind w:left="708"/>
        <w:jc w:val="both"/>
        <w:rPr>
          <w:szCs w:val="20"/>
        </w:rPr>
      </w:pPr>
      <w:r w:rsidRPr="0054567E">
        <w:rPr>
          <w:szCs w:val="20"/>
        </w:rPr>
        <w:t xml:space="preserve">9. Zaključak o davanju suglasnosti za isplatu božićnice zaposlenima u Mandalena d.o.o. Marčana.  </w:t>
      </w:r>
    </w:p>
    <w:p w14:paraId="0D6B2576" w14:textId="77777777" w:rsidR="0054567E" w:rsidRPr="0054567E" w:rsidRDefault="0054567E" w:rsidP="0054567E">
      <w:pPr>
        <w:suppressAutoHyphens/>
        <w:ind w:left="708"/>
        <w:jc w:val="both"/>
        <w:rPr>
          <w:szCs w:val="20"/>
        </w:rPr>
      </w:pPr>
      <w:r w:rsidRPr="0054567E">
        <w:rPr>
          <w:szCs w:val="20"/>
        </w:rPr>
        <w:t xml:space="preserve">10. Zaključak o davanju suglasnosti za isplatu božićnice zaposlenima u Dječjem vrtiću  Vrtuljak Marčana.  </w:t>
      </w:r>
    </w:p>
    <w:p w14:paraId="6288D49D" w14:textId="77777777" w:rsidR="0054567E" w:rsidRPr="0054567E" w:rsidRDefault="0054567E" w:rsidP="0054567E">
      <w:pPr>
        <w:suppressAutoHyphens/>
        <w:jc w:val="both"/>
        <w:rPr>
          <w:szCs w:val="20"/>
        </w:rPr>
      </w:pPr>
      <w:r w:rsidRPr="0054567E">
        <w:rPr>
          <w:szCs w:val="20"/>
        </w:rPr>
        <w:t xml:space="preserve"> </w:t>
      </w:r>
    </w:p>
    <w:p w14:paraId="36518671" w14:textId="77777777" w:rsidR="0054567E" w:rsidRPr="0054567E" w:rsidRDefault="0054567E" w:rsidP="0054567E">
      <w:pPr>
        <w:suppressAutoHyphens/>
        <w:jc w:val="both"/>
      </w:pPr>
    </w:p>
    <w:p w14:paraId="709F7D1B" w14:textId="77777777" w:rsidR="0054567E" w:rsidRPr="0054567E" w:rsidRDefault="0054567E" w:rsidP="0054567E">
      <w:pPr>
        <w:suppressAutoHyphens/>
        <w:jc w:val="both"/>
      </w:pPr>
      <w:r w:rsidRPr="0054567E">
        <w:t>2.3.3.3. Osnivanja tijela i imenovanja:</w:t>
      </w:r>
    </w:p>
    <w:p w14:paraId="318F6FC4" w14:textId="77777777" w:rsidR="0054567E" w:rsidRPr="0054567E" w:rsidRDefault="0054567E" w:rsidP="0054567E">
      <w:pPr>
        <w:suppressAutoHyphens/>
        <w:jc w:val="both"/>
      </w:pPr>
    </w:p>
    <w:p w14:paraId="66BF8EE3" w14:textId="77777777" w:rsidR="0054567E" w:rsidRPr="0054567E" w:rsidRDefault="0054567E">
      <w:pPr>
        <w:numPr>
          <w:ilvl w:val="0"/>
          <w:numId w:val="7"/>
        </w:numPr>
        <w:suppressAutoHyphens/>
        <w:spacing w:after="160" w:line="259" w:lineRule="auto"/>
        <w:contextualSpacing/>
        <w:jc w:val="both"/>
      </w:pPr>
      <w:r w:rsidRPr="0054567E">
        <w:lastRenderedPageBreak/>
        <w:t xml:space="preserve">Odluka o imenovanju stručnog povjerenstva za javnu nabavu: Nabava opreme i radova za dječje igralište Loborika. </w:t>
      </w:r>
    </w:p>
    <w:p w14:paraId="5DD98EC1" w14:textId="77777777" w:rsidR="0054567E" w:rsidRPr="0054567E" w:rsidRDefault="0054567E">
      <w:pPr>
        <w:numPr>
          <w:ilvl w:val="0"/>
          <w:numId w:val="7"/>
        </w:numPr>
        <w:suppressAutoHyphens/>
        <w:spacing w:after="160" w:line="259" w:lineRule="auto"/>
        <w:contextualSpacing/>
        <w:jc w:val="both"/>
      </w:pPr>
      <w:r w:rsidRPr="0054567E">
        <w:t xml:space="preserve">Odluka o imenovanju stručnog povjerenstva za javnu nabavu: Poduzetnički inkubator Marčana. </w:t>
      </w:r>
    </w:p>
    <w:p w14:paraId="7E46585A" w14:textId="77777777" w:rsidR="0054567E" w:rsidRPr="0054567E" w:rsidRDefault="0054567E">
      <w:pPr>
        <w:numPr>
          <w:ilvl w:val="0"/>
          <w:numId w:val="7"/>
        </w:numPr>
        <w:suppressAutoHyphens/>
        <w:spacing w:after="160" w:line="259" w:lineRule="auto"/>
        <w:contextualSpacing/>
        <w:jc w:val="both"/>
      </w:pPr>
      <w:r w:rsidRPr="0054567E">
        <w:t>Odluka o imenovanju privremenog zamjenika Načelnika Općine Marčana.</w:t>
      </w:r>
    </w:p>
    <w:p w14:paraId="6BB87785" w14:textId="77777777" w:rsidR="0054567E" w:rsidRPr="0054567E" w:rsidRDefault="0054567E">
      <w:pPr>
        <w:numPr>
          <w:ilvl w:val="0"/>
          <w:numId w:val="7"/>
        </w:numPr>
        <w:suppressAutoHyphens/>
        <w:spacing w:after="160" w:line="259" w:lineRule="auto"/>
        <w:contextualSpacing/>
        <w:jc w:val="both"/>
      </w:pPr>
      <w:r w:rsidRPr="0054567E">
        <w:t xml:space="preserve">Odluka o osnivanju Stožera civilne zaštite Općine Marčana i imenovanju načelnika, zamjenika načelnika i članova Stožera </w:t>
      </w:r>
    </w:p>
    <w:p w14:paraId="1ECE08DA" w14:textId="77777777" w:rsidR="0054567E" w:rsidRPr="0054567E" w:rsidRDefault="0054567E">
      <w:pPr>
        <w:numPr>
          <w:ilvl w:val="0"/>
          <w:numId w:val="7"/>
        </w:numPr>
        <w:suppressAutoHyphens/>
        <w:spacing w:after="160" w:line="259" w:lineRule="auto"/>
        <w:contextualSpacing/>
        <w:jc w:val="both"/>
      </w:pPr>
      <w:r w:rsidRPr="0054567E">
        <w:t>Odluka o osnivanju Radne skupine za izradu Procjene rizika od velikih nesreća za Općinu Marčana</w:t>
      </w:r>
    </w:p>
    <w:p w14:paraId="61365D73" w14:textId="77777777" w:rsidR="0054567E" w:rsidRPr="0054567E" w:rsidRDefault="0054567E">
      <w:pPr>
        <w:numPr>
          <w:ilvl w:val="0"/>
          <w:numId w:val="7"/>
        </w:numPr>
        <w:suppressAutoHyphens/>
        <w:spacing w:after="160" w:line="259" w:lineRule="auto"/>
        <w:contextualSpacing/>
        <w:jc w:val="both"/>
      </w:pPr>
      <w:r w:rsidRPr="0054567E">
        <w:t>Rješenje o razrješenju pročelnika Upravnog odjela za prostorno planiranje, zaštitu okoliša, komunalno gospodarstvo i izgradnju Općine Marčana</w:t>
      </w:r>
    </w:p>
    <w:p w14:paraId="7DABDED6" w14:textId="77777777" w:rsidR="0054567E" w:rsidRPr="0054567E" w:rsidRDefault="0054567E">
      <w:pPr>
        <w:numPr>
          <w:ilvl w:val="0"/>
          <w:numId w:val="7"/>
        </w:numPr>
        <w:suppressAutoHyphens/>
        <w:spacing w:after="160" w:line="259" w:lineRule="auto"/>
        <w:contextualSpacing/>
        <w:jc w:val="both"/>
      </w:pPr>
      <w:r w:rsidRPr="0054567E">
        <w:t>Rješenje o imenovanju službenika za privremeno obavljanje poslova pročelnika  Upravnog odjela za prostorno planiranje, zaštitu okoliša, komunalno gospodarstvo i izgradnju Općine Marčana.</w:t>
      </w:r>
    </w:p>
    <w:p w14:paraId="4590C4AF" w14:textId="77777777" w:rsidR="0054567E" w:rsidRPr="0054567E" w:rsidRDefault="0054567E" w:rsidP="0054567E">
      <w:pPr>
        <w:suppressAutoHyphens/>
        <w:ind w:left="708"/>
        <w:jc w:val="both"/>
        <w:rPr>
          <w:szCs w:val="20"/>
        </w:rPr>
      </w:pPr>
      <w:r w:rsidRPr="0054567E">
        <w:rPr>
          <w:szCs w:val="20"/>
        </w:rPr>
        <w:t xml:space="preserve">  </w:t>
      </w:r>
    </w:p>
    <w:p w14:paraId="5DD63AAD" w14:textId="77777777" w:rsidR="0054567E" w:rsidRPr="0054567E" w:rsidRDefault="0054567E" w:rsidP="0054567E">
      <w:pPr>
        <w:suppressAutoHyphens/>
        <w:jc w:val="both"/>
        <w:rPr>
          <w:szCs w:val="20"/>
        </w:rPr>
      </w:pPr>
    </w:p>
    <w:p w14:paraId="7E95D529" w14:textId="77777777" w:rsidR="0054567E" w:rsidRPr="0054567E" w:rsidRDefault="0054567E" w:rsidP="0054567E">
      <w:pPr>
        <w:suppressAutoHyphens/>
        <w:jc w:val="both"/>
        <w:rPr>
          <w:u w:val="single"/>
        </w:rPr>
      </w:pPr>
      <w:r w:rsidRPr="0054567E">
        <w:rPr>
          <w:u w:val="single"/>
        </w:rPr>
        <w:t>2.3.4.Sklopljeni predugovori, ugovori, nagodbe, sporazumi i sl.</w:t>
      </w:r>
    </w:p>
    <w:p w14:paraId="551F8FB0" w14:textId="77777777" w:rsidR="0054567E" w:rsidRPr="0054567E" w:rsidRDefault="0054567E" w:rsidP="0054567E">
      <w:pPr>
        <w:suppressAutoHyphens/>
        <w:ind w:firstLine="708"/>
        <w:jc w:val="both"/>
      </w:pPr>
    </w:p>
    <w:p w14:paraId="36D82E47" w14:textId="77777777" w:rsidR="0054567E" w:rsidRPr="0054567E" w:rsidRDefault="0054567E" w:rsidP="0054567E">
      <w:pPr>
        <w:suppressAutoHyphens/>
        <w:ind w:firstLine="708"/>
        <w:jc w:val="both"/>
      </w:pPr>
      <w:r w:rsidRPr="0054567E">
        <w:t>U okviru svoje nadležnosti općinski načelnik je tijekom drugog polugodišta  2025. godine sklopio 99 raznih ugovora ili  slična dvostrano ili višestrano obvezujuća akta, i to:</w:t>
      </w:r>
    </w:p>
    <w:p w14:paraId="1E741D61" w14:textId="77777777" w:rsidR="0054567E" w:rsidRPr="0054567E" w:rsidRDefault="0054567E" w:rsidP="0054567E">
      <w:pPr>
        <w:suppressAutoHyphens/>
        <w:jc w:val="both"/>
        <w:rPr>
          <w:color w:val="FF0000"/>
        </w:rPr>
      </w:pPr>
    </w:p>
    <w:p w14:paraId="6797E5EE" w14:textId="77777777" w:rsidR="0054567E" w:rsidRPr="0054567E" w:rsidRDefault="0054567E" w:rsidP="0054567E">
      <w:pPr>
        <w:suppressAutoHyphens/>
        <w:jc w:val="both"/>
      </w:pPr>
      <w:r w:rsidRPr="0054567E">
        <w:t>2.3.4.1.Ugovori, sporazumi i nagodbe u svezi prodaje i kupnje nekretnina, zakupa, služnosti i založnog prava na nekretninama:</w:t>
      </w:r>
    </w:p>
    <w:p w14:paraId="495CD78B" w14:textId="77777777" w:rsidR="0054567E" w:rsidRPr="0054567E" w:rsidRDefault="0054567E" w:rsidP="0054567E">
      <w:pPr>
        <w:suppressAutoHyphens/>
        <w:jc w:val="both"/>
      </w:pPr>
    </w:p>
    <w:p w14:paraId="09C5C18C" w14:textId="77777777" w:rsidR="0054567E" w:rsidRPr="0054567E" w:rsidRDefault="0054567E">
      <w:pPr>
        <w:numPr>
          <w:ilvl w:val="0"/>
          <w:numId w:val="8"/>
        </w:numPr>
        <w:suppressAutoHyphens/>
        <w:spacing w:after="160" w:line="259" w:lineRule="auto"/>
        <w:contextualSpacing/>
        <w:jc w:val="both"/>
      </w:pPr>
      <w:r w:rsidRPr="0054567E">
        <w:t>Ugovor s HP - Hrvatska pošta d.d. o zakupu poslovnog prostora na adresi Marčana 166.</w:t>
      </w:r>
    </w:p>
    <w:p w14:paraId="029EC75E" w14:textId="77777777" w:rsidR="0054567E" w:rsidRPr="0054567E" w:rsidRDefault="0054567E">
      <w:pPr>
        <w:numPr>
          <w:ilvl w:val="0"/>
          <w:numId w:val="8"/>
        </w:numPr>
        <w:suppressAutoHyphens/>
        <w:spacing w:after="160" w:line="259" w:lineRule="auto"/>
        <w:contextualSpacing/>
        <w:jc w:val="both"/>
      </w:pPr>
      <w:r w:rsidRPr="0054567E">
        <w:t>Ugovor s HEP ODS D.O.O.  o osnivanju prava služnosti k.č.br. 4440, 4557, 4442/2 i 2864/2 sve k.o. Filipana.</w:t>
      </w:r>
    </w:p>
    <w:p w14:paraId="20531AC5" w14:textId="77777777" w:rsidR="0054567E" w:rsidRPr="0054567E" w:rsidRDefault="0054567E">
      <w:pPr>
        <w:numPr>
          <w:ilvl w:val="0"/>
          <w:numId w:val="8"/>
        </w:numPr>
        <w:suppressAutoHyphens/>
        <w:spacing w:after="160" w:line="259" w:lineRule="auto"/>
        <w:contextualSpacing/>
        <w:jc w:val="both"/>
      </w:pPr>
      <w:r w:rsidRPr="0054567E">
        <w:t>Ugovor s HEP ODS D.O.O. o osnivanju prava služnosti na nerazvrstanoj cesti  k.č.br. 257/1, 257/3, 282/8, 320/1 i dr. sve k.o. Loborika.</w:t>
      </w:r>
    </w:p>
    <w:p w14:paraId="2F36C532" w14:textId="77777777" w:rsidR="0054567E" w:rsidRPr="0054567E" w:rsidRDefault="0054567E">
      <w:pPr>
        <w:numPr>
          <w:ilvl w:val="0"/>
          <w:numId w:val="8"/>
        </w:numPr>
        <w:suppressAutoHyphens/>
        <w:spacing w:after="160" w:line="259" w:lineRule="auto"/>
        <w:contextualSpacing/>
        <w:jc w:val="both"/>
      </w:pPr>
      <w:r w:rsidRPr="0054567E">
        <w:t>Ugovor s HEP ODS D.O.O. o osnivanju prava služnosti k.č.br. 261/1, 609/7  k.o. Loborika.</w:t>
      </w:r>
    </w:p>
    <w:p w14:paraId="6337E089" w14:textId="77777777" w:rsidR="0054567E" w:rsidRPr="0054567E" w:rsidRDefault="0054567E">
      <w:pPr>
        <w:numPr>
          <w:ilvl w:val="0"/>
          <w:numId w:val="8"/>
        </w:numPr>
        <w:suppressAutoHyphens/>
        <w:spacing w:after="160" w:line="259" w:lineRule="auto"/>
        <w:contextualSpacing/>
        <w:jc w:val="both"/>
      </w:pPr>
      <w:r w:rsidRPr="0054567E">
        <w:t>Ukupno 4 pojedinačna ugovora s fizičkim osobama o kupoprodaji nekretnina ili suvlasničkih dijelova nekretnina radi izgradnje ili proširenja prometnica i drugih javnih površina.</w:t>
      </w:r>
    </w:p>
    <w:p w14:paraId="71ADCBA5" w14:textId="77777777" w:rsidR="0054567E" w:rsidRPr="0054567E" w:rsidRDefault="0054567E">
      <w:pPr>
        <w:numPr>
          <w:ilvl w:val="0"/>
          <w:numId w:val="8"/>
        </w:numPr>
        <w:suppressAutoHyphens/>
        <w:spacing w:after="160" w:line="259" w:lineRule="auto"/>
        <w:contextualSpacing/>
        <w:jc w:val="both"/>
      </w:pPr>
      <w:r w:rsidRPr="0054567E">
        <w:t>Ukupno 10 pojedinačnih ugovora s fizičkim osobama o darivanju nekretnina Općini Marčana.</w:t>
      </w:r>
    </w:p>
    <w:p w14:paraId="336A7E04" w14:textId="77777777" w:rsidR="0054567E" w:rsidRPr="0054567E" w:rsidRDefault="0054567E">
      <w:pPr>
        <w:numPr>
          <w:ilvl w:val="0"/>
          <w:numId w:val="8"/>
        </w:numPr>
        <w:suppressAutoHyphens/>
        <w:spacing w:after="160" w:line="259" w:lineRule="auto"/>
        <w:contextualSpacing/>
        <w:jc w:val="both"/>
      </w:pPr>
      <w:r w:rsidRPr="0054567E">
        <w:t xml:space="preserve">Ukupno 4 pojedinačna ugovora s fizičkim osobama o osnivanju prava služnosti.  </w:t>
      </w:r>
    </w:p>
    <w:p w14:paraId="177129B6" w14:textId="77777777" w:rsidR="0054567E" w:rsidRPr="0054567E" w:rsidRDefault="0054567E">
      <w:pPr>
        <w:numPr>
          <w:ilvl w:val="0"/>
          <w:numId w:val="8"/>
        </w:numPr>
        <w:suppressAutoHyphens/>
        <w:spacing w:after="160" w:line="259" w:lineRule="auto"/>
        <w:contextualSpacing/>
        <w:jc w:val="both"/>
      </w:pPr>
      <w:r w:rsidRPr="0054567E">
        <w:t xml:space="preserve">Drugi </w:t>
      </w:r>
      <w:proofErr w:type="spellStart"/>
      <w:r w:rsidRPr="0054567E">
        <w:t>anex</w:t>
      </w:r>
      <w:proofErr w:type="spellEnd"/>
      <w:r w:rsidRPr="0054567E">
        <w:t xml:space="preserve"> ugovora o uporabi s OPG u svezi uporabe javne površine</w:t>
      </w:r>
    </w:p>
    <w:p w14:paraId="6B59DED1" w14:textId="77777777" w:rsidR="0054567E" w:rsidRPr="0054567E" w:rsidRDefault="0054567E" w:rsidP="0054567E">
      <w:pPr>
        <w:suppressAutoHyphens/>
        <w:ind w:left="708"/>
        <w:jc w:val="both"/>
        <w:rPr>
          <w:szCs w:val="20"/>
        </w:rPr>
      </w:pPr>
    </w:p>
    <w:p w14:paraId="71C5DE80" w14:textId="77777777" w:rsidR="0054567E" w:rsidRPr="0054567E" w:rsidRDefault="0054567E" w:rsidP="0054567E">
      <w:pPr>
        <w:suppressAutoHyphens/>
        <w:jc w:val="both"/>
      </w:pPr>
    </w:p>
    <w:p w14:paraId="4EF5C7F7" w14:textId="77777777" w:rsidR="0054567E" w:rsidRPr="0054567E" w:rsidRDefault="0054567E" w:rsidP="0054567E">
      <w:pPr>
        <w:suppressAutoHyphens/>
        <w:jc w:val="both"/>
      </w:pPr>
      <w:r w:rsidRPr="0054567E">
        <w:t>2.3.4.2.Ugovori o radovima, robama  i uslugama (osim projektne  i dr. dokumentacije):</w:t>
      </w:r>
    </w:p>
    <w:p w14:paraId="4605251F" w14:textId="77777777" w:rsidR="0054567E" w:rsidRPr="0054567E" w:rsidRDefault="0054567E" w:rsidP="0054567E">
      <w:pPr>
        <w:suppressAutoHyphens/>
        <w:jc w:val="both"/>
      </w:pPr>
    </w:p>
    <w:p w14:paraId="4E6E00A9" w14:textId="77777777" w:rsidR="0054567E" w:rsidRPr="0054567E" w:rsidRDefault="0054567E" w:rsidP="0054567E">
      <w:pPr>
        <w:suppressAutoHyphens/>
        <w:ind w:left="708"/>
        <w:jc w:val="both"/>
      </w:pPr>
      <w:r w:rsidRPr="0054567E">
        <w:t>1. Ugovor s HEP ODS D.O.O. o priključenju za k.č.br 508/1 k.o. Marčana - Sportski centar Mandalena</w:t>
      </w:r>
    </w:p>
    <w:p w14:paraId="6D1C2A89" w14:textId="77777777" w:rsidR="0054567E" w:rsidRPr="0054567E" w:rsidRDefault="0054567E" w:rsidP="0054567E">
      <w:pPr>
        <w:suppressAutoHyphens/>
        <w:ind w:left="708"/>
        <w:jc w:val="both"/>
      </w:pPr>
      <w:r w:rsidRPr="0054567E">
        <w:t>2.</w:t>
      </w:r>
      <w:r w:rsidRPr="0054567E">
        <w:rPr>
          <w:rFonts w:asciiTheme="minorHAnsi" w:eastAsiaTheme="minorHAnsi" w:hAnsiTheme="minorHAnsi" w:cstheme="minorBidi"/>
          <w:kern w:val="2"/>
          <w:sz w:val="22"/>
          <w:szCs w:val="22"/>
          <w:lang w:eastAsia="en-US"/>
          <w14:ligatures w14:val="standardContextual"/>
        </w:rPr>
        <w:t xml:space="preserve"> </w:t>
      </w:r>
      <w:r w:rsidRPr="0054567E">
        <w:t xml:space="preserve">Ugovor s Vodovod Pula – Labin d.o.o. o provedbi postupka nabave usluge stručnog nadzora te usluge voditelja projekta izgradnje vodovodne mreže na području naselja </w:t>
      </w:r>
      <w:proofErr w:type="spellStart"/>
      <w:r w:rsidRPr="0054567E">
        <w:t>Krnica</w:t>
      </w:r>
      <w:proofErr w:type="spellEnd"/>
      <w:r w:rsidRPr="0054567E">
        <w:t>-Krase-</w:t>
      </w:r>
      <w:proofErr w:type="spellStart"/>
      <w:r w:rsidRPr="0054567E">
        <w:t>Rakalj</w:t>
      </w:r>
      <w:proofErr w:type="spellEnd"/>
      <w:r w:rsidRPr="0054567E">
        <w:t>.</w:t>
      </w:r>
    </w:p>
    <w:p w14:paraId="6C98AD1F" w14:textId="77777777" w:rsidR="0054567E" w:rsidRPr="0054567E" w:rsidRDefault="0054567E" w:rsidP="0054567E">
      <w:pPr>
        <w:suppressAutoHyphens/>
        <w:ind w:left="708"/>
        <w:jc w:val="both"/>
      </w:pPr>
      <w:bookmarkStart w:id="3" w:name="_Hlk129865755"/>
      <w:r w:rsidRPr="0054567E">
        <w:lastRenderedPageBreak/>
        <w:t>3.</w:t>
      </w:r>
      <w:r w:rsidRPr="0054567E">
        <w:rPr>
          <w:rFonts w:ascii="Calibri" w:eastAsia="Calibri" w:hAnsi="Calibri"/>
          <w:sz w:val="22"/>
          <w:szCs w:val="22"/>
          <w:lang w:eastAsia="en-US"/>
        </w:rPr>
        <w:t xml:space="preserve"> </w:t>
      </w:r>
      <w:proofErr w:type="spellStart"/>
      <w:r w:rsidRPr="0054567E">
        <w:rPr>
          <w:rFonts w:eastAsia="Calibri"/>
          <w:lang w:eastAsia="en-US"/>
        </w:rPr>
        <w:t>Anex</w:t>
      </w:r>
      <w:proofErr w:type="spellEnd"/>
      <w:r w:rsidRPr="0054567E">
        <w:rPr>
          <w:rFonts w:eastAsia="Calibri"/>
          <w:lang w:eastAsia="en-US"/>
        </w:rPr>
        <w:t xml:space="preserve"> ugovora s </w:t>
      </w:r>
      <w:proofErr w:type="spellStart"/>
      <w:r w:rsidRPr="0054567E">
        <w:rPr>
          <w:rFonts w:eastAsia="Calibri"/>
          <w:lang w:eastAsia="en-US"/>
        </w:rPr>
        <w:t>Mandalena</w:t>
      </w:r>
      <w:proofErr w:type="spellEnd"/>
      <w:r w:rsidRPr="0054567E">
        <w:rPr>
          <w:rFonts w:eastAsia="Calibri"/>
          <w:lang w:eastAsia="en-US"/>
        </w:rPr>
        <w:t xml:space="preserve"> d.o.o. o izvođenju radova na održavanju šumske infrastrukture u šumama u vlasništvu </w:t>
      </w:r>
      <w:proofErr w:type="spellStart"/>
      <w:r w:rsidRPr="0054567E">
        <w:rPr>
          <w:rFonts w:eastAsia="Calibri"/>
          <w:lang w:eastAsia="en-US"/>
        </w:rPr>
        <w:t>šumoposjednika</w:t>
      </w:r>
      <w:proofErr w:type="spellEnd"/>
      <w:r w:rsidRPr="0054567E">
        <w:rPr>
          <w:rFonts w:eastAsia="Calibri"/>
          <w:lang w:eastAsia="en-US"/>
        </w:rPr>
        <w:t xml:space="preserve"> tijekom 2025.  godine</w:t>
      </w:r>
      <w:r w:rsidRPr="0054567E">
        <w:t>.</w:t>
      </w:r>
    </w:p>
    <w:bookmarkEnd w:id="3"/>
    <w:p w14:paraId="38367912" w14:textId="77777777" w:rsidR="0054567E" w:rsidRPr="0054567E" w:rsidRDefault="0054567E" w:rsidP="0054567E">
      <w:pPr>
        <w:suppressAutoHyphens/>
        <w:ind w:left="708"/>
        <w:jc w:val="both"/>
      </w:pPr>
      <w:r w:rsidRPr="0054567E">
        <w:t>4.</w:t>
      </w:r>
      <w:r w:rsidRPr="0054567E">
        <w:rPr>
          <w:rFonts w:asciiTheme="minorHAnsi" w:eastAsiaTheme="minorHAnsi" w:hAnsiTheme="minorHAnsi" w:cstheme="minorBidi"/>
          <w:kern w:val="2"/>
          <w:sz w:val="22"/>
          <w:szCs w:val="22"/>
          <w:lang w:eastAsia="en-US"/>
          <w14:ligatures w14:val="standardContextual"/>
        </w:rPr>
        <w:t xml:space="preserve"> </w:t>
      </w:r>
      <w:proofErr w:type="spellStart"/>
      <w:r w:rsidRPr="0054567E">
        <w:t>Anex</w:t>
      </w:r>
      <w:proofErr w:type="spellEnd"/>
      <w:r w:rsidRPr="0054567E">
        <w:t xml:space="preserve"> ugovora s </w:t>
      </w:r>
      <w:proofErr w:type="spellStart"/>
      <w:r w:rsidRPr="0054567E">
        <w:t>Mandalena</w:t>
      </w:r>
      <w:proofErr w:type="spellEnd"/>
      <w:r w:rsidRPr="0054567E">
        <w:t xml:space="preserve"> d.o.o.  o izvođenju radova na uređenju i održavanju poljskih putova tijekom 2025. godine.</w:t>
      </w:r>
    </w:p>
    <w:p w14:paraId="1CCF764B" w14:textId="77777777" w:rsidR="0054567E" w:rsidRPr="0054567E" w:rsidRDefault="0054567E" w:rsidP="0054567E">
      <w:pPr>
        <w:suppressAutoHyphens/>
        <w:ind w:left="708"/>
        <w:jc w:val="both"/>
      </w:pPr>
      <w:r w:rsidRPr="0054567E">
        <w:t xml:space="preserve">5. </w:t>
      </w:r>
      <w:proofErr w:type="spellStart"/>
      <w:r w:rsidRPr="0054567E">
        <w:t>Anex</w:t>
      </w:r>
      <w:proofErr w:type="spellEnd"/>
      <w:r w:rsidRPr="0054567E">
        <w:t xml:space="preserve"> ugovora s </w:t>
      </w:r>
      <w:proofErr w:type="spellStart"/>
      <w:r w:rsidRPr="0054567E">
        <w:t>Mandalena</w:t>
      </w:r>
      <w:proofErr w:type="spellEnd"/>
      <w:r w:rsidRPr="0054567E">
        <w:t xml:space="preserve"> d.o.o. o obavljanju poslova održavanja komunalne infrastrukture pojedinih komunalnih djelatnosti tijekom 2025. godine.</w:t>
      </w:r>
    </w:p>
    <w:p w14:paraId="5DF9CB0D" w14:textId="77777777" w:rsidR="0054567E" w:rsidRPr="0054567E" w:rsidRDefault="0054567E" w:rsidP="0054567E">
      <w:pPr>
        <w:suppressAutoHyphens/>
        <w:ind w:left="708"/>
        <w:jc w:val="both"/>
      </w:pPr>
      <w:r w:rsidRPr="0054567E">
        <w:t>6. Okvirni sporazum s Cesta d.o.o. za izvanredno održavanje i sanaciju nerazvrstanih cesta na području Općine Marčana.</w:t>
      </w:r>
    </w:p>
    <w:p w14:paraId="52EF8737" w14:textId="77777777" w:rsidR="0054567E" w:rsidRPr="0054567E" w:rsidRDefault="0054567E" w:rsidP="0054567E">
      <w:pPr>
        <w:suppressAutoHyphens/>
        <w:ind w:left="708"/>
        <w:jc w:val="both"/>
      </w:pPr>
      <w:r w:rsidRPr="0054567E">
        <w:t>7. Ugovor s Obiteljskim domom za starije i nemoćne osobe Ankica o pružanju usluga korisnicima – korisnik fizička osoba s područja Općine Marčana.</w:t>
      </w:r>
    </w:p>
    <w:p w14:paraId="4A232C7C" w14:textId="77777777" w:rsidR="0054567E" w:rsidRPr="0054567E" w:rsidRDefault="0054567E" w:rsidP="0054567E">
      <w:pPr>
        <w:suppressAutoHyphens/>
        <w:ind w:left="708"/>
        <w:jc w:val="both"/>
      </w:pPr>
      <w:r w:rsidRPr="0054567E">
        <w:t xml:space="preserve">8. Ugovor s </w:t>
      </w:r>
      <w:proofErr w:type="spellStart"/>
      <w:r w:rsidRPr="0054567E">
        <w:t>Cen</w:t>
      </w:r>
      <w:proofErr w:type="spellEnd"/>
      <w:r w:rsidRPr="0054567E">
        <w:t xml:space="preserve"> </w:t>
      </w:r>
      <w:proofErr w:type="spellStart"/>
      <w:r w:rsidRPr="0054567E">
        <w:t>tours</w:t>
      </w:r>
      <w:proofErr w:type="spellEnd"/>
      <w:r w:rsidRPr="0054567E">
        <w:t xml:space="preserve"> d.o.o.  nabavi usluge izrade prijave i vođenja projekta kružne obnove zgrade na k.č.br. 271 </w:t>
      </w:r>
      <w:proofErr w:type="spellStart"/>
      <w:r w:rsidRPr="0054567E">
        <w:t>zgr</w:t>
      </w:r>
      <w:proofErr w:type="spellEnd"/>
      <w:r w:rsidRPr="0054567E">
        <w:t xml:space="preserve">. k.o. </w:t>
      </w:r>
      <w:proofErr w:type="spellStart"/>
      <w:r w:rsidRPr="0054567E">
        <w:t>Krnica</w:t>
      </w:r>
      <w:proofErr w:type="spellEnd"/>
      <w:r w:rsidRPr="0054567E">
        <w:t>.</w:t>
      </w:r>
    </w:p>
    <w:p w14:paraId="426E7347" w14:textId="77777777" w:rsidR="0054567E" w:rsidRPr="0054567E" w:rsidRDefault="0054567E" w:rsidP="0054567E">
      <w:pPr>
        <w:suppressAutoHyphens/>
        <w:ind w:left="708"/>
        <w:jc w:val="both"/>
      </w:pPr>
      <w:r w:rsidRPr="0054567E">
        <w:t>9.</w:t>
      </w:r>
      <w:r w:rsidRPr="0054567E">
        <w:rPr>
          <w:rFonts w:asciiTheme="minorHAnsi" w:eastAsiaTheme="minorHAnsi" w:hAnsiTheme="minorHAnsi" w:cstheme="minorBidi"/>
          <w:kern w:val="2"/>
          <w:sz w:val="22"/>
          <w:szCs w:val="22"/>
          <w:lang w:eastAsia="en-US"/>
          <w14:ligatures w14:val="standardContextual"/>
        </w:rPr>
        <w:t xml:space="preserve"> </w:t>
      </w:r>
      <w:r w:rsidRPr="0054567E">
        <w:t xml:space="preserve">Ugovor s </w:t>
      </w:r>
      <w:proofErr w:type="spellStart"/>
      <w:r w:rsidRPr="0054567E">
        <w:t>Fils</w:t>
      </w:r>
      <w:proofErr w:type="spellEnd"/>
      <w:r w:rsidRPr="0054567E">
        <w:t xml:space="preserve"> d.o.o. o posebnom linijskom prijevozu.</w:t>
      </w:r>
    </w:p>
    <w:p w14:paraId="224949A8" w14:textId="77777777" w:rsidR="0054567E" w:rsidRPr="0054567E" w:rsidRDefault="0054567E" w:rsidP="0054567E">
      <w:pPr>
        <w:suppressAutoHyphens/>
        <w:ind w:left="708"/>
        <w:jc w:val="both"/>
      </w:pPr>
      <w:r w:rsidRPr="0054567E">
        <w:t>10. Ugovor s Županijskom upravom za ceste Istarske županije  o sufinanciranju programa izvanrednog održavanja županijske ceste ŽC 5118 dionica Pinezići.</w:t>
      </w:r>
    </w:p>
    <w:p w14:paraId="709B63DB" w14:textId="77777777" w:rsidR="0054567E" w:rsidRPr="0054567E" w:rsidRDefault="0054567E" w:rsidP="0054567E">
      <w:pPr>
        <w:suppressAutoHyphens/>
        <w:ind w:left="708"/>
        <w:jc w:val="both"/>
      </w:pPr>
      <w:r w:rsidRPr="0054567E">
        <w:t>11.</w:t>
      </w:r>
      <w:r w:rsidRPr="0054567E">
        <w:rPr>
          <w:rFonts w:asciiTheme="minorHAnsi" w:eastAsiaTheme="minorHAnsi" w:hAnsiTheme="minorHAnsi" w:cstheme="minorBidi"/>
          <w:kern w:val="2"/>
          <w:sz w:val="22"/>
          <w:szCs w:val="22"/>
          <w:lang w:eastAsia="en-US"/>
          <w14:ligatures w14:val="standardContextual"/>
        </w:rPr>
        <w:t xml:space="preserve"> </w:t>
      </w:r>
      <w:r w:rsidRPr="0054567E">
        <w:t xml:space="preserve">Ugovor s </w:t>
      </w:r>
      <w:proofErr w:type="spellStart"/>
      <w:r w:rsidRPr="0054567E">
        <w:t>Holt</w:t>
      </w:r>
      <w:proofErr w:type="spellEnd"/>
      <w:r w:rsidRPr="0054567E">
        <w:t xml:space="preserve"> </w:t>
      </w:r>
      <w:proofErr w:type="spellStart"/>
      <w:r w:rsidRPr="0054567E">
        <w:t>ing</w:t>
      </w:r>
      <w:proofErr w:type="spellEnd"/>
      <w:r w:rsidRPr="0054567E">
        <w:t xml:space="preserve"> d.o.o. o nabavi i montaži opreme za dječje igralište Loborika.</w:t>
      </w:r>
    </w:p>
    <w:p w14:paraId="1452C0BF" w14:textId="77777777" w:rsidR="0054567E" w:rsidRPr="0054567E" w:rsidRDefault="0054567E" w:rsidP="0054567E">
      <w:pPr>
        <w:suppressAutoHyphens/>
        <w:ind w:left="708"/>
        <w:jc w:val="both"/>
      </w:pPr>
      <w:r w:rsidRPr="0054567E">
        <w:t>12.</w:t>
      </w:r>
      <w:r w:rsidRPr="0054567E">
        <w:rPr>
          <w:rFonts w:asciiTheme="minorHAnsi" w:eastAsiaTheme="minorHAnsi" w:hAnsiTheme="minorHAnsi" w:cstheme="minorBidi"/>
          <w:kern w:val="2"/>
          <w:sz w:val="22"/>
          <w:szCs w:val="22"/>
          <w:lang w:eastAsia="en-US"/>
          <w14:ligatures w14:val="standardContextual"/>
        </w:rPr>
        <w:t xml:space="preserve"> </w:t>
      </w:r>
      <w:r w:rsidRPr="0054567E">
        <w:t>Ugovor sa Signal sistem d.o.o. o Odluka o  postavljanju umjetnih izbočina u Loboriki (NC 404).</w:t>
      </w:r>
    </w:p>
    <w:p w14:paraId="45B92059" w14:textId="77777777" w:rsidR="0054567E" w:rsidRPr="0054567E" w:rsidRDefault="0054567E" w:rsidP="0054567E">
      <w:pPr>
        <w:suppressAutoHyphens/>
        <w:ind w:left="708"/>
        <w:jc w:val="both"/>
      </w:pPr>
      <w:r w:rsidRPr="0054567E">
        <w:t>13.</w:t>
      </w:r>
      <w:r w:rsidRPr="0054567E">
        <w:rPr>
          <w:rFonts w:asciiTheme="minorHAnsi" w:eastAsiaTheme="minorHAnsi" w:hAnsiTheme="minorHAnsi" w:cstheme="minorBidi"/>
          <w:kern w:val="2"/>
          <w:sz w:val="22"/>
          <w:szCs w:val="22"/>
          <w:lang w:eastAsia="en-US"/>
          <w14:ligatures w14:val="standardContextual"/>
        </w:rPr>
        <w:t xml:space="preserve"> </w:t>
      </w:r>
      <w:r w:rsidRPr="0054567E">
        <w:t>Ugovor s Ministarstvom unutarnjih poslova RH - Policijska akademija o stručnom osposobljavanju za prometnog redara.</w:t>
      </w:r>
    </w:p>
    <w:p w14:paraId="6A1AE2AD" w14:textId="77777777" w:rsidR="0054567E" w:rsidRPr="0054567E" w:rsidRDefault="0054567E" w:rsidP="0054567E">
      <w:pPr>
        <w:suppressAutoHyphens/>
        <w:ind w:left="708"/>
        <w:jc w:val="both"/>
      </w:pPr>
      <w:r w:rsidRPr="0054567E">
        <w:t xml:space="preserve">14. Ugovor o autorskom djelu s Igorom </w:t>
      </w:r>
      <w:proofErr w:type="spellStart"/>
      <w:r w:rsidRPr="0054567E">
        <w:t>Zirojevićem</w:t>
      </w:r>
      <w:proofErr w:type="spellEnd"/>
      <w:r w:rsidRPr="0054567E">
        <w:t>, slobodnim umjetničkim fotografom za snimanje fotografija za potrebe izrade foto-monografije općine Marčana.</w:t>
      </w:r>
    </w:p>
    <w:p w14:paraId="2476F9B7" w14:textId="77777777" w:rsidR="0054567E" w:rsidRPr="0054567E" w:rsidRDefault="0054567E" w:rsidP="0054567E">
      <w:pPr>
        <w:suppressAutoHyphens/>
        <w:ind w:left="708"/>
        <w:jc w:val="both"/>
      </w:pPr>
      <w:r w:rsidRPr="0054567E">
        <w:t xml:space="preserve">15. Ugovor s DA &amp; NE KLIMATIZACIJA </w:t>
      </w:r>
      <w:proofErr w:type="spellStart"/>
      <w:r w:rsidRPr="0054567E">
        <w:t>j.d.o.o</w:t>
      </w:r>
      <w:proofErr w:type="spellEnd"/>
      <w:r w:rsidRPr="0054567E">
        <w:t xml:space="preserve">. o   nabavi i ugradnji  sustava klima uređaja u zgradi sjedišta Općine Marčana.  </w:t>
      </w:r>
    </w:p>
    <w:p w14:paraId="0356A66B" w14:textId="77777777" w:rsidR="0054567E" w:rsidRPr="0054567E" w:rsidRDefault="0054567E" w:rsidP="0054567E">
      <w:pPr>
        <w:suppressAutoHyphens/>
        <w:ind w:left="708"/>
        <w:jc w:val="both"/>
      </w:pPr>
      <w:r w:rsidRPr="0054567E">
        <w:t xml:space="preserve">16. Ugovor s Adria </w:t>
      </w:r>
      <w:proofErr w:type="spellStart"/>
      <w:r w:rsidRPr="0054567E">
        <w:t>edu</w:t>
      </w:r>
      <w:proofErr w:type="spellEnd"/>
      <w:r w:rsidRPr="0054567E">
        <w:t xml:space="preserve"> d.o.o.  nabavi usluge izrade prijave i vođenja projekta Park Marčana.</w:t>
      </w:r>
    </w:p>
    <w:p w14:paraId="2E3B0E8B" w14:textId="77777777" w:rsidR="0054567E" w:rsidRPr="0054567E" w:rsidRDefault="0054567E" w:rsidP="0054567E">
      <w:pPr>
        <w:suppressAutoHyphens/>
        <w:ind w:left="708"/>
        <w:jc w:val="both"/>
      </w:pPr>
      <w:r w:rsidRPr="0054567E">
        <w:t>17.</w:t>
      </w:r>
      <w:r w:rsidRPr="0054567E">
        <w:rPr>
          <w:rFonts w:asciiTheme="minorHAnsi" w:eastAsiaTheme="minorHAnsi" w:hAnsiTheme="minorHAnsi" w:cstheme="minorBidi"/>
          <w:kern w:val="2"/>
          <w:sz w:val="22"/>
          <w:szCs w:val="22"/>
          <w:lang w:eastAsia="en-US"/>
          <w14:ligatures w14:val="standardContextual"/>
        </w:rPr>
        <w:t xml:space="preserve"> </w:t>
      </w:r>
      <w:r w:rsidRPr="0054567E">
        <w:t xml:space="preserve">Ugovor s Pula </w:t>
      </w:r>
      <w:proofErr w:type="spellStart"/>
      <w:r w:rsidRPr="0054567E">
        <w:t>Herculanea</w:t>
      </w:r>
      <w:proofErr w:type="spellEnd"/>
      <w:r w:rsidRPr="0054567E">
        <w:t xml:space="preserve"> d.o.o.  o zaprimanju i najmu spremnika za otpad koji nije nastao u kućanstvu.</w:t>
      </w:r>
    </w:p>
    <w:p w14:paraId="2AA9C2C3" w14:textId="77777777" w:rsidR="0054567E" w:rsidRPr="0054567E" w:rsidRDefault="0054567E" w:rsidP="0054567E">
      <w:pPr>
        <w:suppressAutoHyphens/>
        <w:ind w:left="708"/>
        <w:jc w:val="both"/>
      </w:pPr>
      <w:r w:rsidRPr="0054567E">
        <w:t>18. Ugovor s Projekt jednako razvoj d.o.o. o  nabavi usluge savjetovanja provedbe projekta Poduzetnički inkubator Marčana</w:t>
      </w:r>
    </w:p>
    <w:p w14:paraId="4DA18BA1" w14:textId="77777777" w:rsidR="0054567E" w:rsidRPr="0054567E" w:rsidRDefault="0054567E" w:rsidP="0054567E">
      <w:pPr>
        <w:suppressAutoHyphens/>
        <w:ind w:left="708"/>
        <w:jc w:val="both"/>
      </w:pPr>
      <w:r w:rsidRPr="0054567E">
        <w:t xml:space="preserve">19. Ugovor s Istra </w:t>
      </w:r>
      <w:proofErr w:type="spellStart"/>
      <w:r w:rsidRPr="0054567E">
        <w:t>ferrum</w:t>
      </w:r>
      <w:proofErr w:type="spellEnd"/>
      <w:r w:rsidRPr="0054567E">
        <w:t xml:space="preserve"> d.o.o. o izvođenju radova u dječjem vrtiću Vrtuljak Marčana radi osposobljavanja dodatne prostorije.</w:t>
      </w:r>
    </w:p>
    <w:p w14:paraId="497682B1" w14:textId="77777777" w:rsidR="0054567E" w:rsidRPr="0054567E" w:rsidRDefault="0054567E" w:rsidP="0054567E">
      <w:pPr>
        <w:suppressAutoHyphens/>
        <w:ind w:left="708"/>
        <w:jc w:val="both"/>
      </w:pPr>
      <w:r w:rsidRPr="0054567E">
        <w:t>20.</w:t>
      </w:r>
      <w:r w:rsidRPr="0054567E">
        <w:rPr>
          <w:rFonts w:asciiTheme="minorHAnsi" w:eastAsiaTheme="minorHAnsi" w:hAnsiTheme="minorHAnsi" w:cstheme="minorBidi"/>
          <w:kern w:val="2"/>
          <w:sz w:val="22"/>
          <w:szCs w:val="22"/>
          <w:lang w:eastAsia="en-US"/>
          <w14:ligatures w14:val="standardContextual"/>
        </w:rPr>
        <w:t xml:space="preserve"> </w:t>
      </w:r>
      <w:r w:rsidRPr="0054567E">
        <w:t xml:space="preserve">Ugovor o sponzorstvu s CIK Dr. Božo Milanović d. o. o. o suradnji na kampanji "Radio patrola" - sigurnost djece u prometu. </w:t>
      </w:r>
    </w:p>
    <w:p w14:paraId="6280AD05" w14:textId="77777777" w:rsidR="0054567E" w:rsidRPr="0054567E" w:rsidRDefault="0054567E" w:rsidP="0054567E">
      <w:pPr>
        <w:suppressAutoHyphens/>
        <w:ind w:left="708"/>
        <w:jc w:val="both"/>
      </w:pPr>
      <w:r w:rsidRPr="0054567E">
        <w:t>21. Ugovor s KREATIVNE TEHNOLOGIJE d.o.o. o izgradnja fotonaponskih elektrana na zgradi Općine Marčana.</w:t>
      </w:r>
    </w:p>
    <w:p w14:paraId="7D7A8828" w14:textId="77777777" w:rsidR="0054567E" w:rsidRPr="0054567E" w:rsidRDefault="0054567E" w:rsidP="0054567E">
      <w:pPr>
        <w:suppressAutoHyphens/>
        <w:ind w:left="708"/>
        <w:jc w:val="both"/>
      </w:pPr>
      <w:r w:rsidRPr="0054567E">
        <w:t>22. Ugovor s KREATIVNE TEHNOLOGIJE d.o.o. o izgradnja fotonaponskih elektrana na zgradi DV Vrtuljak Marčana.</w:t>
      </w:r>
    </w:p>
    <w:p w14:paraId="60C66396" w14:textId="77777777" w:rsidR="0054567E" w:rsidRPr="0054567E" w:rsidRDefault="0054567E" w:rsidP="0054567E">
      <w:pPr>
        <w:suppressAutoHyphens/>
        <w:ind w:left="708"/>
        <w:jc w:val="both"/>
      </w:pPr>
      <w:r w:rsidRPr="0054567E">
        <w:t>23.</w:t>
      </w:r>
      <w:r w:rsidRPr="0054567E">
        <w:rPr>
          <w:rFonts w:asciiTheme="minorHAnsi" w:eastAsiaTheme="minorHAnsi" w:hAnsiTheme="minorHAnsi" w:cstheme="minorBidi"/>
          <w:kern w:val="2"/>
          <w:sz w:val="22"/>
          <w:szCs w:val="22"/>
          <w:lang w:eastAsia="en-US"/>
          <w14:ligatures w14:val="standardContextual"/>
        </w:rPr>
        <w:t xml:space="preserve"> </w:t>
      </w:r>
      <w:r w:rsidRPr="0054567E">
        <w:t xml:space="preserve">Ugovor s Konzum plus d.o.o. o kupnji i korištenju Konzum poklon kartica.  </w:t>
      </w:r>
    </w:p>
    <w:p w14:paraId="35E7517A" w14:textId="77777777" w:rsidR="0054567E" w:rsidRPr="0054567E" w:rsidRDefault="0054567E" w:rsidP="0054567E">
      <w:pPr>
        <w:suppressAutoHyphens/>
        <w:ind w:left="708"/>
        <w:jc w:val="both"/>
      </w:pPr>
      <w:r w:rsidRPr="0054567E">
        <w:t>24. Ugovor s Hrvatskom poštom d.d. o pružanju poštanskih usluga u 2026. godini.</w:t>
      </w:r>
    </w:p>
    <w:p w14:paraId="062D82F3" w14:textId="77777777" w:rsidR="0054567E" w:rsidRPr="0054567E" w:rsidRDefault="0054567E" w:rsidP="0054567E">
      <w:pPr>
        <w:suppressAutoHyphens/>
        <w:ind w:left="708"/>
        <w:jc w:val="both"/>
      </w:pPr>
      <w:r w:rsidRPr="0054567E">
        <w:t>25. Ugovor s Plan B d.o.o. o medijskoj suradnji</w:t>
      </w:r>
    </w:p>
    <w:p w14:paraId="1B055EA6" w14:textId="77777777" w:rsidR="0054567E" w:rsidRPr="0054567E" w:rsidRDefault="0054567E" w:rsidP="0054567E">
      <w:pPr>
        <w:suppressAutoHyphens/>
        <w:ind w:left="708"/>
        <w:jc w:val="both"/>
      </w:pPr>
    </w:p>
    <w:p w14:paraId="380CCCE3" w14:textId="77777777" w:rsidR="0054567E" w:rsidRPr="0054567E" w:rsidRDefault="0054567E" w:rsidP="0054567E">
      <w:pPr>
        <w:suppressAutoHyphens/>
        <w:jc w:val="both"/>
        <w:rPr>
          <w:szCs w:val="20"/>
        </w:rPr>
      </w:pPr>
    </w:p>
    <w:p w14:paraId="5E1CFE59" w14:textId="77777777" w:rsidR="0054567E" w:rsidRPr="0054567E" w:rsidRDefault="0054567E" w:rsidP="0054567E">
      <w:pPr>
        <w:suppressAutoHyphens/>
        <w:jc w:val="both"/>
      </w:pPr>
      <w:r w:rsidRPr="0054567E">
        <w:t xml:space="preserve">2.3.4.3.Ugovori o  izradi projektne i druge  dokumentacije: </w:t>
      </w:r>
    </w:p>
    <w:p w14:paraId="19568D07" w14:textId="77777777" w:rsidR="0054567E" w:rsidRPr="0054567E" w:rsidRDefault="0054567E" w:rsidP="0054567E">
      <w:pPr>
        <w:suppressAutoHyphens/>
        <w:jc w:val="both"/>
      </w:pPr>
    </w:p>
    <w:p w14:paraId="286D0037" w14:textId="77777777" w:rsidR="0054567E" w:rsidRPr="0054567E" w:rsidRDefault="0054567E" w:rsidP="0054567E">
      <w:pPr>
        <w:suppressAutoHyphens/>
        <w:ind w:left="708"/>
      </w:pPr>
      <w:r w:rsidRPr="0054567E">
        <w:t>1. Ugovor s Novi urbanizam d.o.o. o nabavi usluge izrade Izmjena i dopuna PPUO Marčana.</w:t>
      </w:r>
    </w:p>
    <w:p w14:paraId="78ADFA12" w14:textId="77777777" w:rsidR="0054567E" w:rsidRPr="0054567E" w:rsidRDefault="0054567E" w:rsidP="0054567E">
      <w:pPr>
        <w:suppressAutoHyphens/>
        <w:ind w:left="708"/>
      </w:pPr>
      <w:r w:rsidRPr="0054567E">
        <w:t>2. Ugovor s PRONGRAD BIRO d.o.o. o  nabavi usluge izrade glavnog projekta za izgradnju nerazvrstane prometnice u Raklju.</w:t>
      </w:r>
    </w:p>
    <w:p w14:paraId="455F784E" w14:textId="77777777" w:rsidR="0054567E" w:rsidRPr="0054567E" w:rsidRDefault="0054567E" w:rsidP="0054567E">
      <w:pPr>
        <w:suppressAutoHyphens/>
        <w:ind w:left="708"/>
      </w:pPr>
      <w:r w:rsidRPr="0054567E">
        <w:lastRenderedPageBreak/>
        <w:t>3. Ugovor s Studiom za krajobraznu arhitekturu, prostorno planiranje i okoliš d.o.o. - o izradi projektne dokumentacije: Razvoja zelene infrastrukture u urbanim područjima.</w:t>
      </w:r>
    </w:p>
    <w:p w14:paraId="7A97143C" w14:textId="77777777" w:rsidR="0054567E" w:rsidRPr="0054567E" w:rsidRDefault="0054567E" w:rsidP="0054567E">
      <w:pPr>
        <w:suppressAutoHyphens/>
        <w:ind w:left="708"/>
      </w:pPr>
      <w:r w:rsidRPr="0054567E">
        <w:t xml:space="preserve">4. Ugovor s Via </w:t>
      </w:r>
      <w:proofErr w:type="spellStart"/>
      <w:r w:rsidRPr="0054567E">
        <w:t>ing</w:t>
      </w:r>
      <w:proofErr w:type="spellEnd"/>
      <w:r w:rsidRPr="0054567E">
        <w:t xml:space="preserve"> d.o.o. o nabavi usluge izrade glavnog projekta za prometnu površinu raskrižje ŽC 5119 i LC50174.</w:t>
      </w:r>
    </w:p>
    <w:p w14:paraId="10F04214" w14:textId="77777777" w:rsidR="0054567E" w:rsidRPr="0054567E" w:rsidRDefault="0054567E" w:rsidP="0054567E">
      <w:pPr>
        <w:suppressAutoHyphens/>
        <w:ind w:left="708"/>
      </w:pPr>
      <w:r w:rsidRPr="0054567E">
        <w:t xml:space="preserve">5. Ugovor s Via </w:t>
      </w:r>
      <w:proofErr w:type="spellStart"/>
      <w:r w:rsidRPr="0054567E">
        <w:t>ing</w:t>
      </w:r>
      <w:proofErr w:type="spellEnd"/>
      <w:r w:rsidRPr="0054567E">
        <w:t xml:space="preserve"> d.o.o. o nabavi usluge izrade glavnog projekta za prometnu površinu LC 50174.</w:t>
      </w:r>
    </w:p>
    <w:p w14:paraId="6C23AB8A" w14:textId="77777777" w:rsidR="0054567E" w:rsidRPr="0054567E" w:rsidRDefault="0054567E" w:rsidP="0054567E">
      <w:pPr>
        <w:suppressAutoHyphens/>
        <w:ind w:left="708"/>
      </w:pPr>
    </w:p>
    <w:p w14:paraId="2F78C8C4" w14:textId="77777777" w:rsidR="0054567E" w:rsidRPr="0054567E" w:rsidRDefault="0054567E" w:rsidP="0054567E">
      <w:pPr>
        <w:suppressAutoHyphens/>
        <w:ind w:left="708"/>
        <w:jc w:val="both"/>
      </w:pPr>
    </w:p>
    <w:p w14:paraId="47BAD5F4" w14:textId="77777777" w:rsidR="0054567E" w:rsidRPr="0054567E" w:rsidRDefault="0054567E" w:rsidP="0054567E">
      <w:pPr>
        <w:suppressAutoHyphens/>
        <w:ind w:left="708"/>
        <w:jc w:val="both"/>
      </w:pPr>
    </w:p>
    <w:p w14:paraId="65AEC7CE" w14:textId="77777777" w:rsidR="0054567E" w:rsidRPr="0054567E" w:rsidRDefault="0054567E" w:rsidP="0054567E">
      <w:pPr>
        <w:suppressAutoHyphens/>
        <w:jc w:val="both"/>
      </w:pPr>
      <w:r w:rsidRPr="0054567E">
        <w:t>2.3.4.4. Ugovori o financiranju i sl.:</w:t>
      </w:r>
    </w:p>
    <w:p w14:paraId="7D3425B0" w14:textId="77777777" w:rsidR="0054567E" w:rsidRPr="0054567E" w:rsidRDefault="0054567E" w:rsidP="0054567E">
      <w:pPr>
        <w:suppressAutoHyphens/>
        <w:jc w:val="both"/>
      </w:pPr>
    </w:p>
    <w:p w14:paraId="5496DACE" w14:textId="77777777" w:rsidR="0054567E" w:rsidRPr="0054567E" w:rsidRDefault="0054567E" w:rsidP="0054567E">
      <w:pPr>
        <w:suppressAutoHyphens/>
        <w:jc w:val="both"/>
      </w:pPr>
      <w:r w:rsidRPr="0054567E">
        <w:t xml:space="preserve">1. Ugovor, dodatak ugovoru i </w:t>
      </w:r>
      <w:proofErr w:type="spellStart"/>
      <w:r w:rsidRPr="0054567E">
        <w:t>anex</w:t>
      </w:r>
      <w:proofErr w:type="spellEnd"/>
      <w:r w:rsidRPr="0054567E">
        <w:t xml:space="preserve"> ugovora s Ministarstvom prostornog uređenja, graditeljstva i državne imovine RH o dodjeli bespovratnih sredstava za Izradu prostornih planova nove generacije putem elektroničkog sustava "</w:t>
      </w:r>
      <w:proofErr w:type="spellStart"/>
      <w:r w:rsidRPr="0054567E">
        <w:t>ePlanovi</w:t>
      </w:r>
      <w:proofErr w:type="spellEnd"/>
      <w:r w:rsidRPr="0054567E">
        <w:t>".</w:t>
      </w:r>
    </w:p>
    <w:p w14:paraId="3A54F311" w14:textId="77777777" w:rsidR="0054567E" w:rsidRPr="0054567E" w:rsidRDefault="0054567E" w:rsidP="0054567E">
      <w:pPr>
        <w:suppressAutoHyphens/>
        <w:jc w:val="both"/>
      </w:pPr>
      <w:r w:rsidRPr="0054567E">
        <w:t xml:space="preserve">2. Ugovor o dodjeli bespovratnih sredstava s  Ministarstvom regionalnog razvoja i fondova EU za izgradnju zgrade poduzetničkog inkubatora u </w:t>
      </w:r>
      <w:proofErr w:type="spellStart"/>
      <w:r w:rsidRPr="0054567E">
        <w:t>Marčani</w:t>
      </w:r>
      <w:proofErr w:type="spellEnd"/>
      <w:r w:rsidRPr="0054567E">
        <w:t>.</w:t>
      </w:r>
    </w:p>
    <w:p w14:paraId="67FDB208" w14:textId="77777777" w:rsidR="0054567E" w:rsidRPr="0054567E" w:rsidRDefault="0054567E" w:rsidP="0054567E">
      <w:pPr>
        <w:suppressAutoHyphens/>
        <w:jc w:val="both"/>
      </w:pPr>
      <w:r w:rsidRPr="0054567E">
        <w:t xml:space="preserve">3. </w:t>
      </w:r>
      <w:proofErr w:type="spellStart"/>
      <w:r w:rsidRPr="0054567E">
        <w:t>Anex</w:t>
      </w:r>
      <w:proofErr w:type="spellEnd"/>
      <w:r w:rsidRPr="0054567E">
        <w:t xml:space="preserve"> br. 11 Ugovora s Fondom za razvoj poljoprivrede i agroturizama Istre o namjenskom osiguranju sredstava  za 2025. godinu. </w:t>
      </w:r>
    </w:p>
    <w:p w14:paraId="0AA3DB77" w14:textId="77777777" w:rsidR="0054567E" w:rsidRPr="0054567E" w:rsidRDefault="0054567E" w:rsidP="0054567E">
      <w:pPr>
        <w:suppressAutoHyphens/>
        <w:jc w:val="both"/>
      </w:pPr>
      <w:r w:rsidRPr="0054567E">
        <w:t xml:space="preserve">4. Ugovor o zajmu s Turističkom zajednicom Općine Marčana. </w:t>
      </w:r>
    </w:p>
    <w:p w14:paraId="4B270FB0" w14:textId="77777777" w:rsidR="0054567E" w:rsidRPr="0054567E" w:rsidRDefault="0054567E" w:rsidP="0054567E">
      <w:pPr>
        <w:suppressAutoHyphens/>
        <w:jc w:val="both"/>
      </w:pPr>
      <w:r w:rsidRPr="0054567E">
        <w:t>5. Ugovor s Istarskom županijom, Upravnim odjelom za obrazovanje sport i tehničku kulturu - o dodjeli financijske potpore jedinicama lokalne samouprave za izgradnju, održavanje i opremanje sportskih objekata iz Proračuna Istarske županije u 2025. godini.</w:t>
      </w:r>
    </w:p>
    <w:p w14:paraId="3491BA44" w14:textId="77777777" w:rsidR="0054567E" w:rsidRPr="0054567E" w:rsidRDefault="0054567E" w:rsidP="0054567E">
      <w:pPr>
        <w:suppressAutoHyphens/>
        <w:jc w:val="both"/>
      </w:pPr>
      <w:r w:rsidRPr="0054567E">
        <w:t xml:space="preserve">6. </w:t>
      </w:r>
      <w:bookmarkStart w:id="4" w:name="_Hlk194393106"/>
      <w:r w:rsidRPr="0054567E">
        <w:t xml:space="preserve">Ukupno 4 pojedinačna Ugovora o oročenom depozitu s Erste &amp; </w:t>
      </w:r>
      <w:proofErr w:type="spellStart"/>
      <w:r w:rsidRPr="0054567E">
        <w:t>Steiermarkische</w:t>
      </w:r>
      <w:proofErr w:type="spellEnd"/>
      <w:r w:rsidRPr="0054567E">
        <w:t xml:space="preserve"> bankom d.d.  </w:t>
      </w:r>
    </w:p>
    <w:bookmarkEnd w:id="4"/>
    <w:p w14:paraId="55A388AF" w14:textId="77777777" w:rsidR="0054567E" w:rsidRPr="0054567E" w:rsidRDefault="0054567E" w:rsidP="0054567E">
      <w:pPr>
        <w:suppressAutoHyphens/>
        <w:jc w:val="both"/>
      </w:pPr>
      <w:r w:rsidRPr="0054567E">
        <w:t>7. Ukupno 24 pojedinačna ugovora o financiranju projekata udruga civilnog društva, udruga u kulturi i književnog stvaralaštva.</w:t>
      </w:r>
    </w:p>
    <w:p w14:paraId="7DBF9470" w14:textId="77777777" w:rsidR="0054567E" w:rsidRPr="0054567E" w:rsidRDefault="0054567E" w:rsidP="0054567E">
      <w:pPr>
        <w:suppressAutoHyphens/>
        <w:ind w:left="708"/>
        <w:jc w:val="both"/>
        <w:rPr>
          <w:szCs w:val="20"/>
        </w:rPr>
      </w:pPr>
    </w:p>
    <w:p w14:paraId="39AE77FC" w14:textId="77777777" w:rsidR="0054567E" w:rsidRPr="0054567E" w:rsidRDefault="0054567E" w:rsidP="0054567E">
      <w:pPr>
        <w:suppressAutoHyphens/>
        <w:jc w:val="both"/>
      </w:pPr>
    </w:p>
    <w:p w14:paraId="753DDC94" w14:textId="77777777" w:rsidR="0054567E" w:rsidRPr="0054567E" w:rsidRDefault="0054567E" w:rsidP="0054567E">
      <w:pPr>
        <w:suppressAutoHyphens/>
        <w:jc w:val="both"/>
      </w:pPr>
    </w:p>
    <w:p w14:paraId="61441865" w14:textId="77777777" w:rsidR="0054567E" w:rsidRPr="0054567E" w:rsidRDefault="0054567E" w:rsidP="0054567E">
      <w:pPr>
        <w:suppressAutoHyphens/>
        <w:jc w:val="both"/>
      </w:pPr>
      <w:r w:rsidRPr="0054567E">
        <w:t>2.3.4.5.Ugovori o djelu:</w:t>
      </w:r>
    </w:p>
    <w:p w14:paraId="0C68B3A2" w14:textId="77777777" w:rsidR="0054567E" w:rsidRPr="0054567E" w:rsidRDefault="0054567E" w:rsidP="0054567E">
      <w:pPr>
        <w:suppressAutoHyphens/>
        <w:jc w:val="both"/>
      </w:pPr>
    </w:p>
    <w:p w14:paraId="27C018A2" w14:textId="77777777" w:rsidR="0054567E" w:rsidRPr="0054567E" w:rsidRDefault="0054567E" w:rsidP="0054567E">
      <w:pPr>
        <w:suppressAutoHyphens/>
        <w:ind w:left="708"/>
        <w:jc w:val="both"/>
      </w:pPr>
      <w:r w:rsidRPr="0054567E">
        <w:t>1.Ukupno 6 pojedinačnih ugovora o djelu u svezi osobne dostave  pismena.</w:t>
      </w:r>
    </w:p>
    <w:p w14:paraId="0F7DBCF8" w14:textId="77777777" w:rsidR="0054567E" w:rsidRPr="0054567E" w:rsidRDefault="0054567E" w:rsidP="0054567E">
      <w:pPr>
        <w:suppressAutoHyphens/>
        <w:ind w:left="708"/>
        <w:jc w:val="both"/>
      </w:pPr>
      <w:r w:rsidRPr="0054567E">
        <w:t xml:space="preserve">2.Ukupno 2 razna druga ugovora o dijelu </w:t>
      </w:r>
    </w:p>
    <w:p w14:paraId="65C73FD2" w14:textId="77777777" w:rsidR="0054567E" w:rsidRPr="0054567E" w:rsidRDefault="0054567E" w:rsidP="0054567E">
      <w:pPr>
        <w:suppressAutoHyphens/>
        <w:ind w:left="708"/>
        <w:jc w:val="both"/>
      </w:pPr>
    </w:p>
    <w:p w14:paraId="27E8514E" w14:textId="77777777" w:rsidR="0054567E" w:rsidRPr="0054567E" w:rsidRDefault="0054567E" w:rsidP="0054567E">
      <w:pPr>
        <w:suppressAutoHyphens/>
        <w:ind w:left="708"/>
        <w:jc w:val="both"/>
      </w:pPr>
    </w:p>
    <w:p w14:paraId="1683D409" w14:textId="77777777" w:rsidR="0054567E" w:rsidRPr="0054567E" w:rsidRDefault="0054567E" w:rsidP="0054567E">
      <w:pPr>
        <w:suppressAutoHyphens/>
        <w:jc w:val="both"/>
        <w:rPr>
          <w:szCs w:val="20"/>
          <w:u w:val="single"/>
        </w:rPr>
      </w:pPr>
    </w:p>
    <w:p w14:paraId="5A6A27AC" w14:textId="77777777" w:rsidR="0054567E" w:rsidRPr="0054567E" w:rsidRDefault="0054567E" w:rsidP="0054567E">
      <w:pPr>
        <w:suppressAutoHyphens/>
        <w:jc w:val="both"/>
        <w:rPr>
          <w:szCs w:val="20"/>
          <w:u w:val="single"/>
        </w:rPr>
      </w:pPr>
      <w:r w:rsidRPr="0054567E">
        <w:rPr>
          <w:szCs w:val="20"/>
          <w:u w:val="single"/>
        </w:rPr>
        <w:t>2.3.5. Ostali akti:</w:t>
      </w:r>
    </w:p>
    <w:p w14:paraId="3580D97C" w14:textId="77777777" w:rsidR="0054567E" w:rsidRPr="0054567E" w:rsidRDefault="0054567E" w:rsidP="0054567E">
      <w:pPr>
        <w:suppressAutoHyphens/>
        <w:jc w:val="both"/>
        <w:rPr>
          <w:szCs w:val="20"/>
        </w:rPr>
      </w:pPr>
      <w:r w:rsidRPr="0054567E">
        <w:rPr>
          <w:szCs w:val="20"/>
        </w:rPr>
        <w:t xml:space="preserve">U okviru svoje nadležnosti općinski načelnik je u drugoj polovici 2025. godine:  </w:t>
      </w:r>
    </w:p>
    <w:p w14:paraId="2B244862" w14:textId="77777777" w:rsidR="0054567E" w:rsidRPr="0054567E" w:rsidRDefault="0054567E" w:rsidP="0054567E">
      <w:pPr>
        <w:suppressAutoHyphens/>
        <w:ind w:left="708"/>
        <w:jc w:val="both"/>
        <w:rPr>
          <w:szCs w:val="20"/>
        </w:rPr>
      </w:pPr>
      <w:r w:rsidRPr="0054567E">
        <w:rPr>
          <w:szCs w:val="20"/>
        </w:rPr>
        <w:t xml:space="preserve">1. Izdao  ukupno 203 pojedinačna naloga za plaćanja. </w:t>
      </w:r>
    </w:p>
    <w:p w14:paraId="29F9A561" w14:textId="77777777" w:rsidR="0054567E" w:rsidRPr="0054567E" w:rsidRDefault="0054567E" w:rsidP="0054567E">
      <w:pPr>
        <w:suppressAutoHyphens/>
        <w:ind w:left="708"/>
        <w:jc w:val="both"/>
        <w:rPr>
          <w:szCs w:val="20"/>
        </w:rPr>
      </w:pPr>
      <w:r w:rsidRPr="0054567E">
        <w:rPr>
          <w:szCs w:val="20"/>
        </w:rPr>
        <w:t xml:space="preserve">2. Odobrio plaćanje po 2083 ulazna računa. </w:t>
      </w:r>
    </w:p>
    <w:p w14:paraId="694A428B" w14:textId="77777777" w:rsidR="0054567E" w:rsidRPr="0054567E" w:rsidRDefault="0054567E" w:rsidP="0054567E">
      <w:pPr>
        <w:suppressAutoHyphens/>
        <w:ind w:left="708"/>
        <w:jc w:val="both"/>
        <w:rPr>
          <w:szCs w:val="20"/>
        </w:rPr>
      </w:pPr>
      <w:r w:rsidRPr="0054567E">
        <w:rPr>
          <w:szCs w:val="20"/>
        </w:rPr>
        <w:t xml:space="preserve">3. Pisano se očitovao u više od 60 predmeta bilo u vidu strogo formalnih podnesaka (npr. prijedlozi za uknjižbu,  ovjere geodetskih elaborata  i sl.) ili u vidu redovne korespondencije. </w:t>
      </w:r>
    </w:p>
    <w:p w14:paraId="60E7B333" w14:textId="77777777" w:rsidR="0054567E" w:rsidRPr="0054567E" w:rsidRDefault="0054567E" w:rsidP="0054567E">
      <w:pPr>
        <w:suppressAutoHyphens/>
        <w:jc w:val="both"/>
        <w:rPr>
          <w:szCs w:val="20"/>
        </w:rPr>
      </w:pPr>
    </w:p>
    <w:p w14:paraId="33D28A2A" w14:textId="77777777" w:rsidR="0054567E" w:rsidRPr="0054567E" w:rsidRDefault="0054567E" w:rsidP="0054567E">
      <w:pPr>
        <w:suppressAutoHyphens/>
        <w:jc w:val="both"/>
        <w:rPr>
          <w:szCs w:val="20"/>
        </w:rPr>
      </w:pPr>
    </w:p>
    <w:p w14:paraId="2F0B308B" w14:textId="77777777" w:rsidR="0054567E" w:rsidRPr="0054567E" w:rsidRDefault="0054567E" w:rsidP="0054567E">
      <w:pPr>
        <w:suppressAutoHyphens/>
        <w:jc w:val="both"/>
        <w:rPr>
          <w:szCs w:val="20"/>
        </w:rPr>
      </w:pPr>
    </w:p>
    <w:p w14:paraId="5B5222AE" w14:textId="77777777" w:rsidR="0054567E" w:rsidRPr="0054567E" w:rsidRDefault="0054567E" w:rsidP="0054567E">
      <w:pPr>
        <w:suppressAutoHyphens/>
        <w:jc w:val="both"/>
        <w:rPr>
          <w:szCs w:val="20"/>
        </w:rPr>
      </w:pPr>
    </w:p>
    <w:p w14:paraId="79095369" w14:textId="77777777" w:rsidR="0054567E" w:rsidRPr="0054567E" w:rsidRDefault="0054567E" w:rsidP="0054567E">
      <w:pPr>
        <w:suppressAutoHyphens/>
        <w:jc w:val="both"/>
        <w:rPr>
          <w:szCs w:val="20"/>
        </w:rPr>
      </w:pPr>
    </w:p>
    <w:p w14:paraId="75D1DA0E" w14:textId="77777777" w:rsidR="0054567E" w:rsidRPr="0054567E" w:rsidRDefault="0054567E" w:rsidP="0054567E">
      <w:pPr>
        <w:suppressAutoHyphens/>
        <w:jc w:val="both"/>
        <w:rPr>
          <w:szCs w:val="20"/>
        </w:rPr>
      </w:pPr>
    </w:p>
    <w:p w14:paraId="0EA72F1E" w14:textId="77777777" w:rsidR="0054567E" w:rsidRPr="0054567E" w:rsidRDefault="0054567E" w:rsidP="0054567E">
      <w:pPr>
        <w:suppressAutoHyphens/>
        <w:jc w:val="both"/>
        <w:rPr>
          <w:szCs w:val="20"/>
        </w:rPr>
      </w:pPr>
    </w:p>
    <w:p w14:paraId="3EC75842" w14:textId="77777777" w:rsidR="0054567E" w:rsidRPr="0054567E" w:rsidRDefault="0054567E" w:rsidP="0054567E">
      <w:pPr>
        <w:suppressAutoHyphens/>
        <w:jc w:val="both"/>
        <w:rPr>
          <w:b/>
          <w:bCs/>
          <w:szCs w:val="20"/>
        </w:rPr>
      </w:pPr>
      <w:r w:rsidRPr="0054567E">
        <w:rPr>
          <w:b/>
          <w:bCs/>
          <w:szCs w:val="20"/>
        </w:rPr>
        <w:t xml:space="preserve"> 2.4. Ostale aktivnosti</w:t>
      </w:r>
    </w:p>
    <w:p w14:paraId="0091A4F6" w14:textId="77777777" w:rsidR="0054567E" w:rsidRPr="0054567E" w:rsidRDefault="0054567E" w:rsidP="0054567E">
      <w:pPr>
        <w:suppressAutoHyphens/>
        <w:jc w:val="both"/>
        <w:rPr>
          <w:szCs w:val="20"/>
        </w:rPr>
      </w:pPr>
    </w:p>
    <w:p w14:paraId="6E7221B2" w14:textId="77777777" w:rsidR="0054567E" w:rsidRPr="0054567E" w:rsidRDefault="0054567E" w:rsidP="0054567E">
      <w:pPr>
        <w:suppressAutoHyphens/>
        <w:ind w:firstLine="708"/>
        <w:jc w:val="both"/>
        <w:rPr>
          <w:szCs w:val="20"/>
        </w:rPr>
      </w:pPr>
      <w:r w:rsidRPr="0054567E">
        <w:rPr>
          <w:szCs w:val="20"/>
        </w:rPr>
        <w:t>Uspješnost obavljanja poslova iz samoupravnog djelokruga jedinica lokalne samouprave, pa i obavljanja poslova iz djelokruga općinskog načelnika u znatnoj mjeri ovisi i o funkcioniranju upravnih tijela. U Općini Marčana djeluju dva upravna odjela: Upravni odjel za prostorno planiranje, zaštitu okoliša, komunalno gospodarstvo i izgradnju i Upravni odjel za društvene djelatnosti, gospodarstvo, financije i javnu nabavu.</w:t>
      </w:r>
    </w:p>
    <w:p w14:paraId="2B838993" w14:textId="77777777" w:rsidR="0054567E" w:rsidRPr="0054567E" w:rsidRDefault="0054567E" w:rsidP="0054567E">
      <w:pPr>
        <w:suppressAutoHyphens/>
        <w:ind w:firstLine="708"/>
        <w:jc w:val="both"/>
        <w:rPr>
          <w:szCs w:val="20"/>
        </w:rPr>
      </w:pPr>
    </w:p>
    <w:p w14:paraId="70419E99" w14:textId="77777777" w:rsidR="0054567E" w:rsidRPr="0054567E" w:rsidRDefault="0054567E" w:rsidP="0054567E">
      <w:pPr>
        <w:suppressAutoHyphens/>
        <w:ind w:firstLine="708"/>
        <w:jc w:val="both"/>
        <w:rPr>
          <w:szCs w:val="20"/>
        </w:rPr>
      </w:pPr>
      <w:r w:rsidRPr="0054567E">
        <w:rPr>
          <w:szCs w:val="20"/>
        </w:rPr>
        <w:t>Uz učešće u poslovima koji su navedeni u opisu aktivnosti općinskog načelnika radi cjelovitosti treba naglasiti i slijedeći opsega rada upravnih tijela Općine Marčana na drugim poslovima tijekom drugog polugodišta 2025. godine:</w:t>
      </w:r>
    </w:p>
    <w:p w14:paraId="206E3764" w14:textId="77777777" w:rsidR="0054567E" w:rsidRPr="0054567E" w:rsidRDefault="0054567E" w:rsidP="0054567E">
      <w:pPr>
        <w:suppressAutoHyphens/>
        <w:ind w:firstLine="708"/>
        <w:jc w:val="both"/>
        <w:rPr>
          <w:szCs w:val="20"/>
        </w:rPr>
      </w:pPr>
    </w:p>
    <w:p w14:paraId="3F4FA8B5" w14:textId="77777777" w:rsidR="0054567E" w:rsidRPr="0054567E" w:rsidRDefault="0054567E" w:rsidP="0054567E">
      <w:pPr>
        <w:suppressAutoHyphens/>
        <w:jc w:val="both"/>
        <w:rPr>
          <w:szCs w:val="20"/>
        </w:rPr>
      </w:pPr>
      <w:r w:rsidRPr="0054567E">
        <w:rPr>
          <w:szCs w:val="20"/>
        </w:rPr>
        <w:t>1. Putem pisarnice je zaprimljeno ili uvedeno 1.354 neupravnih, 389 upravnih predmeta, te 1.386 računa.</w:t>
      </w:r>
    </w:p>
    <w:p w14:paraId="6E07F620" w14:textId="77777777" w:rsidR="0054567E" w:rsidRPr="0054567E" w:rsidRDefault="0054567E" w:rsidP="0054567E">
      <w:pPr>
        <w:suppressAutoHyphens/>
        <w:ind w:firstLine="708"/>
        <w:jc w:val="both"/>
        <w:rPr>
          <w:rFonts w:eastAsia="Calibri"/>
        </w:rPr>
      </w:pPr>
      <w:r w:rsidRPr="0054567E">
        <w:rPr>
          <w:szCs w:val="20"/>
        </w:rPr>
        <w:t xml:space="preserve">2. U okviru računovodstvenih poslova koji se osim   za Općinu Marčana obavljaju i za </w:t>
      </w:r>
      <w:proofErr w:type="spellStart"/>
      <w:r w:rsidRPr="0054567E">
        <w:rPr>
          <w:szCs w:val="20"/>
        </w:rPr>
        <w:t>Mandalenu</w:t>
      </w:r>
      <w:proofErr w:type="spellEnd"/>
      <w:r w:rsidRPr="0054567E">
        <w:rPr>
          <w:szCs w:val="20"/>
        </w:rPr>
        <w:t xml:space="preserve"> d.o.o. i DV Vrtuljak Marčana obrađeno je  ukupno 2.083 ulazna računa, pripremljeno  ukupno 7394 izlaznih računa, 203 naloga za plaćanja, obrađeno je ukupno 475 izvoda sa žiro računa, izrađena su ukupno 4 tromjesečna statistička izvješća i 1 konsolidirani izvještaj područnom uredu FINE-e,</w:t>
      </w:r>
      <w:r w:rsidRPr="0054567E">
        <w:rPr>
          <w:rFonts w:eastAsia="Calibri"/>
        </w:rPr>
        <w:t xml:space="preserve"> 18 mjesečnih obračuna plaća za sva tri korisnika i 12 mjesečnih obračuna PDV-a za sva tri korisnika.</w:t>
      </w:r>
    </w:p>
    <w:p w14:paraId="427A29AD" w14:textId="77777777" w:rsidR="0054567E" w:rsidRPr="0054567E" w:rsidRDefault="0054567E" w:rsidP="0054567E">
      <w:pPr>
        <w:suppressAutoHyphens/>
        <w:jc w:val="both"/>
        <w:rPr>
          <w:szCs w:val="20"/>
        </w:rPr>
      </w:pPr>
    </w:p>
    <w:p w14:paraId="639DBC05" w14:textId="77777777" w:rsidR="0054567E" w:rsidRPr="0054567E" w:rsidRDefault="0054567E" w:rsidP="0054567E">
      <w:pPr>
        <w:suppressAutoHyphens/>
        <w:jc w:val="both"/>
        <w:rPr>
          <w:szCs w:val="20"/>
        </w:rPr>
      </w:pPr>
    </w:p>
    <w:p w14:paraId="3542F46B" w14:textId="77777777" w:rsidR="0054567E" w:rsidRPr="0054567E" w:rsidRDefault="0054567E" w:rsidP="0054567E">
      <w:pPr>
        <w:suppressAutoHyphens/>
        <w:jc w:val="both"/>
        <w:rPr>
          <w:szCs w:val="20"/>
        </w:rPr>
      </w:pPr>
      <w:r w:rsidRPr="0054567E">
        <w:rPr>
          <w:szCs w:val="20"/>
        </w:rPr>
        <w:t xml:space="preserve">3. Rješavajući u upravnom postupku donijet je slijedeći broj rješenja: </w:t>
      </w:r>
    </w:p>
    <w:p w14:paraId="64A77639" w14:textId="77777777" w:rsidR="0054567E" w:rsidRPr="0054567E" w:rsidRDefault="0054567E" w:rsidP="0054567E">
      <w:pPr>
        <w:suppressAutoHyphens/>
        <w:jc w:val="both"/>
        <w:rPr>
          <w:szCs w:val="20"/>
        </w:rPr>
      </w:pPr>
    </w:p>
    <w:p w14:paraId="076F623F" w14:textId="77777777" w:rsidR="0054567E" w:rsidRPr="0054567E" w:rsidRDefault="0054567E" w:rsidP="0054567E">
      <w:pPr>
        <w:suppressAutoHyphens/>
        <w:jc w:val="both"/>
        <w:rPr>
          <w:szCs w:val="20"/>
        </w:rPr>
      </w:pPr>
      <w:r w:rsidRPr="0054567E">
        <w:rPr>
          <w:szCs w:val="20"/>
        </w:rPr>
        <w:t>-  24  rješenja o naknadi za zadržavanje nezakonito izgrađene zgrade,</w:t>
      </w:r>
    </w:p>
    <w:p w14:paraId="5718AFD3" w14:textId="77777777" w:rsidR="0054567E" w:rsidRPr="0054567E" w:rsidRDefault="0054567E" w:rsidP="0054567E">
      <w:pPr>
        <w:suppressAutoHyphens/>
        <w:jc w:val="both"/>
        <w:rPr>
          <w:szCs w:val="20"/>
        </w:rPr>
      </w:pPr>
      <w:r w:rsidRPr="0054567E">
        <w:rPr>
          <w:szCs w:val="20"/>
        </w:rPr>
        <w:t>-  98 rješenja o komunalnom doprinosu,</w:t>
      </w:r>
    </w:p>
    <w:p w14:paraId="691E208B" w14:textId="77777777" w:rsidR="0054567E" w:rsidRPr="0054567E" w:rsidRDefault="0054567E" w:rsidP="0054567E">
      <w:pPr>
        <w:suppressAutoHyphens/>
        <w:jc w:val="both"/>
        <w:rPr>
          <w:szCs w:val="20"/>
        </w:rPr>
      </w:pPr>
      <w:r w:rsidRPr="0054567E">
        <w:rPr>
          <w:szCs w:val="20"/>
        </w:rPr>
        <w:t xml:space="preserve">- 54 rješenje o komunalnoj naknadi (novi obveznici, izmjena rješenja postojećih) </w:t>
      </w:r>
    </w:p>
    <w:p w14:paraId="43D36E1B" w14:textId="77777777" w:rsidR="0054567E" w:rsidRPr="0054567E" w:rsidRDefault="0054567E" w:rsidP="0054567E">
      <w:pPr>
        <w:suppressAutoHyphens/>
        <w:jc w:val="both"/>
        <w:rPr>
          <w:szCs w:val="20"/>
        </w:rPr>
      </w:pPr>
      <w:r w:rsidRPr="0054567E">
        <w:rPr>
          <w:szCs w:val="20"/>
        </w:rPr>
        <w:t>- 68 rješenja o naknadi za uređenje voda,</w:t>
      </w:r>
    </w:p>
    <w:p w14:paraId="2133D415" w14:textId="77777777" w:rsidR="0054567E" w:rsidRPr="0054567E" w:rsidRDefault="0054567E" w:rsidP="0054567E">
      <w:pPr>
        <w:suppressAutoHyphens/>
        <w:jc w:val="both"/>
        <w:rPr>
          <w:szCs w:val="20"/>
        </w:rPr>
      </w:pPr>
      <w:r w:rsidRPr="0054567E">
        <w:rPr>
          <w:szCs w:val="20"/>
        </w:rPr>
        <w:t>- 106 potvrda o plaćenom komunalnom doprinosu</w:t>
      </w:r>
    </w:p>
    <w:p w14:paraId="5C5BEE09" w14:textId="77777777" w:rsidR="0054567E" w:rsidRPr="0054567E" w:rsidRDefault="0054567E" w:rsidP="0054567E">
      <w:pPr>
        <w:suppressAutoHyphens/>
        <w:jc w:val="both"/>
        <w:rPr>
          <w:szCs w:val="20"/>
        </w:rPr>
      </w:pPr>
      <w:r w:rsidRPr="0054567E">
        <w:rPr>
          <w:szCs w:val="20"/>
        </w:rPr>
        <w:t xml:space="preserve">- 141 rješenje s područja odobravanja socijalnih potpora (58 jednokratne novčane pomoći </w:t>
      </w:r>
      <w:proofErr w:type="spellStart"/>
      <w:r w:rsidRPr="0054567E">
        <w:rPr>
          <w:szCs w:val="20"/>
        </w:rPr>
        <w:t>pomoći</w:t>
      </w:r>
      <w:proofErr w:type="spellEnd"/>
      <w:r w:rsidRPr="0054567E">
        <w:rPr>
          <w:szCs w:val="20"/>
        </w:rPr>
        <w:t>, 15 za sufinanciranje troškova obroka i/ili produženog boravka u osnovnim školama, 35 za sufinanciranje troškova vrtića i jaslica, 20 rješenja o odobrenju troškova prijevoza učenicima srednjih škola i socijalno ugroženih osoba ,  10 pomoći povodom rođenja djeteta i 3 rješenja o jednokratnoj pomoći povodom božićnih blagdana socijalno ugroženim osobama).</w:t>
      </w:r>
    </w:p>
    <w:p w14:paraId="4DC7C941" w14:textId="77777777" w:rsidR="0054567E" w:rsidRPr="0054567E" w:rsidRDefault="0054567E" w:rsidP="0054567E">
      <w:pPr>
        <w:suppressAutoHyphens/>
        <w:spacing w:after="160" w:line="259" w:lineRule="auto"/>
        <w:jc w:val="both"/>
        <w:rPr>
          <w:rFonts w:eastAsia="Calibri"/>
          <w:lang w:eastAsia="en-US"/>
        </w:rPr>
      </w:pPr>
    </w:p>
    <w:p w14:paraId="0480915E" w14:textId="77777777" w:rsidR="0054567E" w:rsidRPr="0054567E" w:rsidRDefault="0054567E" w:rsidP="0054567E">
      <w:pPr>
        <w:suppressAutoHyphens/>
        <w:jc w:val="both"/>
        <w:rPr>
          <w:szCs w:val="20"/>
        </w:rPr>
      </w:pPr>
      <w:r w:rsidRPr="0054567E">
        <w:rPr>
          <w:szCs w:val="20"/>
        </w:rPr>
        <w:t xml:space="preserve">Također, za Općinu Marčana utvrđeno je 85 posebnih uvjeta, za </w:t>
      </w:r>
      <w:proofErr w:type="spellStart"/>
      <w:r w:rsidRPr="0054567E">
        <w:rPr>
          <w:szCs w:val="20"/>
        </w:rPr>
        <w:t>Mandalenu</w:t>
      </w:r>
      <w:proofErr w:type="spellEnd"/>
      <w:r w:rsidRPr="0054567E">
        <w:rPr>
          <w:szCs w:val="20"/>
        </w:rPr>
        <w:t xml:space="preserve"> d.o.o. pripremljeno je 79 posebna uvjeta, izdano je 21 potvrda glavnog projekta u postupcima koji prethode podnošenju zahtjeva stranaka za izdavanje građevinske dozvole za Općinu Marčana i 5 za </w:t>
      </w:r>
      <w:proofErr w:type="spellStart"/>
      <w:r w:rsidRPr="0054567E">
        <w:rPr>
          <w:szCs w:val="20"/>
        </w:rPr>
        <w:t>Mandalenu</w:t>
      </w:r>
      <w:proofErr w:type="spellEnd"/>
      <w:r w:rsidRPr="0054567E">
        <w:rPr>
          <w:szCs w:val="20"/>
        </w:rPr>
        <w:t xml:space="preserve"> d.o.o.. U istom je razdoblju zaprimljeno ukupno 107 inicijativa i prijedloga za izmjenu Prostornog plana uređenja Općine Marčana i UPU-ova.. </w:t>
      </w:r>
    </w:p>
    <w:p w14:paraId="535572F4" w14:textId="77777777" w:rsidR="0054567E" w:rsidRPr="0054567E" w:rsidRDefault="0054567E" w:rsidP="0054567E">
      <w:pPr>
        <w:suppressAutoHyphens/>
        <w:spacing w:after="160" w:line="259" w:lineRule="auto"/>
        <w:jc w:val="both"/>
        <w:rPr>
          <w:rFonts w:eastAsia="Calibri"/>
          <w:lang w:eastAsia="en-US"/>
        </w:rPr>
      </w:pPr>
    </w:p>
    <w:p w14:paraId="1027D023" w14:textId="77777777" w:rsidR="0054567E" w:rsidRPr="0054567E" w:rsidRDefault="0054567E" w:rsidP="0054567E">
      <w:pPr>
        <w:suppressAutoHyphens/>
        <w:spacing w:after="160" w:line="259" w:lineRule="auto"/>
        <w:jc w:val="both"/>
        <w:rPr>
          <w:rFonts w:eastAsia="Calibri"/>
          <w:lang w:eastAsia="en-US"/>
        </w:rPr>
      </w:pPr>
      <w:r w:rsidRPr="0054567E">
        <w:rPr>
          <w:rFonts w:eastAsia="Calibri"/>
          <w:lang w:eastAsia="en-US"/>
        </w:rPr>
        <w:t>U dijelu poslova koji se odnosi na komunalni red, provedbu propisa o gradnji, zaštitu okoliša i sl., u drugom polugodištu 2025. godine postupalo se po ukupno 247 predmeta i to:</w:t>
      </w:r>
    </w:p>
    <w:p w14:paraId="62688BDB" w14:textId="77777777" w:rsidR="0054567E" w:rsidRPr="0054567E" w:rsidRDefault="0054567E" w:rsidP="0054567E">
      <w:pPr>
        <w:suppressAutoHyphens/>
        <w:spacing w:after="160" w:line="259" w:lineRule="auto"/>
        <w:jc w:val="both"/>
        <w:rPr>
          <w:rFonts w:eastAsia="Calibri"/>
          <w:lang w:eastAsia="en-US"/>
        </w:rPr>
      </w:pPr>
    </w:p>
    <w:p w14:paraId="5FCA32CA" w14:textId="77777777" w:rsidR="0054567E" w:rsidRPr="0054567E" w:rsidRDefault="0054567E">
      <w:pPr>
        <w:numPr>
          <w:ilvl w:val="0"/>
          <w:numId w:val="10"/>
        </w:numPr>
        <w:suppressAutoHyphens/>
        <w:spacing w:after="160" w:line="259" w:lineRule="auto"/>
        <w:contextualSpacing/>
        <w:jc w:val="both"/>
        <w:rPr>
          <w:rFonts w:eastAsia="Calibri"/>
          <w:lang w:eastAsia="en-US"/>
        </w:rPr>
      </w:pPr>
      <w:r w:rsidRPr="0054567E">
        <w:rPr>
          <w:rFonts w:eastAsia="Calibri"/>
          <w:lang w:eastAsia="en-US"/>
        </w:rPr>
        <w:t>Neupravni predmeti (189):</w:t>
      </w:r>
    </w:p>
    <w:p w14:paraId="6B0B4E3D" w14:textId="77777777" w:rsidR="0054567E" w:rsidRPr="0054567E" w:rsidRDefault="0054567E">
      <w:pPr>
        <w:numPr>
          <w:ilvl w:val="0"/>
          <w:numId w:val="9"/>
        </w:numPr>
        <w:suppressAutoHyphens/>
        <w:spacing w:after="160" w:line="259" w:lineRule="auto"/>
        <w:contextualSpacing/>
        <w:jc w:val="both"/>
        <w:rPr>
          <w:rFonts w:eastAsia="Calibri"/>
          <w:lang w:eastAsia="en-US"/>
        </w:rPr>
      </w:pPr>
      <w:r w:rsidRPr="0054567E">
        <w:rPr>
          <w:rFonts w:eastAsia="Calibri"/>
          <w:lang w:eastAsia="en-US"/>
        </w:rPr>
        <w:t>19 pojedinačnih predmeta komunalnog redarstva (komunalni red i ostalo),</w:t>
      </w:r>
    </w:p>
    <w:p w14:paraId="2BC578B7" w14:textId="77777777" w:rsidR="0054567E" w:rsidRPr="0054567E" w:rsidRDefault="0054567E">
      <w:pPr>
        <w:numPr>
          <w:ilvl w:val="0"/>
          <w:numId w:val="9"/>
        </w:numPr>
        <w:suppressAutoHyphens/>
        <w:spacing w:after="160" w:line="259" w:lineRule="auto"/>
        <w:contextualSpacing/>
        <w:jc w:val="both"/>
        <w:rPr>
          <w:rFonts w:eastAsia="Calibri"/>
          <w:lang w:eastAsia="en-US"/>
        </w:rPr>
      </w:pPr>
      <w:r w:rsidRPr="0054567E">
        <w:rPr>
          <w:rFonts w:eastAsia="Calibri"/>
          <w:lang w:eastAsia="en-US"/>
        </w:rPr>
        <w:t>72 pojedinačna predmeta poslova građevinske inspekcije (prijave inspekciji),</w:t>
      </w:r>
    </w:p>
    <w:p w14:paraId="51B4D660" w14:textId="77777777" w:rsidR="0054567E" w:rsidRPr="0054567E" w:rsidRDefault="0054567E">
      <w:pPr>
        <w:numPr>
          <w:ilvl w:val="0"/>
          <w:numId w:val="9"/>
        </w:numPr>
        <w:suppressAutoHyphens/>
        <w:spacing w:after="160" w:line="259" w:lineRule="auto"/>
        <w:contextualSpacing/>
        <w:jc w:val="both"/>
        <w:rPr>
          <w:rFonts w:eastAsia="Calibri"/>
          <w:lang w:eastAsia="en-US"/>
        </w:rPr>
      </w:pPr>
      <w:r w:rsidRPr="0054567E">
        <w:rPr>
          <w:rFonts w:eastAsia="Calibri"/>
          <w:lang w:eastAsia="en-US"/>
        </w:rPr>
        <w:t xml:space="preserve">  6 pojedinačnih predmeta komunalnog redarstva na provedbi propisa o gradnji,</w:t>
      </w:r>
    </w:p>
    <w:p w14:paraId="21910F2C" w14:textId="77777777" w:rsidR="0054567E" w:rsidRPr="0054567E" w:rsidRDefault="0054567E">
      <w:pPr>
        <w:numPr>
          <w:ilvl w:val="0"/>
          <w:numId w:val="9"/>
        </w:numPr>
        <w:suppressAutoHyphens/>
        <w:spacing w:after="160" w:line="259" w:lineRule="auto"/>
        <w:contextualSpacing/>
        <w:jc w:val="both"/>
        <w:rPr>
          <w:rFonts w:eastAsia="Calibri"/>
          <w:lang w:eastAsia="en-US"/>
        </w:rPr>
      </w:pPr>
      <w:r w:rsidRPr="0054567E">
        <w:rPr>
          <w:rFonts w:eastAsia="Calibri"/>
          <w:lang w:eastAsia="en-US"/>
        </w:rPr>
        <w:lastRenderedPageBreak/>
        <w:t>17 pojedinačnih predmeta iz područja zaštite okoliša (odbacivanje otpada),</w:t>
      </w:r>
    </w:p>
    <w:p w14:paraId="54FFCCD8" w14:textId="77777777" w:rsidR="0054567E" w:rsidRPr="0054567E" w:rsidRDefault="0054567E">
      <w:pPr>
        <w:numPr>
          <w:ilvl w:val="0"/>
          <w:numId w:val="9"/>
        </w:numPr>
        <w:suppressAutoHyphens/>
        <w:spacing w:after="160" w:line="259" w:lineRule="auto"/>
        <w:contextualSpacing/>
        <w:jc w:val="both"/>
        <w:rPr>
          <w:rFonts w:eastAsia="Calibri"/>
          <w:lang w:eastAsia="en-US"/>
        </w:rPr>
      </w:pPr>
      <w:r w:rsidRPr="0054567E">
        <w:rPr>
          <w:rFonts w:eastAsia="Calibri"/>
          <w:lang w:eastAsia="en-US"/>
        </w:rPr>
        <w:t>8 pojedinačnih predmeta iz područja pomorskog redarstva (zaštita mora od onečišćenja s brodova, morske luke, pomorsko dobro, utvrđivanje granica pomorskog dobra i ostalo),</w:t>
      </w:r>
    </w:p>
    <w:p w14:paraId="74626DB5" w14:textId="77777777" w:rsidR="0054567E" w:rsidRPr="0054567E" w:rsidRDefault="0054567E">
      <w:pPr>
        <w:numPr>
          <w:ilvl w:val="0"/>
          <w:numId w:val="9"/>
        </w:numPr>
        <w:suppressAutoHyphens/>
        <w:spacing w:after="160" w:line="259" w:lineRule="auto"/>
        <w:contextualSpacing/>
        <w:jc w:val="both"/>
        <w:rPr>
          <w:rFonts w:eastAsia="Calibri"/>
          <w:lang w:eastAsia="en-US"/>
        </w:rPr>
      </w:pPr>
      <w:r w:rsidRPr="0054567E">
        <w:rPr>
          <w:rFonts w:eastAsia="Calibri"/>
          <w:lang w:eastAsia="en-US"/>
        </w:rPr>
        <w:t>30 pojedinačnih predmeta iz područja prometnog redarstva (cestovni promet),</w:t>
      </w:r>
    </w:p>
    <w:p w14:paraId="7F17A087" w14:textId="77777777" w:rsidR="0054567E" w:rsidRPr="0054567E" w:rsidRDefault="0054567E">
      <w:pPr>
        <w:numPr>
          <w:ilvl w:val="0"/>
          <w:numId w:val="9"/>
        </w:numPr>
        <w:suppressAutoHyphens/>
        <w:spacing w:after="160" w:line="259" w:lineRule="auto"/>
        <w:contextualSpacing/>
        <w:jc w:val="both"/>
        <w:rPr>
          <w:rFonts w:eastAsia="Calibri"/>
          <w:lang w:eastAsia="en-US"/>
        </w:rPr>
      </w:pPr>
      <w:r w:rsidRPr="0054567E">
        <w:rPr>
          <w:rFonts w:eastAsia="Calibri"/>
          <w:lang w:eastAsia="en-US"/>
        </w:rPr>
        <w:t>14 pojedinačnih predmeta iz područja sigurnosti u cestovnom prometu</w:t>
      </w:r>
    </w:p>
    <w:p w14:paraId="48764AE9" w14:textId="77777777" w:rsidR="0054567E" w:rsidRPr="0054567E" w:rsidRDefault="0054567E">
      <w:pPr>
        <w:numPr>
          <w:ilvl w:val="0"/>
          <w:numId w:val="9"/>
        </w:numPr>
        <w:suppressAutoHyphens/>
        <w:spacing w:after="160" w:line="259" w:lineRule="auto"/>
        <w:contextualSpacing/>
        <w:jc w:val="both"/>
        <w:rPr>
          <w:rFonts w:eastAsia="Calibri"/>
          <w:lang w:eastAsia="en-US"/>
        </w:rPr>
      </w:pPr>
      <w:r w:rsidRPr="0054567E">
        <w:rPr>
          <w:rFonts w:eastAsia="Calibri"/>
          <w:lang w:eastAsia="en-US"/>
        </w:rPr>
        <w:t xml:space="preserve">  9 pojedinačnih predmeta iz područja zaštite životinja</w:t>
      </w:r>
    </w:p>
    <w:p w14:paraId="7D24ADD3" w14:textId="77777777" w:rsidR="0054567E" w:rsidRPr="0054567E" w:rsidRDefault="0054567E">
      <w:pPr>
        <w:numPr>
          <w:ilvl w:val="0"/>
          <w:numId w:val="9"/>
        </w:numPr>
        <w:suppressAutoHyphens/>
        <w:spacing w:after="160" w:line="259" w:lineRule="auto"/>
        <w:contextualSpacing/>
        <w:jc w:val="both"/>
        <w:rPr>
          <w:rFonts w:eastAsia="Calibri"/>
          <w:lang w:eastAsia="en-US"/>
        </w:rPr>
      </w:pPr>
      <w:r w:rsidRPr="0054567E">
        <w:rPr>
          <w:rFonts w:eastAsia="Calibri"/>
          <w:lang w:eastAsia="en-US"/>
        </w:rPr>
        <w:t xml:space="preserve">  3 pojedinačna predmeta iz područja šuma i šumskog zemljišta,</w:t>
      </w:r>
    </w:p>
    <w:p w14:paraId="032D680C" w14:textId="77777777" w:rsidR="0054567E" w:rsidRPr="0054567E" w:rsidRDefault="0054567E">
      <w:pPr>
        <w:numPr>
          <w:ilvl w:val="0"/>
          <w:numId w:val="9"/>
        </w:numPr>
        <w:suppressAutoHyphens/>
        <w:spacing w:after="160" w:line="259" w:lineRule="auto"/>
        <w:contextualSpacing/>
        <w:jc w:val="both"/>
        <w:rPr>
          <w:rFonts w:eastAsia="Calibri"/>
          <w:lang w:eastAsia="en-US"/>
        </w:rPr>
      </w:pPr>
      <w:r w:rsidRPr="0054567E">
        <w:rPr>
          <w:rFonts w:eastAsia="Calibri"/>
          <w:lang w:eastAsia="en-US"/>
        </w:rPr>
        <w:t xml:space="preserve">  1 pojedinačni predmet iz područja deratizacije i dezinsekcije,</w:t>
      </w:r>
    </w:p>
    <w:p w14:paraId="7FFD5984" w14:textId="77777777" w:rsidR="0054567E" w:rsidRPr="0054567E" w:rsidRDefault="0054567E">
      <w:pPr>
        <w:numPr>
          <w:ilvl w:val="0"/>
          <w:numId w:val="9"/>
        </w:numPr>
        <w:suppressAutoHyphens/>
        <w:spacing w:after="160" w:line="259" w:lineRule="auto"/>
        <w:contextualSpacing/>
        <w:jc w:val="both"/>
        <w:rPr>
          <w:rFonts w:eastAsia="Calibri"/>
          <w:lang w:eastAsia="en-US"/>
        </w:rPr>
      </w:pPr>
      <w:r w:rsidRPr="0054567E">
        <w:rPr>
          <w:rFonts w:eastAsia="Calibri"/>
          <w:lang w:eastAsia="en-US"/>
        </w:rPr>
        <w:t>10 pojedinačnih predmeta iz područja ostalih komunalnih poslova</w:t>
      </w:r>
    </w:p>
    <w:p w14:paraId="35600FE5" w14:textId="77777777" w:rsidR="0054567E" w:rsidRPr="0054567E" w:rsidRDefault="0054567E" w:rsidP="0054567E">
      <w:pPr>
        <w:suppressAutoHyphens/>
        <w:spacing w:after="160" w:line="259" w:lineRule="auto"/>
        <w:ind w:left="720"/>
        <w:contextualSpacing/>
        <w:jc w:val="both"/>
        <w:rPr>
          <w:rFonts w:eastAsia="Calibri"/>
          <w:lang w:eastAsia="en-US"/>
        </w:rPr>
      </w:pPr>
    </w:p>
    <w:p w14:paraId="414EA72C" w14:textId="77777777" w:rsidR="0054567E" w:rsidRPr="0054567E" w:rsidRDefault="0054567E">
      <w:pPr>
        <w:numPr>
          <w:ilvl w:val="0"/>
          <w:numId w:val="10"/>
        </w:numPr>
        <w:suppressAutoHyphens/>
        <w:spacing w:after="160" w:line="259" w:lineRule="auto"/>
        <w:contextualSpacing/>
        <w:jc w:val="both"/>
        <w:rPr>
          <w:rFonts w:eastAsia="Calibri"/>
          <w:lang w:eastAsia="en-US"/>
        </w:rPr>
      </w:pPr>
      <w:r w:rsidRPr="0054567E">
        <w:rPr>
          <w:rFonts w:eastAsia="Calibri"/>
          <w:lang w:eastAsia="en-US"/>
        </w:rPr>
        <w:t>Upravni predmeti (58)</w:t>
      </w:r>
    </w:p>
    <w:p w14:paraId="01701ACE" w14:textId="77777777" w:rsidR="0054567E" w:rsidRPr="0054567E" w:rsidRDefault="0054567E">
      <w:pPr>
        <w:numPr>
          <w:ilvl w:val="0"/>
          <w:numId w:val="9"/>
        </w:numPr>
        <w:suppressAutoHyphens/>
        <w:spacing w:after="160" w:line="259" w:lineRule="auto"/>
        <w:contextualSpacing/>
        <w:jc w:val="both"/>
        <w:rPr>
          <w:rFonts w:eastAsia="Calibri"/>
          <w:lang w:eastAsia="en-US"/>
        </w:rPr>
      </w:pPr>
      <w:r w:rsidRPr="0054567E">
        <w:rPr>
          <w:rFonts w:eastAsia="Calibri"/>
          <w:lang w:eastAsia="en-US"/>
        </w:rPr>
        <w:t xml:space="preserve">41 pojedinačni predmet komunalnog redarstva (zauzimanja javnih površina, napuštena vozila, </w:t>
      </w:r>
      <w:proofErr w:type="spellStart"/>
      <w:r w:rsidRPr="0054567E">
        <w:rPr>
          <w:rFonts w:eastAsia="Calibri"/>
          <w:lang w:eastAsia="en-US"/>
        </w:rPr>
        <w:t>prekopi</w:t>
      </w:r>
      <w:proofErr w:type="spellEnd"/>
      <w:r w:rsidRPr="0054567E">
        <w:rPr>
          <w:rFonts w:eastAsia="Calibri"/>
          <w:lang w:eastAsia="en-US"/>
        </w:rPr>
        <w:t>..),</w:t>
      </w:r>
    </w:p>
    <w:p w14:paraId="44C0FFD1" w14:textId="77777777" w:rsidR="0054567E" w:rsidRPr="0054567E" w:rsidRDefault="0054567E">
      <w:pPr>
        <w:numPr>
          <w:ilvl w:val="0"/>
          <w:numId w:val="9"/>
        </w:numPr>
        <w:suppressAutoHyphens/>
        <w:spacing w:after="160" w:line="259" w:lineRule="auto"/>
        <w:contextualSpacing/>
        <w:jc w:val="both"/>
        <w:rPr>
          <w:rFonts w:eastAsia="Calibri"/>
          <w:lang w:eastAsia="en-US"/>
        </w:rPr>
      </w:pPr>
      <w:r w:rsidRPr="0054567E">
        <w:rPr>
          <w:rFonts w:eastAsia="Calibri"/>
          <w:lang w:eastAsia="en-US"/>
        </w:rPr>
        <w:t xml:space="preserve">  1 pojedinačni predmet iz područja pomorskog dobra,</w:t>
      </w:r>
    </w:p>
    <w:p w14:paraId="3B22CA7F" w14:textId="77777777" w:rsidR="0054567E" w:rsidRPr="0054567E" w:rsidRDefault="0054567E">
      <w:pPr>
        <w:numPr>
          <w:ilvl w:val="0"/>
          <w:numId w:val="9"/>
        </w:numPr>
        <w:suppressAutoHyphens/>
        <w:spacing w:after="160" w:line="259" w:lineRule="auto"/>
        <w:contextualSpacing/>
        <w:jc w:val="both"/>
        <w:rPr>
          <w:rFonts w:eastAsia="Calibri"/>
          <w:lang w:eastAsia="en-US"/>
        </w:rPr>
      </w:pPr>
      <w:r w:rsidRPr="0054567E">
        <w:rPr>
          <w:rFonts w:eastAsia="Calibri"/>
          <w:lang w:eastAsia="en-US"/>
        </w:rPr>
        <w:t xml:space="preserve">  2 pojedinačna predmeta iz područja zaštite okoliša,</w:t>
      </w:r>
    </w:p>
    <w:p w14:paraId="40BF39B6" w14:textId="77777777" w:rsidR="0054567E" w:rsidRPr="0054567E" w:rsidRDefault="0054567E">
      <w:pPr>
        <w:numPr>
          <w:ilvl w:val="0"/>
          <w:numId w:val="9"/>
        </w:numPr>
        <w:suppressAutoHyphens/>
        <w:spacing w:after="160" w:line="259" w:lineRule="auto"/>
        <w:contextualSpacing/>
        <w:jc w:val="both"/>
        <w:rPr>
          <w:rFonts w:eastAsia="Calibri"/>
          <w:lang w:eastAsia="en-US"/>
        </w:rPr>
      </w:pPr>
      <w:r w:rsidRPr="0054567E">
        <w:rPr>
          <w:rFonts w:eastAsia="Calibri"/>
          <w:lang w:eastAsia="en-US"/>
        </w:rPr>
        <w:t xml:space="preserve">  2 pojedinačna predmeta iz područja na provedbe propisa o gradnji,</w:t>
      </w:r>
    </w:p>
    <w:p w14:paraId="0315D137" w14:textId="77777777" w:rsidR="0054567E" w:rsidRPr="0054567E" w:rsidRDefault="0054567E">
      <w:pPr>
        <w:numPr>
          <w:ilvl w:val="0"/>
          <w:numId w:val="9"/>
        </w:numPr>
        <w:suppressAutoHyphens/>
        <w:spacing w:after="160" w:line="259" w:lineRule="auto"/>
        <w:contextualSpacing/>
        <w:jc w:val="both"/>
        <w:rPr>
          <w:rFonts w:eastAsia="Calibri"/>
          <w:lang w:eastAsia="en-US"/>
        </w:rPr>
      </w:pPr>
      <w:r w:rsidRPr="0054567E">
        <w:rPr>
          <w:rFonts w:eastAsia="Calibri"/>
          <w:lang w:eastAsia="en-US"/>
        </w:rPr>
        <w:t>10 pojedinačnih predmeta privremene zabrane radova,</w:t>
      </w:r>
    </w:p>
    <w:p w14:paraId="7707D324" w14:textId="77777777" w:rsidR="0054567E" w:rsidRPr="0054567E" w:rsidRDefault="0054567E">
      <w:pPr>
        <w:numPr>
          <w:ilvl w:val="0"/>
          <w:numId w:val="9"/>
        </w:numPr>
        <w:suppressAutoHyphens/>
        <w:spacing w:after="160" w:line="259" w:lineRule="auto"/>
        <w:contextualSpacing/>
        <w:jc w:val="both"/>
        <w:rPr>
          <w:rFonts w:eastAsia="Calibri"/>
          <w:lang w:eastAsia="en-US"/>
        </w:rPr>
      </w:pPr>
      <w:r w:rsidRPr="0054567E">
        <w:rPr>
          <w:rFonts w:eastAsia="Calibri"/>
          <w:lang w:eastAsia="en-US"/>
        </w:rPr>
        <w:t>2 pojedinačna predmeta iz područja cestovnog prometa.</w:t>
      </w:r>
    </w:p>
    <w:p w14:paraId="023BF3B6" w14:textId="77777777" w:rsidR="0054567E" w:rsidRPr="0054567E" w:rsidRDefault="0054567E" w:rsidP="0054567E">
      <w:pPr>
        <w:suppressAutoHyphens/>
        <w:spacing w:line="259" w:lineRule="auto"/>
        <w:jc w:val="both"/>
        <w:rPr>
          <w:rFonts w:eastAsia="Calibri"/>
          <w:lang w:eastAsia="en-US"/>
        </w:rPr>
      </w:pPr>
    </w:p>
    <w:p w14:paraId="51013940" w14:textId="77777777" w:rsidR="0054567E" w:rsidRPr="0054567E" w:rsidRDefault="0054567E" w:rsidP="0054567E">
      <w:pPr>
        <w:suppressAutoHyphens/>
        <w:spacing w:line="259" w:lineRule="auto"/>
        <w:ind w:firstLine="708"/>
        <w:jc w:val="both"/>
        <w:rPr>
          <w:rFonts w:eastAsia="Calibri"/>
          <w:lang w:eastAsia="en-US"/>
        </w:rPr>
      </w:pPr>
      <w:r w:rsidRPr="0054567E">
        <w:rPr>
          <w:rFonts w:eastAsia="Calibri"/>
          <w:lang w:eastAsia="en-US"/>
        </w:rPr>
        <w:t xml:space="preserve">Pored nabrojanoga komunalno redarstvo obrađivalo je i veći broj upita vezanih uz gradnju ili kampiranje, te druge radove na poljoprivrednom ili šumskom zemljištu, na koje se odgovara putem elektronske pošte, ali se ne evidentiranju.   </w:t>
      </w:r>
    </w:p>
    <w:p w14:paraId="36FE2591" w14:textId="77777777" w:rsidR="0054567E" w:rsidRPr="0054567E" w:rsidRDefault="0054567E" w:rsidP="0054567E">
      <w:pPr>
        <w:suppressAutoHyphens/>
        <w:spacing w:line="259" w:lineRule="auto"/>
        <w:jc w:val="both"/>
        <w:rPr>
          <w:rFonts w:eastAsia="Calibri"/>
          <w:lang w:eastAsia="en-US"/>
        </w:rPr>
      </w:pPr>
    </w:p>
    <w:p w14:paraId="4EF409EF" w14:textId="77777777" w:rsidR="0054567E" w:rsidRPr="0054567E" w:rsidRDefault="0054567E" w:rsidP="0054567E">
      <w:pPr>
        <w:ind w:firstLine="708"/>
        <w:jc w:val="both"/>
        <w:rPr>
          <w:szCs w:val="20"/>
        </w:rPr>
      </w:pPr>
      <w:r w:rsidRPr="0054567E">
        <w:rPr>
          <w:szCs w:val="20"/>
        </w:rPr>
        <w:t>Upravni odjeli obavljaju i niz drugih upravnih, stručnih i administrativnih poslova, od prijama stranaka, redovne korespondencije, informiranja (u drugom polugodištu 2025. izdano je 9 brojeva „Službenih novina Općine Marčana“, daju se informacije novinarima, pripremaju izvješća ministarstvima i županiji), pripremaju materijali za rad općinskog vijeća i radnih tijela i dr., do zastupanja na sudovima i pred upravnim  tijelima u postupcima, koji nisu povjereni odvjetničkim uredima.</w:t>
      </w:r>
    </w:p>
    <w:p w14:paraId="032E0300" w14:textId="77777777" w:rsidR="0054567E" w:rsidRPr="0054567E" w:rsidRDefault="0054567E" w:rsidP="0054567E">
      <w:pPr>
        <w:suppressAutoHyphens/>
        <w:spacing w:line="259" w:lineRule="auto"/>
        <w:jc w:val="both"/>
        <w:rPr>
          <w:rFonts w:eastAsia="Calibri"/>
          <w:lang w:eastAsia="en-US"/>
        </w:rPr>
      </w:pPr>
    </w:p>
    <w:p w14:paraId="1735BD11" w14:textId="77777777" w:rsidR="0054567E" w:rsidRPr="0054567E" w:rsidRDefault="0054567E" w:rsidP="0054567E">
      <w:pPr>
        <w:suppressAutoHyphens/>
        <w:ind w:firstLine="720"/>
        <w:jc w:val="both"/>
        <w:rPr>
          <w:b/>
          <w:szCs w:val="20"/>
        </w:rPr>
      </w:pPr>
    </w:p>
    <w:p w14:paraId="03A2F326" w14:textId="77777777" w:rsidR="0054567E" w:rsidRPr="0054567E" w:rsidRDefault="0054567E" w:rsidP="0054567E">
      <w:pPr>
        <w:suppressAutoHyphens/>
        <w:ind w:firstLine="720"/>
        <w:jc w:val="both"/>
        <w:rPr>
          <w:b/>
          <w:szCs w:val="20"/>
        </w:rPr>
      </w:pPr>
      <w:r w:rsidRPr="0054567E">
        <w:rPr>
          <w:b/>
          <w:szCs w:val="20"/>
        </w:rPr>
        <w:t>2.5. Ostvarenje proračuna i izvršenje programa</w:t>
      </w:r>
    </w:p>
    <w:p w14:paraId="1D56A53D" w14:textId="77777777" w:rsidR="0054567E" w:rsidRPr="0054567E" w:rsidRDefault="0054567E" w:rsidP="0054567E">
      <w:pPr>
        <w:suppressAutoHyphens/>
        <w:ind w:firstLine="720"/>
        <w:jc w:val="both"/>
        <w:rPr>
          <w:b/>
          <w:szCs w:val="20"/>
        </w:rPr>
      </w:pPr>
    </w:p>
    <w:p w14:paraId="200DE3FD" w14:textId="77777777" w:rsidR="0054567E" w:rsidRPr="0054567E" w:rsidRDefault="0054567E" w:rsidP="0054567E">
      <w:pPr>
        <w:suppressAutoHyphens/>
        <w:rPr>
          <w:rFonts w:eastAsia="Calibri"/>
          <w:sz w:val="20"/>
          <w:szCs w:val="20"/>
          <w:lang w:eastAsia="en-US"/>
        </w:rPr>
      </w:pPr>
    </w:p>
    <w:p w14:paraId="4FF017AF" w14:textId="77777777" w:rsidR="0054567E" w:rsidRPr="0054567E" w:rsidRDefault="0054567E" w:rsidP="0054567E">
      <w:pPr>
        <w:suppressAutoHyphens/>
        <w:spacing w:after="160" w:line="259" w:lineRule="auto"/>
        <w:rPr>
          <w:rFonts w:eastAsia="Calibri"/>
          <w:u w:val="single"/>
        </w:rPr>
      </w:pPr>
      <w:r w:rsidRPr="0054567E">
        <w:rPr>
          <w:rFonts w:eastAsia="Calibri"/>
        </w:rPr>
        <w:t xml:space="preserve">            </w:t>
      </w:r>
      <w:r w:rsidRPr="0054567E">
        <w:rPr>
          <w:rFonts w:eastAsia="Calibri"/>
          <w:u w:val="single"/>
        </w:rPr>
        <w:t>2.5.1.  Ostvarenje proračunskih prihoda</w:t>
      </w:r>
    </w:p>
    <w:p w14:paraId="48C965F2" w14:textId="77777777" w:rsidR="0054567E" w:rsidRPr="0054567E" w:rsidRDefault="0054567E" w:rsidP="0054567E">
      <w:pPr>
        <w:suppressAutoHyphens/>
        <w:spacing w:after="160" w:line="259" w:lineRule="auto"/>
        <w:jc w:val="both"/>
        <w:rPr>
          <w:rFonts w:eastAsia="Calibri"/>
        </w:rPr>
      </w:pPr>
      <w:r w:rsidRPr="0054567E">
        <w:rPr>
          <w:rFonts w:eastAsia="Calibri"/>
        </w:rPr>
        <w:t>            U drugom polugodištu 2025. godine ostvareno je 3.488.269,83 EUR prihoda (u prvom polugodištu ostvareno je 4.064.368,99 EUR, što na razini godine čini povećanje od 29,85%  u odnosu na 2024. godinu i 2,81% više od plana za 2025. godinu). U tom je razdoblju prihod od komunalnog doprinosa iznosio 547.970,63 EUR (u prvom polugodištu ostvareno je 344.612,53 EUR).</w:t>
      </w:r>
    </w:p>
    <w:p w14:paraId="7158D8CA" w14:textId="77777777" w:rsidR="0054567E" w:rsidRPr="0054567E" w:rsidRDefault="0054567E" w:rsidP="0054567E">
      <w:pPr>
        <w:suppressAutoHyphens/>
        <w:spacing w:after="160" w:line="259" w:lineRule="auto"/>
        <w:ind w:firstLine="708"/>
        <w:jc w:val="both"/>
        <w:rPr>
          <w:rFonts w:eastAsia="Calibri"/>
        </w:rPr>
      </w:pPr>
      <w:r w:rsidRPr="0054567E">
        <w:rPr>
          <w:rFonts w:eastAsia="Calibri"/>
        </w:rPr>
        <w:t xml:space="preserve">Prihod od poreza na dohodak, kao najznačajnije vrste poreznih prihoda i proračunskih prihoda uopće,  u drugom  polugodištu 2025. godine iznosio je 1.577.521,13 EUR, dok je u prvom polugodištu iznosio 1.637.144,90 EUR što na razini godine  čini povećanje od 30,62% u odnosu na 2024. godinu. </w:t>
      </w:r>
    </w:p>
    <w:p w14:paraId="7881C274" w14:textId="77777777" w:rsidR="0054567E" w:rsidRPr="0054567E" w:rsidRDefault="0054567E" w:rsidP="0054567E">
      <w:pPr>
        <w:suppressAutoHyphens/>
        <w:spacing w:after="160" w:line="259" w:lineRule="auto"/>
        <w:jc w:val="both"/>
        <w:rPr>
          <w:rFonts w:eastAsia="Calibri"/>
        </w:rPr>
      </w:pPr>
    </w:p>
    <w:p w14:paraId="250DCCC3" w14:textId="77777777" w:rsidR="0054567E" w:rsidRPr="0054567E" w:rsidRDefault="0054567E" w:rsidP="0054567E">
      <w:pPr>
        <w:suppressAutoHyphens/>
        <w:spacing w:after="160" w:line="259" w:lineRule="auto"/>
        <w:rPr>
          <w:rFonts w:eastAsia="Calibri"/>
          <w:u w:val="single"/>
        </w:rPr>
      </w:pPr>
      <w:r w:rsidRPr="0054567E">
        <w:rPr>
          <w:rFonts w:eastAsia="Calibri"/>
        </w:rPr>
        <w:lastRenderedPageBreak/>
        <w:t xml:space="preserve">            </w:t>
      </w:r>
      <w:r w:rsidRPr="0054567E">
        <w:rPr>
          <w:rFonts w:eastAsia="Calibri"/>
          <w:u w:val="single"/>
        </w:rPr>
        <w:t>2.5.2.  Ostvarenje proračunskih rashoda i izvršenje programa</w:t>
      </w:r>
    </w:p>
    <w:p w14:paraId="1D75089E" w14:textId="77777777" w:rsidR="0054567E" w:rsidRPr="0054567E" w:rsidRDefault="0054567E" w:rsidP="0054567E">
      <w:pPr>
        <w:suppressAutoHyphens/>
        <w:jc w:val="both"/>
        <w:rPr>
          <w:rFonts w:eastAsia="Calibri"/>
        </w:rPr>
      </w:pPr>
      <w:r w:rsidRPr="0054567E">
        <w:rPr>
          <w:rFonts w:eastAsia="Calibri"/>
        </w:rPr>
        <w:t>          Rashodi su u drugom polugodištu 2025. godine izvršeni u iznosu od  3.765.834,89 EUR (ostvarenje u prvom polugodištu 2025. iznosilo je 2.821.457,90 EUR),  a odnose se na rashode poslovanja u iznosu od 2.337.654,48 EUR, na rashode za nabavu nefinancijske imovine u iznosu od 1.317.828,53 EUR i na izdatke za financijsku imovinu i otplatu zajmova u iznosu od 110.351,88 EUR.</w:t>
      </w:r>
    </w:p>
    <w:p w14:paraId="2DD85C95" w14:textId="77777777" w:rsidR="0054567E" w:rsidRPr="0054567E" w:rsidRDefault="0054567E" w:rsidP="0054567E">
      <w:pPr>
        <w:suppressAutoHyphens/>
        <w:ind w:firstLine="708"/>
        <w:jc w:val="both"/>
        <w:rPr>
          <w:rFonts w:eastAsia="Calibri"/>
        </w:rPr>
      </w:pPr>
      <w:r w:rsidRPr="0054567E">
        <w:rPr>
          <w:rFonts w:eastAsia="Calibri"/>
        </w:rPr>
        <w:t xml:space="preserve">Na kraju polugodišta ostvaren je ukupan višak prihoda u iznosu od  965.346,03 EUR </w:t>
      </w:r>
      <w:proofErr w:type="spellStart"/>
      <w:r w:rsidRPr="0054567E">
        <w:rPr>
          <w:rFonts w:eastAsia="Calibri"/>
        </w:rPr>
        <w:t>EUR</w:t>
      </w:r>
      <w:proofErr w:type="spellEnd"/>
      <w:r w:rsidRPr="0054567E">
        <w:rPr>
          <w:rFonts w:eastAsia="Calibri"/>
        </w:rPr>
        <w:t>, što s viškom prihoda nad rashodima, iz prvog polugodišta koji je prenesen iz prethodnih godina, a koji iznosi 1.744.794,02 EUR daje ukupan iznos viška prihoda nad rashodima u iznosu od 2.710.140,05 EUR.</w:t>
      </w:r>
    </w:p>
    <w:p w14:paraId="60648908" w14:textId="77777777" w:rsidR="0054567E" w:rsidRPr="0054567E" w:rsidRDefault="0054567E" w:rsidP="0054567E">
      <w:pPr>
        <w:suppressAutoHyphens/>
        <w:spacing w:after="160" w:line="259" w:lineRule="auto"/>
        <w:jc w:val="both"/>
        <w:rPr>
          <w:rFonts w:eastAsia="Calibri"/>
          <w:lang w:eastAsia="en-US"/>
        </w:rPr>
      </w:pPr>
    </w:p>
    <w:p w14:paraId="0BE9EDFF" w14:textId="77777777" w:rsidR="0054567E" w:rsidRPr="0054567E" w:rsidRDefault="0054567E" w:rsidP="0054567E">
      <w:pPr>
        <w:suppressAutoHyphens/>
        <w:ind w:firstLine="720"/>
        <w:jc w:val="both"/>
        <w:rPr>
          <w:u w:val="single"/>
        </w:rPr>
      </w:pPr>
      <w:r w:rsidRPr="0054567E">
        <w:rPr>
          <w:u w:val="single"/>
        </w:rPr>
        <w:t xml:space="preserve">2.5.3. Ocjena ostvarenja proračuna i izvršenja programa </w:t>
      </w:r>
    </w:p>
    <w:p w14:paraId="285C0D4E" w14:textId="77777777" w:rsidR="0054567E" w:rsidRPr="0054567E" w:rsidRDefault="0054567E" w:rsidP="0054567E">
      <w:pPr>
        <w:suppressAutoHyphens/>
        <w:ind w:firstLine="720"/>
        <w:jc w:val="both"/>
      </w:pPr>
    </w:p>
    <w:p w14:paraId="6E772F9E" w14:textId="77777777" w:rsidR="0054567E" w:rsidRPr="0054567E" w:rsidRDefault="0054567E" w:rsidP="0054567E">
      <w:pPr>
        <w:ind w:firstLine="708"/>
        <w:jc w:val="both"/>
      </w:pPr>
      <w:r w:rsidRPr="0054567E">
        <w:t>Svi se rashodi kreću u granicama Proračunom planiranih rashoda. U okviru rashoda u drugih su šest mjeseci 2025. godine podmirene sve obveze nastale krajem u prvom polugodištu 2025. godine, kao i dospjele obveze nastale u drugom polugodištu 2025. godine.</w:t>
      </w:r>
    </w:p>
    <w:p w14:paraId="6D6AA8C5" w14:textId="77777777" w:rsidR="0054567E" w:rsidRPr="0054567E" w:rsidRDefault="0054567E" w:rsidP="0054567E">
      <w:pPr>
        <w:ind w:firstLine="720"/>
        <w:jc w:val="both"/>
        <w:rPr>
          <w:szCs w:val="20"/>
        </w:rPr>
      </w:pPr>
      <w:r w:rsidRPr="0054567E">
        <w:rPr>
          <w:szCs w:val="20"/>
        </w:rPr>
        <w:t>Ostvareni proračunski prihodi u drugih šest mjeseci ove godine veći su, na godišnjoj razini,  za 29,85% u odnosu na prošlu godinu, sa ostvarenjem u granicama očekivanja (2,81% više od godišnjeg plana).</w:t>
      </w:r>
    </w:p>
    <w:p w14:paraId="2FD98ED2" w14:textId="77777777" w:rsidR="0054567E" w:rsidRPr="0054567E" w:rsidRDefault="0054567E" w:rsidP="0054567E">
      <w:pPr>
        <w:ind w:firstLine="720"/>
        <w:jc w:val="both"/>
        <w:rPr>
          <w:szCs w:val="20"/>
        </w:rPr>
      </w:pPr>
      <w:r w:rsidRPr="0054567E">
        <w:rPr>
          <w:szCs w:val="20"/>
        </w:rPr>
        <w:t xml:space="preserve">Preneseni višak koristiti će se za plaćanje projekata koju su dovršeni u drugom polugodištu, a još nisu ispostavljeni svi računi za njih ili koji su, u drugom polugodištu započeli, a dovršavati će se i obračunavati tijekom 2026. godine.  </w:t>
      </w:r>
    </w:p>
    <w:p w14:paraId="4848CE81" w14:textId="77777777" w:rsidR="0054567E" w:rsidRPr="0054567E" w:rsidRDefault="0054567E" w:rsidP="0054567E">
      <w:pPr>
        <w:suppressAutoHyphens/>
        <w:ind w:firstLine="720"/>
        <w:jc w:val="both"/>
        <w:rPr>
          <w:szCs w:val="20"/>
          <w:lang w:eastAsia="zh-CN"/>
        </w:rPr>
      </w:pPr>
      <w:r w:rsidRPr="0054567E">
        <w:t>Općina Marčana je na kraju drugog polugodišta 2025. godine imala kreditno zaduženje u visini od 255</w:t>
      </w:r>
      <w:r w:rsidRPr="0054567E">
        <w:rPr>
          <w:szCs w:val="20"/>
          <w:lang w:eastAsia="zh-CN"/>
        </w:rPr>
        <w:t xml:space="preserve">.956,58 </w:t>
      </w:r>
      <w:r w:rsidRPr="0054567E">
        <w:rPr>
          <w:lang w:eastAsia="zh-CN"/>
        </w:rPr>
        <w:t>E</w:t>
      </w:r>
      <w:r w:rsidRPr="0054567E">
        <w:rPr>
          <w:rFonts w:ascii="Minion Pro" w:hAnsi="Minion Pro"/>
          <w:color w:val="000000"/>
          <w:shd w:val="clear" w:color="auto" w:fill="FFFFFF"/>
          <w:lang w:eastAsia="zh-CN"/>
        </w:rPr>
        <w:t>UR</w:t>
      </w:r>
      <w:r w:rsidRPr="0054567E">
        <w:rPr>
          <w:szCs w:val="20"/>
          <w:lang w:eastAsia="zh-CN"/>
        </w:rPr>
        <w:t xml:space="preserve"> po odobrenom dugoročnom kunskom kreditu iz 2020. godine u iznosu od 7.900.000,00 kuna na rok od 8 godina   za financiranje realizacije kapitalnog projekta građenja i opremanja  dječjeg vrtića u mjestu Marčana.</w:t>
      </w:r>
    </w:p>
    <w:p w14:paraId="2C26F7E4" w14:textId="77777777" w:rsidR="0054567E" w:rsidRPr="0054567E" w:rsidRDefault="0054567E" w:rsidP="0054567E">
      <w:pPr>
        <w:ind w:firstLine="720"/>
        <w:jc w:val="both"/>
        <w:rPr>
          <w:szCs w:val="20"/>
        </w:rPr>
      </w:pPr>
      <w:r w:rsidRPr="0054567E">
        <w:rPr>
          <w:color w:val="C45911"/>
        </w:rPr>
        <w:t xml:space="preserve"> </w:t>
      </w:r>
      <w:r w:rsidRPr="0054567E">
        <w:rPr>
          <w:szCs w:val="20"/>
        </w:rPr>
        <w:t>Pojedini programi javnih potreba u drugom polugodištu 2025. godine odvijali su se redovno.</w:t>
      </w:r>
    </w:p>
    <w:p w14:paraId="6E00B52D" w14:textId="77777777" w:rsidR="0054567E" w:rsidRPr="0054567E" w:rsidRDefault="0054567E" w:rsidP="0054567E">
      <w:pPr>
        <w:suppressAutoHyphens/>
        <w:overflowPunct w:val="0"/>
        <w:autoSpaceDE w:val="0"/>
        <w:autoSpaceDN w:val="0"/>
        <w:adjustRightInd w:val="0"/>
        <w:jc w:val="both"/>
        <w:textAlignment w:val="baseline"/>
      </w:pPr>
      <w:r w:rsidRPr="0054567E">
        <w:tab/>
        <w:t>Svi rashodi su ostvareni u granicama raspoloživih sredstava vodeći računa o namjenskom trošenju sredstava, te o ostvarenju svih programa i planova koji se donose uz proračun.</w:t>
      </w:r>
    </w:p>
    <w:p w14:paraId="2C3366E6" w14:textId="77777777" w:rsidR="0054567E" w:rsidRPr="0054567E" w:rsidRDefault="0054567E" w:rsidP="0054567E">
      <w:pPr>
        <w:suppressAutoHyphens/>
        <w:overflowPunct w:val="0"/>
        <w:autoSpaceDE w:val="0"/>
        <w:autoSpaceDN w:val="0"/>
        <w:adjustRightInd w:val="0"/>
        <w:jc w:val="both"/>
        <w:textAlignment w:val="baseline"/>
      </w:pPr>
    </w:p>
    <w:p w14:paraId="4AFF6098" w14:textId="77777777" w:rsidR="0054567E" w:rsidRPr="0054567E" w:rsidRDefault="0054567E" w:rsidP="0054567E">
      <w:pPr>
        <w:suppressAutoHyphens/>
        <w:overflowPunct w:val="0"/>
        <w:autoSpaceDE w:val="0"/>
        <w:autoSpaceDN w:val="0"/>
        <w:adjustRightInd w:val="0"/>
        <w:jc w:val="both"/>
        <w:textAlignment w:val="baseline"/>
      </w:pPr>
    </w:p>
    <w:p w14:paraId="4229754B" w14:textId="77777777" w:rsidR="0054567E" w:rsidRPr="0054567E" w:rsidRDefault="0054567E" w:rsidP="0054567E">
      <w:pPr>
        <w:suppressAutoHyphens/>
        <w:overflowPunct w:val="0"/>
        <w:autoSpaceDE w:val="0"/>
        <w:autoSpaceDN w:val="0"/>
        <w:adjustRightInd w:val="0"/>
        <w:jc w:val="both"/>
        <w:textAlignment w:val="baseline"/>
      </w:pPr>
    </w:p>
    <w:p w14:paraId="4B85A26D" w14:textId="77777777" w:rsidR="0054567E" w:rsidRPr="0054567E" w:rsidRDefault="0054567E" w:rsidP="0054567E">
      <w:pPr>
        <w:suppressAutoHyphens/>
        <w:ind w:firstLine="720"/>
        <w:jc w:val="both"/>
        <w:rPr>
          <w:color w:val="C45911"/>
        </w:rPr>
      </w:pPr>
    </w:p>
    <w:p w14:paraId="60B503D1" w14:textId="77777777" w:rsidR="0054567E" w:rsidRPr="0054567E" w:rsidRDefault="0054567E">
      <w:pPr>
        <w:numPr>
          <w:ilvl w:val="0"/>
          <w:numId w:val="6"/>
        </w:numPr>
        <w:suppressAutoHyphens/>
        <w:spacing w:after="160" w:line="259" w:lineRule="auto"/>
        <w:contextualSpacing/>
        <w:jc w:val="both"/>
        <w:rPr>
          <w:b/>
        </w:rPr>
      </w:pPr>
      <w:r w:rsidRPr="0054567E">
        <w:rPr>
          <w:b/>
        </w:rPr>
        <w:t>ZAKLJUČAK</w:t>
      </w:r>
    </w:p>
    <w:p w14:paraId="1B604910" w14:textId="77777777" w:rsidR="0054567E" w:rsidRPr="0054567E" w:rsidRDefault="0054567E" w:rsidP="0054567E">
      <w:pPr>
        <w:suppressAutoHyphens/>
        <w:ind w:left="709"/>
        <w:jc w:val="both"/>
        <w:rPr>
          <w:b/>
        </w:rPr>
      </w:pPr>
    </w:p>
    <w:p w14:paraId="57DFA003" w14:textId="77777777" w:rsidR="0054567E" w:rsidRPr="0054567E" w:rsidRDefault="0054567E" w:rsidP="0054567E">
      <w:pPr>
        <w:suppressAutoHyphens/>
        <w:ind w:firstLine="708"/>
        <w:jc w:val="both"/>
        <w:rPr>
          <w:szCs w:val="20"/>
        </w:rPr>
      </w:pPr>
      <w:r w:rsidRPr="0054567E">
        <w:rPr>
          <w:szCs w:val="20"/>
        </w:rPr>
        <w:t>U okviru ostvarivanja funkcije općinskog načelnika, načelnik je u drugom polugodištu 2025. godine bio i stalno prisutan na terenu, radi  uvida u stanje na terenu, neposredne kontakte s građanima i poslovnim partnerima i suradnicima Općine Marčana, kao i s čelnicima susjednih općina i gradova.</w:t>
      </w:r>
    </w:p>
    <w:p w14:paraId="390A6B95" w14:textId="77777777" w:rsidR="0054567E" w:rsidRPr="0054567E" w:rsidRDefault="0054567E" w:rsidP="0054567E">
      <w:pPr>
        <w:suppressAutoHyphens/>
        <w:ind w:firstLine="708"/>
        <w:jc w:val="both"/>
        <w:rPr>
          <w:szCs w:val="20"/>
        </w:rPr>
      </w:pPr>
      <w:r w:rsidRPr="0054567E">
        <w:rPr>
          <w:szCs w:val="20"/>
        </w:rPr>
        <w:t>Kao čelnik jedinice lokalne samouprave općinski načelnik je po svojoj funkciji i predsjednik turističke zajednice Općine Marčana. Znatan dio aktivnosti općinskog načelnika  bio je usmjeren i na redovno funkcioniranje te institucije.</w:t>
      </w:r>
    </w:p>
    <w:p w14:paraId="5FCDFA76" w14:textId="77777777" w:rsidR="0054567E" w:rsidRPr="0054567E" w:rsidRDefault="0054567E" w:rsidP="0054567E">
      <w:pPr>
        <w:suppressAutoHyphens/>
        <w:ind w:firstLine="708"/>
        <w:jc w:val="both"/>
        <w:rPr>
          <w:szCs w:val="20"/>
        </w:rPr>
      </w:pPr>
      <w:r w:rsidRPr="0054567E">
        <w:rPr>
          <w:szCs w:val="20"/>
        </w:rPr>
        <w:t>Općinski načelnik u mandatu je i predsjednik Lokalne akcijske grupe Južne Istre, čiji je član Općina Marčana, te je dio svog vremena mora posvetiti obnašanju i te dužnosti.</w:t>
      </w:r>
    </w:p>
    <w:p w14:paraId="7C0E57B5" w14:textId="77777777" w:rsidR="0054567E" w:rsidRPr="0054567E" w:rsidRDefault="0054567E" w:rsidP="0054567E">
      <w:pPr>
        <w:suppressAutoHyphens/>
        <w:ind w:firstLine="708"/>
        <w:jc w:val="both"/>
        <w:rPr>
          <w:szCs w:val="20"/>
        </w:rPr>
      </w:pPr>
      <w:r w:rsidRPr="0054567E">
        <w:rPr>
          <w:szCs w:val="20"/>
        </w:rPr>
        <w:t xml:space="preserve">Općinski načelnik sudjelovao je u radu skupština trgovačkih društava Vodovod Pula-Labin d.o.o., </w:t>
      </w:r>
      <w:proofErr w:type="spellStart"/>
      <w:r w:rsidRPr="0054567E">
        <w:rPr>
          <w:szCs w:val="20"/>
        </w:rPr>
        <w:t>Pulapromet</w:t>
      </w:r>
      <w:proofErr w:type="spellEnd"/>
      <w:r w:rsidRPr="0054567E">
        <w:rPr>
          <w:szCs w:val="20"/>
        </w:rPr>
        <w:t xml:space="preserve"> d.o.o., Pula-</w:t>
      </w:r>
      <w:proofErr w:type="spellStart"/>
      <w:r w:rsidRPr="0054567E">
        <w:rPr>
          <w:szCs w:val="20"/>
        </w:rPr>
        <w:t>Herculanea</w:t>
      </w:r>
      <w:proofErr w:type="spellEnd"/>
      <w:r w:rsidRPr="0054567E">
        <w:rPr>
          <w:szCs w:val="20"/>
        </w:rPr>
        <w:t xml:space="preserve"> d.o.o., Luka Pula d.o.o., IVS d.o.o., </w:t>
      </w:r>
      <w:r w:rsidRPr="0054567E">
        <w:rPr>
          <w:szCs w:val="20"/>
        </w:rPr>
        <w:lastRenderedPageBreak/>
        <w:t>koordinacijama Vatrogasne zajednice Istarske Županije, sjednicama Koordinacijskog vijeća Urbanog područja Pula (ITU mehanizam), koordinacijama s Lučkom upravom Pula i dr..</w:t>
      </w:r>
    </w:p>
    <w:p w14:paraId="4D47A899" w14:textId="77777777" w:rsidR="0054567E" w:rsidRPr="0054567E" w:rsidRDefault="0054567E" w:rsidP="0054567E">
      <w:pPr>
        <w:suppressAutoHyphens/>
        <w:ind w:firstLine="720"/>
        <w:jc w:val="both"/>
        <w:rPr>
          <w:color w:val="C45911"/>
        </w:rPr>
      </w:pPr>
    </w:p>
    <w:p w14:paraId="511BDA82" w14:textId="77777777" w:rsidR="0054567E" w:rsidRPr="0054567E" w:rsidRDefault="0054567E" w:rsidP="0054567E">
      <w:pPr>
        <w:suppressAutoHyphens/>
        <w:spacing w:line="259" w:lineRule="auto"/>
        <w:ind w:firstLine="708"/>
        <w:jc w:val="both"/>
      </w:pPr>
      <w:r w:rsidRPr="0054567E">
        <w:t xml:space="preserve">Tijekom drugog polugodišta  2025. godine dovršen je postupak javne nabave i odabran je izvođač radova za projekt izgradnje poduzetničkog inkubatora na lokaciji bivše poslovne zgrade </w:t>
      </w:r>
      <w:proofErr w:type="spellStart"/>
      <w:r w:rsidRPr="0054567E">
        <w:t>Marčanka</w:t>
      </w:r>
      <w:proofErr w:type="spellEnd"/>
      <w:r w:rsidRPr="0054567E">
        <w:t xml:space="preserve">. Također, vezano uz navedeni projekt sklopljen je ugovor o dodjeli bespovratnih sredstava s  Ministarstvom regionalnog razvoja i fondova EU za izgradnju zgrade poduzetničkog inkubatora u </w:t>
      </w:r>
      <w:proofErr w:type="spellStart"/>
      <w:r w:rsidRPr="0054567E">
        <w:t>Marčani</w:t>
      </w:r>
      <w:proofErr w:type="spellEnd"/>
      <w:r w:rsidRPr="0054567E">
        <w:t>, čime su ostvareni svi preduvjeti za početka realizacije ovog projekta.</w:t>
      </w:r>
    </w:p>
    <w:p w14:paraId="349AA0C4" w14:textId="77777777" w:rsidR="0054567E" w:rsidRPr="0054567E" w:rsidRDefault="0054567E" w:rsidP="0054567E">
      <w:pPr>
        <w:suppressAutoHyphens/>
        <w:spacing w:line="259" w:lineRule="auto"/>
        <w:ind w:firstLine="708"/>
        <w:jc w:val="both"/>
      </w:pPr>
      <w:r w:rsidRPr="0054567E">
        <w:t xml:space="preserve"> Privedena je kraju investicija rekonstrukcije nogometnog igrališta u </w:t>
      </w:r>
      <w:proofErr w:type="spellStart"/>
      <w:r w:rsidRPr="0054567E">
        <w:t>Marčani</w:t>
      </w:r>
      <w:proofErr w:type="spellEnd"/>
      <w:r w:rsidRPr="0054567E">
        <w:t xml:space="preserve"> zajedno s izgradnjom vodospreme na k.č.br. 508/1 k.o. Marčana, kako za potrebe igrališta, tako i za potrebe budućeg sportskog centra Mandalena. Također, dovršena je rekonstrukcija nogometnog igrališta u </w:t>
      </w:r>
      <w:proofErr w:type="spellStart"/>
      <w:r w:rsidRPr="0054567E">
        <w:t>Kujići</w:t>
      </w:r>
      <w:proofErr w:type="spellEnd"/>
      <w:r w:rsidRPr="0054567E">
        <w:t>.</w:t>
      </w:r>
    </w:p>
    <w:p w14:paraId="2B165C7E" w14:textId="77777777" w:rsidR="0054567E" w:rsidRPr="0054567E" w:rsidRDefault="0054567E" w:rsidP="0054567E">
      <w:pPr>
        <w:suppressAutoHyphens/>
        <w:spacing w:line="259" w:lineRule="auto"/>
        <w:ind w:firstLine="708"/>
        <w:jc w:val="both"/>
      </w:pPr>
      <w:r w:rsidRPr="0054567E">
        <w:t xml:space="preserve">U zgradi Dječjeg vrtića Vrtuljak u </w:t>
      </w:r>
      <w:proofErr w:type="spellStart"/>
      <w:r w:rsidRPr="0054567E">
        <w:t>Marčani</w:t>
      </w:r>
      <w:proofErr w:type="spellEnd"/>
      <w:r w:rsidRPr="0054567E">
        <w:t xml:space="preserve"> izvedeni su radovi na osposobljavanju  dodatnih prostora za odvijanje pedagoškog rada s pedagoškim grupama.</w:t>
      </w:r>
    </w:p>
    <w:p w14:paraId="13E706B9" w14:textId="77777777" w:rsidR="0054567E" w:rsidRPr="0054567E" w:rsidRDefault="0054567E" w:rsidP="0054567E">
      <w:pPr>
        <w:suppressAutoHyphens/>
        <w:spacing w:line="259" w:lineRule="auto"/>
        <w:ind w:firstLine="708"/>
        <w:jc w:val="both"/>
      </w:pPr>
      <w:r w:rsidRPr="0054567E">
        <w:t>U zgradi sjedišta Općine Marčana ugrađen je sustav klimatizacije, a također ugrađena je i fotonaponska elektrana.</w:t>
      </w:r>
    </w:p>
    <w:p w14:paraId="20F99C7C" w14:textId="77777777" w:rsidR="0054567E" w:rsidRPr="0054567E" w:rsidRDefault="0054567E" w:rsidP="0054567E">
      <w:pPr>
        <w:suppressAutoHyphens/>
        <w:spacing w:line="259" w:lineRule="auto"/>
        <w:ind w:firstLine="708"/>
        <w:jc w:val="both"/>
      </w:pPr>
      <w:r w:rsidRPr="0054567E">
        <w:t xml:space="preserve">Fotonaponska elektrana ugrađena je i na zgradi Dječjeg vrtića Vrtuljak u </w:t>
      </w:r>
      <w:proofErr w:type="spellStart"/>
      <w:r w:rsidRPr="0054567E">
        <w:t>Marčani</w:t>
      </w:r>
      <w:proofErr w:type="spellEnd"/>
      <w:r w:rsidRPr="0054567E">
        <w:t>.</w:t>
      </w:r>
    </w:p>
    <w:p w14:paraId="22F4FA25" w14:textId="77777777" w:rsidR="0054567E" w:rsidRPr="0054567E" w:rsidRDefault="0054567E" w:rsidP="0054567E">
      <w:pPr>
        <w:suppressAutoHyphens/>
        <w:spacing w:line="259" w:lineRule="auto"/>
        <w:ind w:firstLine="708"/>
        <w:jc w:val="both"/>
      </w:pPr>
      <w:r w:rsidRPr="0054567E">
        <w:t>Izgrađen je i ugrađena je oprema dječjeg park-igrališta u naselju Loborika.</w:t>
      </w:r>
    </w:p>
    <w:p w14:paraId="2B2D20A7" w14:textId="77777777" w:rsidR="0054567E" w:rsidRPr="0054567E" w:rsidRDefault="0054567E" w:rsidP="0054567E">
      <w:pPr>
        <w:suppressAutoHyphens/>
        <w:spacing w:line="259" w:lineRule="auto"/>
        <w:ind w:firstLine="708"/>
        <w:jc w:val="both"/>
      </w:pPr>
      <w:r w:rsidRPr="0054567E">
        <w:t>Tijekom čitave 2025. godine nastavilo se priključivanje korisnika na kanalizacijsku mrežu, zahvaljujući preklani dovršenom i funkcionalnom  pročistaču u Loboriki.</w:t>
      </w:r>
    </w:p>
    <w:p w14:paraId="7D4A7DE2" w14:textId="77777777" w:rsidR="0054567E" w:rsidRPr="0054567E" w:rsidRDefault="0054567E" w:rsidP="0054567E">
      <w:pPr>
        <w:suppressAutoHyphens/>
        <w:spacing w:line="259" w:lineRule="auto"/>
        <w:ind w:firstLine="708"/>
        <w:jc w:val="both"/>
      </w:pPr>
      <w:r w:rsidRPr="0054567E">
        <w:t xml:space="preserve"> Nastavljeno je s pripremom dokumentacije i uređivanjem imovinsko pravnih odnosa za izgradnju i uređenje parka i javnog parkirališta u </w:t>
      </w:r>
      <w:proofErr w:type="spellStart"/>
      <w:r w:rsidRPr="0054567E">
        <w:t>Marčani</w:t>
      </w:r>
      <w:proofErr w:type="spellEnd"/>
      <w:r w:rsidRPr="0054567E">
        <w:t>.</w:t>
      </w:r>
    </w:p>
    <w:p w14:paraId="2DCC316D" w14:textId="77777777" w:rsidR="0054567E" w:rsidRPr="0054567E" w:rsidRDefault="0054567E" w:rsidP="0054567E">
      <w:pPr>
        <w:suppressAutoHyphens/>
        <w:spacing w:line="259" w:lineRule="auto"/>
        <w:ind w:firstLine="708"/>
        <w:jc w:val="both"/>
      </w:pPr>
      <w:r w:rsidRPr="0054567E">
        <w:t>Izvodili su se radovi izvanrednog održavanja županijske ceste ŽC 5118 dionica Pinezići-Vodnjan kao i izgradnje aglomeracije Pula -sjever.</w:t>
      </w:r>
    </w:p>
    <w:p w14:paraId="0D90F2D9" w14:textId="77777777" w:rsidR="0054567E" w:rsidRPr="0054567E" w:rsidRDefault="0054567E" w:rsidP="0054567E">
      <w:pPr>
        <w:suppressAutoHyphens/>
        <w:spacing w:line="259" w:lineRule="auto"/>
        <w:ind w:firstLine="708"/>
        <w:jc w:val="both"/>
      </w:pPr>
      <w:r w:rsidRPr="0054567E">
        <w:t>Postavljene su umjetne izbočine na nerazvrstanoj cesti u Loboriki (NC 404).</w:t>
      </w:r>
    </w:p>
    <w:p w14:paraId="0CC136EB" w14:textId="77777777" w:rsidR="0054567E" w:rsidRPr="0054567E" w:rsidRDefault="0054567E" w:rsidP="0054567E">
      <w:pPr>
        <w:suppressAutoHyphens/>
        <w:spacing w:line="259" w:lineRule="auto"/>
        <w:ind w:firstLine="708"/>
        <w:jc w:val="both"/>
      </w:pPr>
      <w:r w:rsidRPr="0054567E">
        <w:t xml:space="preserve">Sanirano je ukupno devet divljih odlagališta otpada i postavljene su table sa znakom zabrane odlaganja otpada (Sv. Vid – </w:t>
      </w:r>
      <w:proofErr w:type="spellStart"/>
      <w:r w:rsidRPr="0054567E">
        <w:t>Kužinići</w:t>
      </w:r>
      <w:proofErr w:type="spellEnd"/>
      <w:r w:rsidRPr="0054567E">
        <w:t xml:space="preserve">, uz cestu Orbanići – </w:t>
      </w:r>
      <w:proofErr w:type="spellStart"/>
      <w:r w:rsidRPr="0054567E">
        <w:t>Boduleri</w:t>
      </w:r>
      <w:proofErr w:type="spellEnd"/>
      <w:r w:rsidRPr="0054567E">
        <w:t>, „</w:t>
      </w:r>
      <w:proofErr w:type="spellStart"/>
      <w:r w:rsidRPr="0054567E">
        <w:t>Kalić</w:t>
      </w:r>
      <w:proofErr w:type="spellEnd"/>
      <w:r w:rsidRPr="0054567E">
        <w:t>“ Marčana, kod lokve, uz cestu Orbanići-</w:t>
      </w:r>
      <w:proofErr w:type="spellStart"/>
      <w:r w:rsidRPr="0054567E">
        <w:t>Bodlueri</w:t>
      </w:r>
      <w:proofErr w:type="spellEnd"/>
      <w:r w:rsidRPr="0054567E">
        <w:t xml:space="preserve">, „Velika Lokva“ Marčana, </w:t>
      </w:r>
      <w:proofErr w:type="spellStart"/>
      <w:r w:rsidRPr="0054567E">
        <w:t>Artići</w:t>
      </w:r>
      <w:proofErr w:type="spellEnd"/>
      <w:r w:rsidRPr="0054567E">
        <w:t xml:space="preserve"> </w:t>
      </w:r>
      <w:proofErr w:type="spellStart"/>
      <w:r w:rsidRPr="0054567E">
        <w:t>Krnica</w:t>
      </w:r>
      <w:proofErr w:type="spellEnd"/>
      <w:r w:rsidRPr="0054567E">
        <w:t xml:space="preserve"> prema Križu uz ŽC 5119, </w:t>
      </w:r>
      <w:proofErr w:type="spellStart"/>
      <w:r w:rsidRPr="0054567E">
        <w:t>Radeki</w:t>
      </w:r>
      <w:proofErr w:type="spellEnd"/>
      <w:r w:rsidRPr="0054567E">
        <w:t xml:space="preserve"> Glavica, </w:t>
      </w:r>
      <w:proofErr w:type="spellStart"/>
      <w:r w:rsidRPr="0054567E">
        <w:t>Radeki</w:t>
      </w:r>
      <w:proofErr w:type="spellEnd"/>
      <w:r w:rsidRPr="0054567E">
        <w:t xml:space="preserve"> Glavica II i kod Cetinići).</w:t>
      </w:r>
    </w:p>
    <w:p w14:paraId="6B647ECE" w14:textId="77777777" w:rsidR="0054567E" w:rsidRPr="0054567E" w:rsidRDefault="0054567E" w:rsidP="0054567E">
      <w:pPr>
        <w:suppressAutoHyphens/>
        <w:spacing w:line="259" w:lineRule="auto"/>
        <w:ind w:firstLine="708"/>
        <w:jc w:val="both"/>
      </w:pPr>
      <w:r w:rsidRPr="0054567E">
        <w:t xml:space="preserve">U drugom polugodištu 2025. godine usvojen je Plan razvoja Općine Marčana za razdoblje od 2025. do 2030. godine. </w:t>
      </w:r>
    </w:p>
    <w:p w14:paraId="09618FD6" w14:textId="77777777" w:rsidR="0054567E" w:rsidRPr="0054567E" w:rsidRDefault="0054567E" w:rsidP="0054567E">
      <w:pPr>
        <w:suppressAutoHyphens/>
        <w:spacing w:line="259" w:lineRule="auto"/>
        <w:ind w:firstLine="708"/>
        <w:jc w:val="both"/>
      </w:pPr>
      <w:r w:rsidRPr="0054567E">
        <w:t xml:space="preserve">Donesen je Urbanistički plan uređenja turističko razvojnog područja Sv. </w:t>
      </w:r>
      <w:proofErr w:type="spellStart"/>
      <w:r w:rsidRPr="0054567E">
        <w:t>Mikula</w:t>
      </w:r>
      <w:proofErr w:type="spellEnd"/>
      <w:r w:rsidRPr="0054567E">
        <w:t xml:space="preserve"> – Luka nautičkog turizma – marina </w:t>
      </w:r>
      <w:proofErr w:type="spellStart"/>
      <w:r w:rsidRPr="0054567E">
        <w:t>Rakalj</w:t>
      </w:r>
      <w:proofErr w:type="spellEnd"/>
      <w:r w:rsidRPr="0054567E">
        <w:t xml:space="preserve"> – Sveta Agneza, donesene su i Izmjene i dopune Urbanističkog plana uređenja </w:t>
      </w:r>
      <w:proofErr w:type="spellStart"/>
      <w:r w:rsidRPr="0054567E">
        <w:t>Krnički</w:t>
      </w:r>
      <w:proofErr w:type="spellEnd"/>
      <w:r w:rsidRPr="0054567E">
        <w:t xml:space="preserve"> porat – Sjeverozapad i Urbanističkog plana uređenja UTP </w:t>
      </w:r>
      <w:proofErr w:type="spellStart"/>
      <w:r w:rsidRPr="0054567E">
        <w:t>Blaz</w:t>
      </w:r>
      <w:proofErr w:type="spellEnd"/>
      <w:r w:rsidRPr="0054567E">
        <w:t xml:space="preserve"> – </w:t>
      </w:r>
      <w:proofErr w:type="spellStart"/>
      <w:r w:rsidRPr="0054567E">
        <w:t>Salamušćica</w:t>
      </w:r>
      <w:proofErr w:type="spellEnd"/>
      <w:r w:rsidRPr="0054567E">
        <w:t>, čime su osigurani prostorno planske pretpostavke za daljnji razvoj općine. Odlukom o Prvoj izmjeni i dopuni Odluke o izradi izmjene i dopune Prostornog plana uređenja Općine Marčana omogućen je postupak digitalizacije Prostornog plana, za koju su svrhu osigurana bespovratna EU sredstva.</w:t>
      </w:r>
    </w:p>
    <w:p w14:paraId="7ED7C6E6" w14:textId="77777777" w:rsidR="0054567E" w:rsidRPr="0054567E" w:rsidRDefault="0054567E" w:rsidP="0054567E">
      <w:pPr>
        <w:suppressAutoHyphens/>
        <w:spacing w:line="259" w:lineRule="auto"/>
        <w:ind w:firstLine="708"/>
        <w:jc w:val="both"/>
      </w:pPr>
      <w:r w:rsidRPr="0054567E">
        <w:t xml:space="preserve">U okviru realizacije programa građenja komunalne infrastrukture od značajnijih zahvata izvršeno je asfaltiranje nerazvrstanih cesta i to: u Prodolu površine 372,72 m2,  u </w:t>
      </w:r>
      <w:proofErr w:type="spellStart"/>
      <w:r w:rsidRPr="0054567E">
        <w:t>Krnici</w:t>
      </w:r>
      <w:proofErr w:type="spellEnd"/>
      <w:r w:rsidRPr="0054567E">
        <w:t xml:space="preserve"> površine 2037,27 m2, u Belavići površine 512,01 m2, u </w:t>
      </w:r>
      <w:proofErr w:type="spellStart"/>
      <w:r w:rsidRPr="0054567E">
        <w:t>Biletići</w:t>
      </w:r>
      <w:proofErr w:type="spellEnd"/>
      <w:r w:rsidRPr="0054567E">
        <w:t xml:space="preserve"> površine 186,17 m2, u Peruški površine 186,17 m2 i rekonstrukcija cesta u Raklju u površini od 3287,83 m2, u Orbanići u površini od 127,74 m2, u Divšići u površini od 90,52 m2 u </w:t>
      </w:r>
      <w:proofErr w:type="spellStart"/>
      <w:r w:rsidRPr="0054567E">
        <w:t>Cokuni</w:t>
      </w:r>
      <w:proofErr w:type="spellEnd"/>
      <w:r w:rsidRPr="0054567E">
        <w:t xml:space="preserve"> u površini od 184,81 m2 i u Peruški u površini od 202,99 m2. </w:t>
      </w:r>
    </w:p>
    <w:p w14:paraId="36F674AB" w14:textId="77777777" w:rsidR="0054567E" w:rsidRPr="0054567E" w:rsidRDefault="0054567E" w:rsidP="0054567E">
      <w:pPr>
        <w:suppressAutoHyphens/>
        <w:spacing w:line="259" w:lineRule="auto"/>
        <w:ind w:firstLine="708"/>
        <w:jc w:val="both"/>
      </w:pPr>
      <w:r w:rsidRPr="0054567E">
        <w:t xml:space="preserve">Dobivene su 2 građevinske dozvole za izgradnju vodovodne mreže u naselju </w:t>
      </w:r>
      <w:proofErr w:type="spellStart"/>
      <w:r w:rsidRPr="0054567E">
        <w:t>Rakalj</w:t>
      </w:r>
      <w:proofErr w:type="spellEnd"/>
      <w:r w:rsidRPr="0054567E">
        <w:t xml:space="preserve"> i za Staru Stanciju.</w:t>
      </w:r>
    </w:p>
    <w:p w14:paraId="27E69B90" w14:textId="77777777" w:rsidR="0054567E" w:rsidRPr="0054567E" w:rsidRDefault="0054567E" w:rsidP="0054567E">
      <w:pPr>
        <w:suppressAutoHyphens/>
        <w:spacing w:line="259" w:lineRule="auto"/>
        <w:ind w:firstLine="708"/>
        <w:jc w:val="both"/>
      </w:pPr>
      <w:r w:rsidRPr="0054567E">
        <w:lastRenderedPageBreak/>
        <w:t>Donesena je Strategija zelene urbane obnove, ključni strateški dokument za Općinu Marčana s ciljem osiguravanja održivog razvoja kroz unapređenje zelene infrastrukture.</w:t>
      </w:r>
    </w:p>
    <w:p w14:paraId="54EABC2D" w14:textId="77777777" w:rsidR="0054567E" w:rsidRPr="0054567E" w:rsidRDefault="0054567E" w:rsidP="0054567E">
      <w:pPr>
        <w:suppressAutoHyphens/>
        <w:spacing w:line="259" w:lineRule="auto"/>
        <w:ind w:firstLine="708"/>
        <w:jc w:val="both"/>
      </w:pPr>
      <w:r w:rsidRPr="0054567E">
        <w:t>Odlukom o osnovici za obračun plaće službenika i namještenika u upravnim tijelima  Općine   Marčana povećane su plaće zaposlenicima upravnih tijela Općine, komunalnog društva Mandalena i dječjeg vrtića Vrtuljak Marčana. I tijekom drugog polugodišta 2025. godine nastavilo se s pripremom i kandidiranjem projekata za financiranje sredstvima europskih fondova i drugih javnih izvora.</w:t>
      </w:r>
    </w:p>
    <w:p w14:paraId="4C41F485" w14:textId="77777777" w:rsidR="0054567E" w:rsidRPr="0054567E" w:rsidRDefault="0054567E" w:rsidP="0054567E">
      <w:pPr>
        <w:suppressAutoHyphens/>
        <w:ind w:firstLine="720"/>
        <w:jc w:val="both"/>
      </w:pPr>
      <w:r w:rsidRPr="0054567E">
        <w:t>Svi tekući programi vezani za društvene djelatnosti, vatrogastvo, komunalnu infrastrukturu, gospodarenje otpadom i druge djelatnosti iz samoupravnog djelokruga Općine Marčana uspješno su se ostvarivali i u drugom polugodištu 2025. godine.</w:t>
      </w:r>
    </w:p>
    <w:p w14:paraId="194E7AEB" w14:textId="77777777" w:rsidR="0054567E" w:rsidRPr="0054567E" w:rsidRDefault="0054567E" w:rsidP="0054567E">
      <w:pPr>
        <w:suppressAutoHyphens/>
        <w:ind w:firstLine="720"/>
        <w:jc w:val="both"/>
      </w:pPr>
    </w:p>
    <w:p w14:paraId="72CE52B9" w14:textId="77777777" w:rsidR="0054567E" w:rsidRPr="0054567E" w:rsidRDefault="0054567E" w:rsidP="0054567E">
      <w:pPr>
        <w:suppressAutoHyphens/>
        <w:ind w:firstLine="720"/>
        <w:jc w:val="both"/>
      </w:pPr>
    </w:p>
    <w:p w14:paraId="70487CBD" w14:textId="77777777" w:rsidR="0054567E" w:rsidRPr="0054567E" w:rsidRDefault="0054567E" w:rsidP="0054567E">
      <w:pPr>
        <w:suppressAutoHyphens/>
        <w:ind w:firstLine="720"/>
        <w:jc w:val="both"/>
      </w:pPr>
    </w:p>
    <w:p w14:paraId="27E6507A" w14:textId="77777777" w:rsidR="0054567E" w:rsidRPr="0054567E" w:rsidRDefault="0054567E" w:rsidP="0054567E">
      <w:pPr>
        <w:suppressAutoHyphens/>
        <w:ind w:left="5664" w:firstLine="720"/>
        <w:jc w:val="both"/>
        <w:rPr>
          <w:b/>
        </w:rPr>
      </w:pPr>
      <w:r w:rsidRPr="0054567E">
        <w:rPr>
          <w:b/>
        </w:rPr>
        <w:t>OPĆINSKI NAČELNIK</w:t>
      </w:r>
    </w:p>
    <w:p w14:paraId="49AA2EDD" w14:textId="77777777" w:rsidR="0054567E" w:rsidRPr="0054567E" w:rsidRDefault="0054567E" w:rsidP="0054567E">
      <w:pPr>
        <w:tabs>
          <w:tab w:val="left" w:pos="284"/>
        </w:tabs>
        <w:suppressAutoHyphens/>
        <w:ind w:left="5664" w:firstLine="720"/>
        <w:jc w:val="both"/>
        <w:rPr>
          <w:b/>
        </w:rPr>
      </w:pPr>
      <w:r w:rsidRPr="0054567E">
        <w:rPr>
          <w:b/>
        </w:rPr>
        <w:t xml:space="preserve">      Predrag Pliško, v.r. </w:t>
      </w:r>
    </w:p>
    <w:p w14:paraId="73D3D49F" w14:textId="77777777" w:rsidR="007B3E41" w:rsidRPr="007B3E41" w:rsidRDefault="007B3E41" w:rsidP="007B3E41">
      <w:pPr>
        <w:jc w:val="both"/>
      </w:pPr>
    </w:p>
    <w:p w14:paraId="2090D3FF" w14:textId="77777777" w:rsidR="007B3E41" w:rsidRPr="007B3E41" w:rsidRDefault="007B3E41" w:rsidP="007B3E41">
      <w:pPr>
        <w:jc w:val="both"/>
      </w:pPr>
    </w:p>
    <w:p w14:paraId="6F219767" w14:textId="6E11A9B8" w:rsidR="007B3E41" w:rsidRDefault="0054567E" w:rsidP="007B3E41">
      <w:pPr>
        <w:jc w:val="both"/>
      </w:pPr>
      <w:r>
        <w:t>___________________________________________________________________________</w:t>
      </w:r>
    </w:p>
    <w:p w14:paraId="084F97FE" w14:textId="77777777" w:rsidR="0054567E" w:rsidRPr="007B3E41" w:rsidRDefault="0054567E" w:rsidP="007B3E41">
      <w:pPr>
        <w:jc w:val="both"/>
      </w:pPr>
    </w:p>
    <w:p w14:paraId="4F94D105" w14:textId="34D9707B" w:rsidR="007B3E41" w:rsidRPr="007B3E41" w:rsidRDefault="007B3E41" w:rsidP="0054567E">
      <w:pPr>
        <w:ind w:left="1440"/>
        <w:jc w:val="center"/>
      </w:pPr>
      <w:bookmarkStart w:id="5" w:name="_Hlk511278727"/>
      <w:r w:rsidRPr="007B3E41">
        <w:rPr>
          <w:b/>
        </w:rPr>
        <w:t xml:space="preserve">                                                   </w:t>
      </w:r>
      <w:bookmarkEnd w:id="5"/>
    </w:p>
    <w:bookmarkEnd w:id="1"/>
    <w:p w14:paraId="1B23974B" w14:textId="77777777" w:rsidR="007B3E41" w:rsidRPr="007B3E41" w:rsidRDefault="007B3E41" w:rsidP="007B3E41">
      <w:pPr>
        <w:ind w:firstLine="720"/>
        <w:jc w:val="both"/>
      </w:pPr>
    </w:p>
    <w:p w14:paraId="3F6FCFFE" w14:textId="77777777" w:rsidR="007B3E41" w:rsidRPr="007B3E41" w:rsidRDefault="007B3E41" w:rsidP="007B3E41">
      <w:pPr>
        <w:jc w:val="both"/>
      </w:pPr>
    </w:p>
    <w:p w14:paraId="37A7F895" w14:textId="77777777" w:rsidR="00A41313" w:rsidRPr="00A41313" w:rsidRDefault="00A41313" w:rsidP="00A41313">
      <w:pPr>
        <w:ind w:firstLine="708"/>
        <w:jc w:val="both"/>
      </w:pPr>
      <w:r w:rsidRPr="00A41313">
        <w:t>Na temelju članka 89. Zakona o proračunu (“Narodne novine”, br. 141/21.) i članka 36. točke 3. Statuta Općine Marčana ("Službene novine Općine Marčana", br. 7/09., 2/13. i 4/13 – pročišćeni tekst i 3/21.), Općinsko vijeće Općine Marčana je na 6. sjednici održanoj 28. svibnja 2026.  godine, donijelo</w:t>
      </w:r>
    </w:p>
    <w:p w14:paraId="41F8509C" w14:textId="77777777" w:rsidR="00A41313" w:rsidRPr="00A41313" w:rsidRDefault="00A41313" w:rsidP="00A41313"/>
    <w:p w14:paraId="6E393A66" w14:textId="77777777" w:rsidR="00A41313" w:rsidRPr="00A41313" w:rsidRDefault="00A41313" w:rsidP="00A41313"/>
    <w:p w14:paraId="24825112" w14:textId="77777777" w:rsidR="00A41313" w:rsidRPr="00A41313" w:rsidRDefault="00A41313">
      <w:pPr>
        <w:keepNext/>
        <w:numPr>
          <w:ilvl w:val="0"/>
          <w:numId w:val="11"/>
        </w:numPr>
        <w:jc w:val="center"/>
        <w:outlineLvl w:val="0"/>
        <w:rPr>
          <w:b/>
          <w:sz w:val="28"/>
          <w:szCs w:val="28"/>
        </w:rPr>
      </w:pPr>
      <w:r w:rsidRPr="00A41313">
        <w:rPr>
          <w:b/>
          <w:sz w:val="28"/>
          <w:szCs w:val="28"/>
        </w:rPr>
        <w:t>GODIŠNJI IZVJEŠTAJ</w:t>
      </w:r>
    </w:p>
    <w:p w14:paraId="366CD650" w14:textId="77777777" w:rsidR="00A41313" w:rsidRPr="00A41313" w:rsidRDefault="00A41313" w:rsidP="00A41313">
      <w:pPr>
        <w:spacing w:after="120"/>
        <w:jc w:val="center"/>
        <w:rPr>
          <w:b/>
          <w:caps/>
        </w:rPr>
      </w:pPr>
      <w:r w:rsidRPr="00A41313">
        <w:rPr>
          <w:b/>
          <w:caps/>
        </w:rPr>
        <w:t>o izvršenju Proračuna Općine Marčana za 2025. godinu</w:t>
      </w:r>
    </w:p>
    <w:p w14:paraId="08668C70" w14:textId="77777777" w:rsidR="00A41313" w:rsidRPr="00A41313" w:rsidRDefault="00A41313" w:rsidP="00A41313">
      <w:pPr>
        <w:ind w:firstLine="720"/>
        <w:rPr>
          <w:b/>
        </w:rPr>
      </w:pPr>
    </w:p>
    <w:p w14:paraId="61266234" w14:textId="77777777" w:rsidR="00A41313" w:rsidRPr="00A41313" w:rsidRDefault="00A41313" w:rsidP="00A41313">
      <w:pPr>
        <w:jc w:val="center"/>
        <w:rPr>
          <w:b/>
        </w:rPr>
      </w:pPr>
      <w:r w:rsidRPr="00A41313">
        <w:rPr>
          <w:b/>
        </w:rPr>
        <w:t>Članak 1.</w:t>
      </w:r>
      <w:r w:rsidRPr="00A41313">
        <w:tab/>
      </w:r>
    </w:p>
    <w:p w14:paraId="1892439A" w14:textId="77777777" w:rsidR="00A41313" w:rsidRPr="00A41313" w:rsidRDefault="00A41313" w:rsidP="00A41313">
      <w:pPr>
        <w:jc w:val="both"/>
      </w:pPr>
      <w:r w:rsidRPr="00A41313">
        <w:t xml:space="preserve">          Utvrđuje se izvršenje Proračuna Općine Marčana za 2025. godinu kako slijedi:</w:t>
      </w:r>
    </w:p>
    <w:p w14:paraId="3E383533" w14:textId="77777777" w:rsidR="00A41313" w:rsidRPr="00A41313" w:rsidRDefault="00A41313" w:rsidP="00A41313">
      <w:pPr>
        <w:jc w:val="both"/>
        <w:rPr>
          <w:b/>
        </w:rPr>
      </w:pPr>
    </w:p>
    <w:tbl>
      <w:tblPr>
        <w:tblW w:w="10120" w:type="dxa"/>
        <w:jc w:val="center"/>
        <w:tblLook w:val="04A0" w:firstRow="1" w:lastRow="0" w:firstColumn="1" w:lastColumn="0" w:noHBand="0" w:noVBand="1"/>
      </w:tblPr>
      <w:tblGrid>
        <w:gridCol w:w="960"/>
        <w:gridCol w:w="2660"/>
        <w:gridCol w:w="1280"/>
        <w:gridCol w:w="1120"/>
        <w:gridCol w:w="1190"/>
        <w:gridCol w:w="1060"/>
        <w:gridCol w:w="960"/>
        <w:gridCol w:w="960"/>
      </w:tblGrid>
      <w:tr w:rsidR="00A41313" w:rsidRPr="00A41313" w14:paraId="608BEA6E" w14:textId="77777777" w:rsidTr="00BB1392">
        <w:trPr>
          <w:trHeight w:val="660"/>
          <w:jc w:val="center"/>
        </w:trPr>
        <w:tc>
          <w:tcPr>
            <w:tcW w:w="10120" w:type="dxa"/>
            <w:gridSpan w:val="8"/>
            <w:tcBorders>
              <w:top w:val="nil"/>
              <w:left w:val="nil"/>
              <w:bottom w:val="nil"/>
              <w:right w:val="nil"/>
            </w:tcBorders>
            <w:noWrap/>
            <w:vAlign w:val="center"/>
            <w:hideMark/>
          </w:tcPr>
          <w:p w14:paraId="0D5DBF98" w14:textId="77777777" w:rsidR="00A41313" w:rsidRPr="00A41313" w:rsidRDefault="00A41313" w:rsidP="00A41313">
            <w:pPr>
              <w:jc w:val="both"/>
              <w:rPr>
                <w:b/>
                <w:bCs/>
                <w:color w:val="000000"/>
              </w:rPr>
            </w:pPr>
            <w:r w:rsidRPr="00A41313">
              <w:rPr>
                <w:b/>
                <w:bCs/>
                <w:color w:val="000000"/>
              </w:rPr>
              <w:t>Tablica 1.: Sažetak A. Računa prihoda i rashoda i B. Računa financiranja</w:t>
            </w:r>
          </w:p>
        </w:tc>
      </w:tr>
      <w:tr w:rsidR="00A41313" w:rsidRPr="00A41313" w14:paraId="348C6C28" w14:textId="77777777" w:rsidTr="00BB1392">
        <w:trPr>
          <w:trHeight w:val="1215"/>
          <w:jc w:val="center"/>
        </w:trPr>
        <w:tc>
          <w:tcPr>
            <w:tcW w:w="3620" w:type="dxa"/>
            <w:gridSpan w:val="2"/>
            <w:tcBorders>
              <w:top w:val="single" w:sz="4" w:space="0" w:color="auto"/>
              <w:left w:val="single" w:sz="4" w:space="0" w:color="auto"/>
              <w:bottom w:val="single" w:sz="4" w:space="0" w:color="auto"/>
              <w:right w:val="single" w:sz="4" w:space="0" w:color="auto"/>
            </w:tcBorders>
            <w:vAlign w:val="center"/>
            <w:hideMark/>
          </w:tcPr>
          <w:p w14:paraId="72AD7159" w14:textId="77777777" w:rsidR="00A41313" w:rsidRPr="00A41313" w:rsidRDefault="00A41313" w:rsidP="00A41313">
            <w:pPr>
              <w:jc w:val="center"/>
              <w:rPr>
                <w:color w:val="000000"/>
                <w:sz w:val="12"/>
                <w:szCs w:val="12"/>
              </w:rPr>
            </w:pPr>
            <w:r w:rsidRPr="00A41313">
              <w:rPr>
                <w:color w:val="000000"/>
                <w:sz w:val="12"/>
                <w:szCs w:val="12"/>
              </w:rPr>
              <w:t xml:space="preserve">VRSTA PRIHODA / PRIMITKA </w:t>
            </w:r>
          </w:p>
        </w:tc>
        <w:tc>
          <w:tcPr>
            <w:tcW w:w="1280" w:type="dxa"/>
            <w:tcBorders>
              <w:top w:val="single" w:sz="4" w:space="0" w:color="auto"/>
              <w:left w:val="nil"/>
              <w:bottom w:val="single" w:sz="4" w:space="0" w:color="auto"/>
              <w:right w:val="single" w:sz="4" w:space="0" w:color="auto"/>
            </w:tcBorders>
            <w:vAlign w:val="center"/>
            <w:hideMark/>
          </w:tcPr>
          <w:p w14:paraId="02E2590C" w14:textId="77777777" w:rsidR="00A41313" w:rsidRPr="00A41313" w:rsidRDefault="00A41313" w:rsidP="00A41313">
            <w:pPr>
              <w:jc w:val="center"/>
              <w:rPr>
                <w:color w:val="000000"/>
                <w:sz w:val="12"/>
                <w:szCs w:val="12"/>
              </w:rPr>
            </w:pPr>
            <w:r w:rsidRPr="00A41313">
              <w:rPr>
                <w:color w:val="000000"/>
                <w:sz w:val="12"/>
                <w:szCs w:val="12"/>
              </w:rPr>
              <w:t>IZVRŠENJE PRORAČUNA 2024. GODINA</w:t>
            </w:r>
          </w:p>
        </w:tc>
        <w:tc>
          <w:tcPr>
            <w:tcW w:w="1120" w:type="dxa"/>
            <w:tcBorders>
              <w:top w:val="single" w:sz="4" w:space="0" w:color="auto"/>
              <w:left w:val="nil"/>
              <w:bottom w:val="single" w:sz="4" w:space="0" w:color="auto"/>
              <w:right w:val="single" w:sz="4" w:space="0" w:color="auto"/>
            </w:tcBorders>
            <w:vAlign w:val="center"/>
            <w:hideMark/>
          </w:tcPr>
          <w:p w14:paraId="407EE29F" w14:textId="77777777" w:rsidR="00A41313" w:rsidRPr="00A41313" w:rsidRDefault="00A41313" w:rsidP="00A41313">
            <w:pPr>
              <w:jc w:val="center"/>
              <w:rPr>
                <w:color w:val="000000"/>
                <w:sz w:val="12"/>
                <w:szCs w:val="12"/>
              </w:rPr>
            </w:pPr>
            <w:r w:rsidRPr="00A41313">
              <w:rPr>
                <w:color w:val="000000"/>
                <w:sz w:val="12"/>
                <w:szCs w:val="12"/>
              </w:rPr>
              <w:t>II IZMJENE I DOPUNE 2025. GODINA (IZVORNI PLAN PRORAČUNA 2025.)</w:t>
            </w:r>
          </w:p>
        </w:tc>
        <w:tc>
          <w:tcPr>
            <w:tcW w:w="1120" w:type="dxa"/>
            <w:tcBorders>
              <w:top w:val="single" w:sz="4" w:space="0" w:color="auto"/>
              <w:left w:val="nil"/>
              <w:bottom w:val="single" w:sz="4" w:space="0" w:color="auto"/>
              <w:right w:val="single" w:sz="4" w:space="0" w:color="auto"/>
            </w:tcBorders>
            <w:vAlign w:val="center"/>
            <w:hideMark/>
          </w:tcPr>
          <w:p w14:paraId="5EC8CF9E" w14:textId="77777777" w:rsidR="00A41313" w:rsidRPr="00A41313" w:rsidRDefault="00A41313" w:rsidP="00A41313">
            <w:pPr>
              <w:jc w:val="center"/>
              <w:rPr>
                <w:color w:val="000000"/>
                <w:sz w:val="12"/>
                <w:szCs w:val="12"/>
              </w:rPr>
            </w:pPr>
            <w:r w:rsidRPr="00A41313">
              <w:rPr>
                <w:color w:val="000000"/>
                <w:sz w:val="12"/>
                <w:szCs w:val="12"/>
              </w:rPr>
              <w:t xml:space="preserve"> PRERASPODJELA PRORAČUNA 2025.                     (TEKUĆI PLAN PRORAČUNA 2025.)</w:t>
            </w:r>
          </w:p>
        </w:tc>
        <w:tc>
          <w:tcPr>
            <w:tcW w:w="1060" w:type="dxa"/>
            <w:tcBorders>
              <w:top w:val="single" w:sz="4" w:space="0" w:color="auto"/>
              <w:left w:val="nil"/>
              <w:bottom w:val="single" w:sz="4" w:space="0" w:color="auto"/>
              <w:right w:val="single" w:sz="4" w:space="0" w:color="auto"/>
            </w:tcBorders>
            <w:vAlign w:val="center"/>
            <w:hideMark/>
          </w:tcPr>
          <w:p w14:paraId="58D1D9C8" w14:textId="77777777" w:rsidR="00A41313" w:rsidRPr="00A41313" w:rsidRDefault="00A41313" w:rsidP="00A41313">
            <w:pPr>
              <w:jc w:val="center"/>
              <w:rPr>
                <w:color w:val="000000"/>
                <w:sz w:val="12"/>
                <w:szCs w:val="12"/>
              </w:rPr>
            </w:pPr>
            <w:r w:rsidRPr="00A41313">
              <w:rPr>
                <w:color w:val="000000"/>
                <w:sz w:val="12"/>
                <w:szCs w:val="12"/>
              </w:rPr>
              <w:t>IZVRŠENJE PRORAČUNA 2025. GODINA</w:t>
            </w:r>
          </w:p>
        </w:tc>
        <w:tc>
          <w:tcPr>
            <w:tcW w:w="960" w:type="dxa"/>
            <w:tcBorders>
              <w:top w:val="single" w:sz="4" w:space="0" w:color="auto"/>
              <w:left w:val="nil"/>
              <w:bottom w:val="single" w:sz="4" w:space="0" w:color="auto"/>
              <w:right w:val="single" w:sz="4" w:space="0" w:color="auto"/>
            </w:tcBorders>
            <w:vAlign w:val="center"/>
            <w:hideMark/>
          </w:tcPr>
          <w:p w14:paraId="059CB164" w14:textId="77777777" w:rsidR="00A41313" w:rsidRPr="00A41313" w:rsidRDefault="00A41313" w:rsidP="00A41313">
            <w:pPr>
              <w:jc w:val="center"/>
              <w:rPr>
                <w:color w:val="000000"/>
                <w:sz w:val="12"/>
                <w:szCs w:val="12"/>
              </w:rPr>
            </w:pPr>
            <w:r w:rsidRPr="00A41313">
              <w:rPr>
                <w:color w:val="000000"/>
                <w:sz w:val="12"/>
                <w:szCs w:val="12"/>
              </w:rPr>
              <w:t>INDEKS 2025/2024.</w:t>
            </w:r>
          </w:p>
        </w:tc>
        <w:tc>
          <w:tcPr>
            <w:tcW w:w="960" w:type="dxa"/>
            <w:tcBorders>
              <w:top w:val="single" w:sz="4" w:space="0" w:color="auto"/>
              <w:left w:val="nil"/>
              <w:bottom w:val="single" w:sz="4" w:space="0" w:color="auto"/>
              <w:right w:val="single" w:sz="4" w:space="0" w:color="auto"/>
            </w:tcBorders>
            <w:vAlign w:val="center"/>
            <w:hideMark/>
          </w:tcPr>
          <w:p w14:paraId="674DF3BC" w14:textId="77777777" w:rsidR="00A41313" w:rsidRPr="00A41313" w:rsidRDefault="00A41313" w:rsidP="00A41313">
            <w:pPr>
              <w:jc w:val="center"/>
              <w:rPr>
                <w:color w:val="000000"/>
                <w:sz w:val="12"/>
                <w:szCs w:val="12"/>
              </w:rPr>
            </w:pPr>
            <w:r w:rsidRPr="00A41313">
              <w:rPr>
                <w:color w:val="000000"/>
                <w:sz w:val="12"/>
                <w:szCs w:val="12"/>
              </w:rPr>
              <w:t>INDEKS OSTV/PLAN</w:t>
            </w:r>
          </w:p>
        </w:tc>
      </w:tr>
      <w:tr w:rsidR="00A41313" w:rsidRPr="00A41313" w14:paraId="4FC64F9B" w14:textId="77777777" w:rsidTr="00BB1392">
        <w:trPr>
          <w:trHeight w:val="160"/>
          <w:jc w:val="center"/>
        </w:trPr>
        <w:tc>
          <w:tcPr>
            <w:tcW w:w="3620" w:type="dxa"/>
            <w:gridSpan w:val="2"/>
            <w:tcBorders>
              <w:top w:val="single" w:sz="4" w:space="0" w:color="auto"/>
              <w:left w:val="single" w:sz="4" w:space="0" w:color="auto"/>
              <w:bottom w:val="single" w:sz="4" w:space="0" w:color="auto"/>
              <w:right w:val="single" w:sz="4" w:space="0" w:color="auto"/>
            </w:tcBorders>
            <w:noWrap/>
            <w:vAlign w:val="center"/>
            <w:hideMark/>
          </w:tcPr>
          <w:p w14:paraId="0A1E13D9" w14:textId="77777777" w:rsidR="00A41313" w:rsidRPr="00A41313" w:rsidRDefault="00A41313" w:rsidP="00A41313">
            <w:pPr>
              <w:jc w:val="center"/>
              <w:rPr>
                <w:i/>
                <w:iCs/>
                <w:color w:val="000000"/>
                <w:sz w:val="12"/>
                <w:szCs w:val="12"/>
              </w:rPr>
            </w:pPr>
            <w:r w:rsidRPr="00A41313">
              <w:rPr>
                <w:i/>
                <w:iCs/>
                <w:color w:val="000000"/>
                <w:sz w:val="12"/>
                <w:szCs w:val="12"/>
              </w:rPr>
              <w:t>1</w:t>
            </w:r>
          </w:p>
        </w:tc>
        <w:tc>
          <w:tcPr>
            <w:tcW w:w="1280" w:type="dxa"/>
            <w:tcBorders>
              <w:top w:val="nil"/>
              <w:left w:val="nil"/>
              <w:bottom w:val="single" w:sz="4" w:space="0" w:color="auto"/>
              <w:right w:val="single" w:sz="4" w:space="0" w:color="auto"/>
            </w:tcBorders>
            <w:noWrap/>
            <w:vAlign w:val="center"/>
            <w:hideMark/>
          </w:tcPr>
          <w:p w14:paraId="3EEC3317" w14:textId="77777777" w:rsidR="00A41313" w:rsidRPr="00A41313" w:rsidRDefault="00A41313" w:rsidP="00A41313">
            <w:pPr>
              <w:jc w:val="center"/>
              <w:rPr>
                <w:i/>
                <w:iCs/>
                <w:color w:val="000000"/>
                <w:sz w:val="12"/>
                <w:szCs w:val="12"/>
              </w:rPr>
            </w:pPr>
            <w:r w:rsidRPr="00A41313">
              <w:rPr>
                <w:i/>
                <w:iCs/>
                <w:color w:val="000000"/>
                <w:sz w:val="12"/>
                <w:szCs w:val="12"/>
              </w:rPr>
              <w:t>2</w:t>
            </w:r>
          </w:p>
        </w:tc>
        <w:tc>
          <w:tcPr>
            <w:tcW w:w="1120" w:type="dxa"/>
            <w:tcBorders>
              <w:top w:val="nil"/>
              <w:left w:val="nil"/>
              <w:bottom w:val="single" w:sz="4" w:space="0" w:color="auto"/>
              <w:right w:val="single" w:sz="4" w:space="0" w:color="auto"/>
            </w:tcBorders>
            <w:noWrap/>
            <w:vAlign w:val="center"/>
            <w:hideMark/>
          </w:tcPr>
          <w:p w14:paraId="0670C93C" w14:textId="77777777" w:rsidR="00A41313" w:rsidRPr="00A41313" w:rsidRDefault="00A41313" w:rsidP="00A41313">
            <w:pPr>
              <w:jc w:val="center"/>
              <w:rPr>
                <w:i/>
                <w:iCs/>
                <w:color w:val="000000"/>
                <w:sz w:val="12"/>
                <w:szCs w:val="12"/>
              </w:rPr>
            </w:pPr>
            <w:r w:rsidRPr="00A41313">
              <w:rPr>
                <w:i/>
                <w:iCs/>
                <w:color w:val="000000"/>
                <w:sz w:val="12"/>
                <w:szCs w:val="12"/>
              </w:rPr>
              <w:t>3</w:t>
            </w:r>
          </w:p>
        </w:tc>
        <w:tc>
          <w:tcPr>
            <w:tcW w:w="1120" w:type="dxa"/>
            <w:tcBorders>
              <w:top w:val="nil"/>
              <w:left w:val="nil"/>
              <w:bottom w:val="single" w:sz="4" w:space="0" w:color="auto"/>
              <w:right w:val="single" w:sz="4" w:space="0" w:color="auto"/>
            </w:tcBorders>
            <w:noWrap/>
            <w:vAlign w:val="center"/>
            <w:hideMark/>
          </w:tcPr>
          <w:p w14:paraId="2FE4A80A" w14:textId="77777777" w:rsidR="00A41313" w:rsidRPr="00A41313" w:rsidRDefault="00A41313" w:rsidP="00A41313">
            <w:pPr>
              <w:jc w:val="center"/>
              <w:rPr>
                <w:i/>
                <w:iCs/>
                <w:color w:val="000000"/>
                <w:sz w:val="12"/>
                <w:szCs w:val="12"/>
              </w:rPr>
            </w:pPr>
            <w:r w:rsidRPr="00A41313">
              <w:rPr>
                <w:i/>
                <w:iCs/>
                <w:color w:val="000000"/>
                <w:sz w:val="12"/>
                <w:szCs w:val="12"/>
              </w:rPr>
              <w:t>4</w:t>
            </w:r>
          </w:p>
        </w:tc>
        <w:tc>
          <w:tcPr>
            <w:tcW w:w="1060" w:type="dxa"/>
            <w:tcBorders>
              <w:top w:val="nil"/>
              <w:left w:val="nil"/>
              <w:bottom w:val="single" w:sz="4" w:space="0" w:color="auto"/>
              <w:right w:val="single" w:sz="4" w:space="0" w:color="auto"/>
            </w:tcBorders>
            <w:noWrap/>
            <w:vAlign w:val="center"/>
            <w:hideMark/>
          </w:tcPr>
          <w:p w14:paraId="720F45AC" w14:textId="77777777" w:rsidR="00A41313" w:rsidRPr="00A41313" w:rsidRDefault="00A41313" w:rsidP="00A41313">
            <w:pPr>
              <w:jc w:val="center"/>
              <w:rPr>
                <w:i/>
                <w:iCs/>
                <w:color w:val="000000"/>
                <w:sz w:val="12"/>
                <w:szCs w:val="12"/>
              </w:rPr>
            </w:pPr>
            <w:r w:rsidRPr="00A41313">
              <w:rPr>
                <w:i/>
                <w:iCs/>
                <w:color w:val="000000"/>
                <w:sz w:val="12"/>
                <w:szCs w:val="12"/>
              </w:rPr>
              <w:t>5</w:t>
            </w:r>
          </w:p>
        </w:tc>
        <w:tc>
          <w:tcPr>
            <w:tcW w:w="960" w:type="dxa"/>
            <w:tcBorders>
              <w:top w:val="nil"/>
              <w:left w:val="nil"/>
              <w:bottom w:val="single" w:sz="4" w:space="0" w:color="auto"/>
              <w:right w:val="single" w:sz="4" w:space="0" w:color="auto"/>
            </w:tcBorders>
            <w:noWrap/>
            <w:vAlign w:val="center"/>
            <w:hideMark/>
          </w:tcPr>
          <w:p w14:paraId="4EF0C09C" w14:textId="77777777" w:rsidR="00A41313" w:rsidRPr="00A41313" w:rsidRDefault="00A41313" w:rsidP="00A41313">
            <w:pPr>
              <w:jc w:val="center"/>
              <w:rPr>
                <w:i/>
                <w:iCs/>
                <w:color w:val="000000"/>
                <w:sz w:val="12"/>
                <w:szCs w:val="12"/>
              </w:rPr>
            </w:pPr>
            <w:r w:rsidRPr="00A41313">
              <w:rPr>
                <w:i/>
                <w:iCs/>
                <w:color w:val="000000"/>
                <w:sz w:val="12"/>
                <w:szCs w:val="12"/>
              </w:rPr>
              <w:t>6 (5/2)</w:t>
            </w:r>
          </w:p>
        </w:tc>
        <w:tc>
          <w:tcPr>
            <w:tcW w:w="960" w:type="dxa"/>
            <w:tcBorders>
              <w:top w:val="nil"/>
              <w:left w:val="nil"/>
              <w:bottom w:val="single" w:sz="4" w:space="0" w:color="auto"/>
              <w:right w:val="single" w:sz="4" w:space="0" w:color="auto"/>
            </w:tcBorders>
            <w:noWrap/>
            <w:vAlign w:val="center"/>
            <w:hideMark/>
          </w:tcPr>
          <w:p w14:paraId="0519F485" w14:textId="77777777" w:rsidR="00A41313" w:rsidRPr="00A41313" w:rsidRDefault="00A41313" w:rsidP="00A41313">
            <w:pPr>
              <w:jc w:val="center"/>
              <w:rPr>
                <w:i/>
                <w:iCs/>
                <w:color w:val="000000"/>
                <w:sz w:val="12"/>
                <w:szCs w:val="12"/>
              </w:rPr>
            </w:pPr>
            <w:r w:rsidRPr="00A41313">
              <w:rPr>
                <w:i/>
                <w:iCs/>
                <w:color w:val="000000"/>
                <w:sz w:val="12"/>
                <w:szCs w:val="12"/>
              </w:rPr>
              <w:t>7 (5/4)</w:t>
            </w:r>
          </w:p>
        </w:tc>
      </w:tr>
      <w:tr w:rsidR="00A41313" w:rsidRPr="00A41313" w14:paraId="34BC889C" w14:textId="77777777" w:rsidTr="00BB1392">
        <w:trPr>
          <w:trHeight w:val="420"/>
          <w:jc w:val="center"/>
        </w:trPr>
        <w:tc>
          <w:tcPr>
            <w:tcW w:w="3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5E8DD7B" w14:textId="77777777" w:rsidR="00A41313" w:rsidRPr="00A41313" w:rsidRDefault="00A41313" w:rsidP="00A41313">
            <w:pPr>
              <w:rPr>
                <w:color w:val="000000"/>
                <w:sz w:val="18"/>
                <w:szCs w:val="18"/>
              </w:rPr>
            </w:pPr>
            <w:r w:rsidRPr="00A41313">
              <w:rPr>
                <w:color w:val="000000"/>
                <w:sz w:val="18"/>
                <w:szCs w:val="18"/>
              </w:rPr>
              <w:t>Prihodi poslovanja</w:t>
            </w:r>
          </w:p>
        </w:tc>
        <w:tc>
          <w:tcPr>
            <w:tcW w:w="1280" w:type="dxa"/>
            <w:tcBorders>
              <w:top w:val="nil"/>
              <w:left w:val="nil"/>
              <w:bottom w:val="single" w:sz="4" w:space="0" w:color="auto"/>
              <w:right w:val="single" w:sz="4" w:space="0" w:color="auto"/>
            </w:tcBorders>
            <w:noWrap/>
            <w:vAlign w:val="center"/>
            <w:hideMark/>
          </w:tcPr>
          <w:p w14:paraId="518567F0" w14:textId="77777777" w:rsidR="00A41313" w:rsidRPr="00A41313" w:rsidRDefault="00A41313" w:rsidP="00A41313">
            <w:pPr>
              <w:jc w:val="right"/>
              <w:rPr>
                <w:color w:val="000000"/>
                <w:sz w:val="16"/>
                <w:szCs w:val="16"/>
              </w:rPr>
            </w:pPr>
            <w:r w:rsidRPr="00A41313">
              <w:rPr>
                <w:color w:val="000000"/>
                <w:sz w:val="16"/>
                <w:szCs w:val="16"/>
              </w:rPr>
              <w:t>5.807.544,36</w:t>
            </w:r>
          </w:p>
        </w:tc>
        <w:tc>
          <w:tcPr>
            <w:tcW w:w="1120" w:type="dxa"/>
            <w:tcBorders>
              <w:top w:val="nil"/>
              <w:left w:val="nil"/>
              <w:bottom w:val="single" w:sz="4" w:space="0" w:color="auto"/>
              <w:right w:val="single" w:sz="4" w:space="0" w:color="auto"/>
            </w:tcBorders>
            <w:shd w:val="clear" w:color="000000" w:fill="FFFFFF"/>
            <w:noWrap/>
            <w:vAlign w:val="center"/>
            <w:hideMark/>
          </w:tcPr>
          <w:p w14:paraId="05F13B22" w14:textId="77777777" w:rsidR="00A41313" w:rsidRPr="00A41313" w:rsidRDefault="00A41313" w:rsidP="00A41313">
            <w:pPr>
              <w:jc w:val="right"/>
              <w:rPr>
                <w:color w:val="000000"/>
                <w:sz w:val="16"/>
                <w:szCs w:val="16"/>
              </w:rPr>
            </w:pPr>
            <w:r w:rsidRPr="00A41313">
              <w:rPr>
                <w:color w:val="000000"/>
                <w:sz w:val="16"/>
                <w:szCs w:val="16"/>
              </w:rPr>
              <w:t>5.662.816,18</w:t>
            </w:r>
          </w:p>
        </w:tc>
        <w:tc>
          <w:tcPr>
            <w:tcW w:w="1120" w:type="dxa"/>
            <w:tcBorders>
              <w:top w:val="nil"/>
              <w:left w:val="nil"/>
              <w:bottom w:val="single" w:sz="4" w:space="0" w:color="auto"/>
              <w:right w:val="single" w:sz="4" w:space="0" w:color="auto"/>
            </w:tcBorders>
            <w:shd w:val="clear" w:color="000000" w:fill="FFFFFF"/>
            <w:noWrap/>
            <w:vAlign w:val="center"/>
            <w:hideMark/>
          </w:tcPr>
          <w:p w14:paraId="12762BC5" w14:textId="77777777" w:rsidR="00A41313" w:rsidRPr="00A41313" w:rsidRDefault="00A41313" w:rsidP="00A41313">
            <w:pPr>
              <w:jc w:val="right"/>
              <w:rPr>
                <w:color w:val="000000"/>
                <w:sz w:val="16"/>
                <w:szCs w:val="16"/>
              </w:rPr>
            </w:pPr>
            <w:r w:rsidRPr="00A41313">
              <w:rPr>
                <w:color w:val="000000"/>
                <w:sz w:val="16"/>
                <w:szCs w:val="16"/>
              </w:rPr>
              <w:t>5.662.816,18</w:t>
            </w:r>
          </w:p>
        </w:tc>
        <w:tc>
          <w:tcPr>
            <w:tcW w:w="1060" w:type="dxa"/>
            <w:tcBorders>
              <w:top w:val="nil"/>
              <w:left w:val="nil"/>
              <w:bottom w:val="single" w:sz="4" w:space="0" w:color="auto"/>
              <w:right w:val="single" w:sz="4" w:space="0" w:color="auto"/>
            </w:tcBorders>
            <w:noWrap/>
            <w:vAlign w:val="center"/>
            <w:hideMark/>
          </w:tcPr>
          <w:p w14:paraId="5A79E2AE" w14:textId="77777777" w:rsidR="00A41313" w:rsidRPr="00A41313" w:rsidRDefault="00A41313" w:rsidP="00A41313">
            <w:pPr>
              <w:jc w:val="right"/>
              <w:rPr>
                <w:color w:val="000000"/>
                <w:sz w:val="16"/>
                <w:szCs w:val="16"/>
              </w:rPr>
            </w:pPr>
            <w:r w:rsidRPr="00A41313">
              <w:rPr>
                <w:color w:val="000000"/>
                <w:sz w:val="16"/>
                <w:szCs w:val="16"/>
              </w:rPr>
              <w:t>5.877.215,42</w:t>
            </w:r>
          </w:p>
        </w:tc>
        <w:tc>
          <w:tcPr>
            <w:tcW w:w="960" w:type="dxa"/>
            <w:tcBorders>
              <w:top w:val="nil"/>
              <w:left w:val="nil"/>
              <w:bottom w:val="single" w:sz="4" w:space="0" w:color="auto"/>
              <w:right w:val="single" w:sz="4" w:space="0" w:color="auto"/>
            </w:tcBorders>
            <w:noWrap/>
            <w:vAlign w:val="center"/>
            <w:hideMark/>
          </w:tcPr>
          <w:p w14:paraId="10FA1D4F" w14:textId="77777777" w:rsidR="00A41313" w:rsidRPr="00A41313" w:rsidRDefault="00A41313" w:rsidP="00A41313">
            <w:pPr>
              <w:jc w:val="right"/>
              <w:rPr>
                <w:color w:val="000000"/>
                <w:sz w:val="16"/>
                <w:szCs w:val="16"/>
              </w:rPr>
            </w:pPr>
            <w:r w:rsidRPr="00A41313">
              <w:rPr>
                <w:color w:val="000000"/>
                <w:sz w:val="16"/>
                <w:szCs w:val="16"/>
              </w:rPr>
              <w:t>101,20%</w:t>
            </w:r>
          </w:p>
        </w:tc>
        <w:tc>
          <w:tcPr>
            <w:tcW w:w="960" w:type="dxa"/>
            <w:tcBorders>
              <w:top w:val="nil"/>
              <w:left w:val="nil"/>
              <w:bottom w:val="single" w:sz="4" w:space="0" w:color="auto"/>
              <w:right w:val="single" w:sz="4" w:space="0" w:color="auto"/>
            </w:tcBorders>
            <w:shd w:val="clear" w:color="000000" w:fill="FFFFFF"/>
            <w:noWrap/>
            <w:vAlign w:val="center"/>
            <w:hideMark/>
          </w:tcPr>
          <w:p w14:paraId="664308FC" w14:textId="77777777" w:rsidR="00A41313" w:rsidRPr="00A41313" w:rsidRDefault="00A41313" w:rsidP="00A41313">
            <w:pPr>
              <w:jc w:val="right"/>
              <w:rPr>
                <w:color w:val="000000"/>
                <w:sz w:val="16"/>
                <w:szCs w:val="16"/>
              </w:rPr>
            </w:pPr>
            <w:r w:rsidRPr="00A41313">
              <w:rPr>
                <w:color w:val="000000"/>
                <w:sz w:val="16"/>
                <w:szCs w:val="16"/>
              </w:rPr>
              <w:t>103,79%</w:t>
            </w:r>
          </w:p>
        </w:tc>
      </w:tr>
      <w:tr w:rsidR="00A41313" w:rsidRPr="00A41313" w14:paraId="1D2BC8FF" w14:textId="77777777" w:rsidTr="00BB1392">
        <w:trPr>
          <w:trHeight w:val="300"/>
          <w:jc w:val="center"/>
        </w:trPr>
        <w:tc>
          <w:tcPr>
            <w:tcW w:w="3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FD19313" w14:textId="77777777" w:rsidR="00A41313" w:rsidRPr="00A41313" w:rsidRDefault="00A41313" w:rsidP="00A41313">
            <w:pPr>
              <w:rPr>
                <w:color w:val="000000"/>
                <w:sz w:val="18"/>
                <w:szCs w:val="18"/>
              </w:rPr>
            </w:pPr>
            <w:r w:rsidRPr="00A41313">
              <w:rPr>
                <w:color w:val="000000"/>
                <w:sz w:val="18"/>
                <w:szCs w:val="18"/>
              </w:rPr>
              <w:t>Prihodi od prodaje nefinancijske imovine</w:t>
            </w:r>
          </w:p>
        </w:tc>
        <w:tc>
          <w:tcPr>
            <w:tcW w:w="1280" w:type="dxa"/>
            <w:tcBorders>
              <w:top w:val="nil"/>
              <w:left w:val="nil"/>
              <w:bottom w:val="single" w:sz="4" w:space="0" w:color="auto"/>
              <w:right w:val="single" w:sz="4" w:space="0" w:color="auto"/>
            </w:tcBorders>
            <w:noWrap/>
            <w:vAlign w:val="center"/>
            <w:hideMark/>
          </w:tcPr>
          <w:p w14:paraId="660427E7" w14:textId="77777777" w:rsidR="00A41313" w:rsidRPr="00A41313" w:rsidRDefault="00A41313" w:rsidP="00A41313">
            <w:pPr>
              <w:jc w:val="right"/>
              <w:rPr>
                <w:color w:val="000000"/>
                <w:sz w:val="16"/>
                <w:szCs w:val="16"/>
              </w:rPr>
            </w:pPr>
            <w:r w:rsidRPr="00A41313">
              <w:rPr>
                <w:color w:val="000000"/>
                <w:sz w:val="16"/>
                <w:szCs w:val="16"/>
              </w:rPr>
              <w:t>8.886,01</w:t>
            </w:r>
          </w:p>
        </w:tc>
        <w:tc>
          <w:tcPr>
            <w:tcW w:w="1120" w:type="dxa"/>
            <w:tcBorders>
              <w:top w:val="nil"/>
              <w:left w:val="nil"/>
              <w:bottom w:val="single" w:sz="4" w:space="0" w:color="auto"/>
              <w:right w:val="single" w:sz="4" w:space="0" w:color="auto"/>
            </w:tcBorders>
            <w:shd w:val="clear" w:color="000000" w:fill="FFFFFF"/>
            <w:noWrap/>
            <w:vAlign w:val="center"/>
            <w:hideMark/>
          </w:tcPr>
          <w:p w14:paraId="487BA741" w14:textId="77777777" w:rsidR="00A41313" w:rsidRPr="00A41313" w:rsidRDefault="00A41313" w:rsidP="00A41313">
            <w:pPr>
              <w:jc w:val="right"/>
              <w:rPr>
                <w:color w:val="000000"/>
                <w:sz w:val="16"/>
                <w:szCs w:val="16"/>
              </w:rPr>
            </w:pPr>
            <w:r w:rsidRPr="00A41313">
              <w:rPr>
                <w:color w:val="000000"/>
                <w:sz w:val="16"/>
                <w:szCs w:val="16"/>
              </w:rPr>
              <w:t>1.683.370,00</w:t>
            </w:r>
          </w:p>
        </w:tc>
        <w:tc>
          <w:tcPr>
            <w:tcW w:w="1120" w:type="dxa"/>
            <w:tcBorders>
              <w:top w:val="nil"/>
              <w:left w:val="nil"/>
              <w:bottom w:val="single" w:sz="4" w:space="0" w:color="auto"/>
              <w:right w:val="single" w:sz="4" w:space="0" w:color="auto"/>
            </w:tcBorders>
            <w:shd w:val="clear" w:color="000000" w:fill="FFFFFF"/>
            <w:noWrap/>
            <w:vAlign w:val="center"/>
            <w:hideMark/>
          </w:tcPr>
          <w:p w14:paraId="4ACC3663" w14:textId="77777777" w:rsidR="00A41313" w:rsidRPr="00A41313" w:rsidRDefault="00A41313" w:rsidP="00A41313">
            <w:pPr>
              <w:jc w:val="right"/>
              <w:rPr>
                <w:color w:val="000000"/>
                <w:sz w:val="16"/>
                <w:szCs w:val="16"/>
              </w:rPr>
            </w:pPr>
            <w:r w:rsidRPr="00A41313">
              <w:rPr>
                <w:color w:val="000000"/>
                <w:sz w:val="16"/>
                <w:szCs w:val="16"/>
              </w:rPr>
              <w:t>1.683.370,00</w:t>
            </w:r>
          </w:p>
        </w:tc>
        <w:tc>
          <w:tcPr>
            <w:tcW w:w="1060" w:type="dxa"/>
            <w:tcBorders>
              <w:top w:val="nil"/>
              <w:left w:val="nil"/>
              <w:bottom w:val="single" w:sz="4" w:space="0" w:color="auto"/>
              <w:right w:val="single" w:sz="4" w:space="0" w:color="auto"/>
            </w:tcBorders>
            <w:noWrap/>
            <w:vAlign w:val="center"/>
            <w:hideMark/>
          </w:tcPr>
          <w:p w14:paraId="174F62A3" w14:textId="77777777" w:rsidR="00A41313" w:rsidRPr="00A41313" w:rsidRDefault="00A41313" w:rsidP="00A41313">
            <w:pPr>
              <w:jc w:val="right"/>
              <w:rPr>
                <w:color w:val="000000"/>
                <w:sz w:val="16"/>
                <w:szCs w:val="16"/>
              </w:rPr>
            </w:pPr>
            <w:r w:rsidRPr="00A41313">
              <w:rPr>
                <w:color w:val="000000"/>
                <w:sz w:val="16"/>
                <w:szCs w:val="16"/>
              </w:rPr>
              <w:t>1.632.646,65</w:t>
            </w:r>
          </w:p>
        </w:tc>
        <w:tc>
          <w:tcPr>
            <w:tcW w:w="960" w:type="dxa"/>
            <w:tcBorders>
              <w:top w:val="nil"/>
              <w:left w:val="nil"/>
              <w:bottom w:val="single" w:sz="4" w:space="0" w:color="auto"/>
              <w:right w:val="single" w:sz="4" w:space="0" w:color="auto"/>
            </w:tcBorders>
            <w:noWrap/>
            <w:vAlign w:val="center"/>
            <w:hideMark/>
          </w:tcPr>
          <w:p w14:paraId="5B87C58E" w14:textId="77777777" w:rsidR="00A41313" w:rsidRPr="00A41313" w:rsidRDefault="00A41313" w:rsidP="00A41313">
            <w:pPr>
              <w:jc w:val="right"/>
              <w:rPr>
                <w:color w:val="000000"/>
                <w:sz w:val="16"/>
                <w:szCs w:val="16"/>
              </w:rPr>
            </w:pPr>
            <w:r w:rsidRPr="00A41313">
              <w:rPr>
                <w:color w:val="000000"/>
                <w:sz w:val="16"/>
                <w:szCs w:val="16"/>
              </w:rPr>
              <w:t>18373,23%</w:t>
            </w:r>
          </w:p>
        </w:tc>
        <w:tc>
          <w:tcPr>
            <w:tcW w:w="960" w:type="dxa"/>
            <w:tcBorders>
              <w:top w:val="nil"/>
              <w:left w:val="nil"/>
              <w:bottom w:val="single" w:sz="4" w:space="0" w:color="auto"/>
              <w:right w:val="single" w:sz="4" w:space="0" w:color="auto"/>
            </w:tcBorders>
            <w:shd w:val="clear" w:color="000000" w:fill="FFFFFF"/>
            <w:noWrap/>
            <w:vAlign w:val="center"/>
            <w:hideMark/>
          </w:tcPr>
          <w:p w14:paraId="02B2B739" w14:textId="77777777" w:rsidR="00A41313" w:rsidRPr="00A41313" w:rsidRDefault="00A41313" w:rsidP="00A41313">
            <w:pPr>
              <w:jc w:val="right"/>
              <w:rPr>
                <w:color w:val="000000"/>
                <w:sz w:val="16"/>
                <w:szCs w:val="16"/>
              </w:rPr>
            </w:pPr>
            <w:r w:rsidRPr="00A41313">
              <w:rPr>
                <w:color w:val="000000"/>
                <w:sz w:val="16"/>
                <w:szCs w:val="16"/>
              </w:rPr>
              <w:t>96,99%</w:t>
            </w:r>
          </w:p>
        </w:tc>
      </w:tr>
      <w:tr w:rsidR="00A41313" w:rsidRPr="00A41313" w14:paraId="78D6687A" w14:textId="77777777" w:rsidTr="00BB1392">
        <w:trPr>
          <w:trHeight w:val="458"/>
          <w:jc w:val="center"/>
        </w:trPr>
        <w:tc>
          <w:tcPr>
            <w:tcW w:w="362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CA9676" w14:textId="77777777" w:rsidR="00A41313" w:rsidRPr="00A41313" w:rsidRDefault="00A41313" w:rsidP="00A41313">
            <w:pPr>
              <w:jc w:val="center"/>
              <w:rPr>
                <w:color w:val="000000"/>
                <w:sz w:val="18"/>
                <w:szCs w:val="18"/>
              </w:rPr>
            </w:pPr>
            <w:r w:rsidRPr="00A41313">
              <w:rPr>
                <w:color w:val="000000"/>
                <w:sz w:val="18"/>
                <w:szCs w:val="18"/>
              </w:rPr>
              <w:t>UKUPNO PRIHODI</w:t>
            </w:r>
          </w:p>
        </w:tc>
        <w:tc>
          <w:tcPr>
            <w:tcW w:w="1280" w:type="dxa"/>
            <w:vMerge w:val="restart"/>
            <w:tcBorders>
              <w:top w:val="nil"/>
              <w:left w:val="single" w:sz="4" w:space="0" w:color="auto"/>
              <w:bottom w:val="single" w:sz="4" w:space="0" w:color="auto"/>
              <w:right w:val="single" w:sz="4" w:space="0" w:color="auto"/>
            </w:tcBorders>
            <w:noWrap/>
            <w:vAlign w:val="center"/>
            <w:hideMark/>
          </w:tcPr>
          <w:p w14:paraId="7DFB03B5" w14:textId="77777777" w:rsidR="00A41313" w:rsidRPr="00A41313" w:rsidRDefault="00A41313" w:rsidP="00A41313">
            <w:pPr>
              <w:jc w:val="right"/>
              <w:rPr>
                <w:color w:val="000000"/>
                <w:sz w:val="16"/>
                <w:szCs w:val="16"/>
              </w:rPr>
            </w:pPr>
            <w:r w:rsidRPr="00A41313">
              <w:rPr>
                <w:color w:val="000000"/>
                <w:sz w:val="16"/>
                <w:szCs w:val="16"/>
              </w:rPr>
              <w:t>5.816.430,37</w:t>
            </w:r>
          </w:p>
        </w:tc>
        <w:tc>
          <w:tcPr>
            <w:tcW w:w="1120" w:type="dxa"/>
            <w:vMerge w:val="restart"/>
            <w:tcBorders>
              <w:top w:val="nil"/>
              <w:left w:val="single" w:sz="4" w:space="0" w:color="auto"/>
              <w:bottom w:val="single" w:sz="4" w:space="0" w:color="auto"/>
              <w:right w:val="single" w:sz="4" w:space="0" w:color="auto"/>
            </w:tcBorders>
            <w:noWrap/>
            <w:vAlign w:val="center"/>
            <w:hideMark/>
          </w:tcPr>
          <w:p w14:paraId="21CA249A" w14:textId="77777777" w:rsidR="00A41313" w:rsidRPr="00A41313" w:rsidRDefault="00A41313" w:rsidP="00A41313">
            <w:pPr>
              <w:jc w:val="right"/>
              <w:rPr>
                <w:color w:val="000000"/>
                <w:sz w:val="16"/>
                <w:szCs w:val="16"/>
              </w:rPr>
            </w:pPr>
            <w:r w:rsidRPr="00A41313">
              <w:rPr>
                <w:color w:val="000000"/>
                <w:sz w:val="16"/>
                <w:szCs w:val="16"/>
              </w:rPr>
              <w:t>7.346.186,18</w:t>
            </w:r>
          </w:p>
        </w:tc>
        <w:tc>
          <w:tcPr>
            <w:tcW w:w="1120" w:type="dxa"/>
            <w:vMerge w:val="restart"/>
            <w:tcBorders>
              <w:top w:val="nil"/>
              <w:left w:val="single" w:sz="4" w:space="0" w:color="auto"/>
              <w:bottom w:val="single" w:sz="4" w:space="0" w:color="auto"/>
              <w:right w:val="single" w:sz="4" w:space="0" w:color="auto"/>
            </w:tcBorders>
            <w:noWrap/>
            <w:vAlign w:val="center"/>
            <w:hideMark/>
          </w:tcPr>
          <w:p w14:paraId="62EAE682" w14:textId="77777777" w:rsidR="00A41313" w:rsidRPr="00A41313" w:rsidRDefault="00A41313" w:rsidP="00A41313">
            <w:pPr>
              <w:jc w:val="right"/>
              <w:rPr>
                <w:color w:val="000000"/>
                <w:sz w:val="16"/>
                <w:szCs w:val="16"/>
              </w:rPr>
            </w:pPr>
            <w:r w:rsidRPr="00A41313">
              <w:rPr>
                <w:color w:val="000000"/>
                <w:sz w:val="16"/>
                <w:szCs w:val="16"/>
              </w:rPr>
              <w:t>7.346.186,18</w:t>
            </w:r>
          </w:p>
        </w:tc>
        <w:tc>
          <w:tcPr>
            <w:tcW w:w="1060" w:type="dxa"/>
            <w:vMerge w:val="restart"/>
            <w:tcBorders>
              <w:top w:val="nil"/>
              <w:left w:val="single" w:sz="4" w:space="0" w:color="auto"/>
              <w:bottom w:val="single" w:sz="4" w:space="0" w:color="auto"/>
              <w:right w:val="single" w:sz="4" w:space="0" w:color="auto"/>
            </w:tcBorders>
            <w:noWrap/>
            <w:vAlign w:val="center"/>
            <w:hideMark/>
          </w:tcPr>
          <w:p w14:paraId="6899FCC4" w14:textId="77777777" w:rsidR="00A41313" w:rsidRPr="00A41313" w:rsidRDefault="00A41313" w:rsidP="00A41313">
            <w:pPr>
              <w:jc w:val="right"/>
              <w:rPr>
                <w:color w:val="000000"/>
                <w:sz w:val="16"/>
                <w:szCs w:val="16"/>
              </w:rPr>
            </w:pPr>
            <w:r w:rsidRPr="00A41313">
              <w:rPr>
                <w:color w:val="000000"/>
                <w:sz w:val="16"/>
                <w:szCs w:val="16"/>
              </w:rPr>
              <w:t>7.509.862,07</w:t>
            </w:r>
          </w:p>
        </w:tc>
        <w:tc>
          <w:tcPr>
            <w:tcW w:w="960" w:type="dxa"/>
            <w:vMerge w:val="restart"/>
            <w:tcBorders>
              <w:top w:val="nil"/>
              <w:left w:val="single" w:sz="4" w:space="0" w:color="auto"/>
              <w:bottom w:val="single" w:sz="4" w:space="0" w:color="000000"/>
              <w:right w:val="single" w:sz="4" w:space="0" w:color="auto"/>
            </w:tcBorders>
            <w:noWrap/>
            <w:vAlign w:val="center"/>
            <w:hideMark/>
          </w:tcPr>
          <w:p w14:paraId="7682C87C" w14:textId="77777777" w:rsidR="00A41313" w:rsidRPr="00A41313" w:rsidRDefault="00A41313" w:rsidP="00A41313">
            <w:pPr>
              <w:jc w:val="right"/>
              <w:rPr>
                <w:color w:val="000000"/>
                <w:sz w:val="16"/>
                <w:szCs w:val="16"/>
              </w:rPr>
            </w:pPr>
            <w:r w:rsidRPr="00A41313">
              <w:rPr>
                <w:color w:val="000000"/>
                <w:sz w:val="16"/>
                <w:szCs w:val="16"/>
              </w:rPr>
              <w:t>129,11%</w:t>
            </w:r>
          </w:p>
        </w:tc>
        <w:tc>
          <w:tcPr>
            <w:tcW w:w="960" w:type="dxa"/>
            <w:vMerge w:val="restart"/>
            <w:tcBorders>
              <w:top w:val="nil"/>
              <w:left w:val="single" w:sz="4" w:space="0" w:color="auto"/>
              <w:bottom w:val="single" w:sz="4" w:space="0" w:color="000000"/>
              <w:right w:val="single" w:sz="4" w:space="0" w:color="auto"/>
            </w:tcBorders>
            <w:noWrap/>
            <w:vAlign w:val="center"/>
            <w:hideMark/>
          </w:tcPr>
          <w:p w14:paraId="125242B9" w14:textId="77777777" w:rsidR="00A41313" w:rsidRPr="00A41313" w:rsidRDefault="00A41313" w:rsidP="00A41313">
            <w:pPr>
              <w:jc w:val="right"/>
              <w:rPr>
                <w:color w:val="000000"/>
                <w:sz w:val="16"/>
                <w:szCs w:val="16"/>
              </w:rPr>
            </w:pPr>
            <w:r w:rsidRPr="00A41313">
              <w:rPr>
                <w:color w:val="000000"/>
                <w:sz w:val="16"/>
                <w:szCs w:val="16"/>
              </w:rPr>
              <w:t>102,23%</w:t>
            </w:r>
          </w:p>
        </w:tc>
      </w:tr>
      <w:tr w:rsidR="00A41313" w:rsidRPr="00A41313" w14:paraId="763B0BF0" w14:textId="77777777" w:rsidTr="00BB1392">
        <w:trPr>
          <w:trHeight w:val="458"/>
          <w:jc w:val="center"/>
        </w:trPr>
        <w:tc>
          <w:tcPr>
            <w:tcW w:w="3620" w:type="dxa"/>
            <w:gridSpan w:val="2"/>
            <w:vMerge/>
            <w:tcBorders>
              <w:top w:val="single" w:sz="4" w:space="0" w:color="auto"/>
              <w:left w:val="single" w:sz="4" w:space="0" w:color="auto"/>
              <w:bottom w:val="single" w:sz="4" w:space="0" w:color="auto"/>
              <w:right w:val="single" w:sz="4" w:space="0" w:color="auto"/>
            </w:tcBorders>
            <w:vAlign w:val="center"/>
            <w:hideMark/>
          </w:tcPr>
          <w:p w14:paraId="54731624" w14:textId="77777777" w:rsidR="00A41313" w:rsidRPr="00A41313" w:rsidRDefault="00A41313" w:rsidP="00A41313">
            <w:pPr>
              <w:rPr>
                <w:color w:val="000000"/>
                <w:sz w:val="18"/>
                <w:szCs w:val="18"/>
              </w:rPr>
            </w:pPr>
          </w:p>
        </w:tc>
        <w:tc>
          <w:tcPr>
            <w:tcW w:w="1280" w:type="dxa"/>
            <w:vMerge/>
            <w:tcBorders>
              <w:top w:val="nil"/>
              <w:left w:val="single" w:sz="4" w:space="0" w:color="auto"/>
              <w:bottom w:val="single" w:sz="4" w:space="0" w:color="auto"/>
              <w:right w:val="single" w:sz="4" w:space="0" w:color="auto"/>
            </w:tcBorders>
            <w:vAlign w:val="center"/>
            <w:hideMark/>
          </w:tcPr>
          <w:p w14:paraId="5E254CCD" w14:textId="77777777" w:rsidR="00A41313" w:rsidRPr="00A41313" w:rsidRDefault="00A41313" w:rsidP="00A41313">
            <w:pPr>
              <w:rPr>
                <w:color w:val="000000"/>
                <w:sz w:val="16"/>
                <w:szCs w:val="16"/>
              </w:rPr>
            </w:pPr>
          </w:p>
        </w:tc>
        <w:tc>
          <w:tcPr>
            <w:tcW w:w="1120" w:type="dxa"/>
            <w:vMerge/>
            <w:tcBorders>
              <w:top w:val="nil"/>
              <w:left w:val="single" w:sz="4" w:space="0" w:color="auto"/>
              <w:bottom w:val="single" w:sz="4" w:space="0" w:color="auto"/>
              <w:right w:val="single" w:sz="4" w:space="0" w:color="auto"/>
            </w:tcBorders>
            <w:vAlign w:val="center"/>
            <w:hideMark/>
          </w:tcPr>
          <w:p w14:paraId="580039A0" w14:textId="77777777" w:rsidR="00A41313" w:rsidRPr="00A41313" w:rsidRDefault="00A41313" w:rsidP="00A41313">
            <w:pPr>
              <w:rPr>
                <w:color w:val="000000"/>
                <w:sz w:val="16"/>
                <w:szCs w:val="16"/>
              </w:rPr>
            </w:pPr>
          </w:p>
        </w:tc>
        <w:tc>
          <w:tcPr>
            <w:tcW w:w="1120" w:type="dxa"/>
            <w:vMerge/>
            <w:tcBorders>
              <w:top w:val="nil"/>
              <w:left w:val="single" w:sz="4" w:space="0" w:color="auto"/>
              <w:bottom w:val="single" w:sz="4" w:space="0" w:color="auto"/>
              <w:right w:val="single" w:sz="4" w:space="0" w:color="auto"/>
            </w:tcBorders>
            <w:vAlign w:val="center"/>
            <w:hideMark/>
          </w:tcPr>
          <w:p w14:paraId="1BAF9135" w14:textId="77777777" w:rsidR="00A41313" w:rsidRPr="00A41313" w:rsidRDefault="00A41313" w:rsidP="00A41313">
            <w:pPr>
              <w:rPr>
                <w:color w:val="000000"/>
                <w:sz w:val="16"/>
                <w:szCs w:val="16"/>
              </w:rPr>
            </w:pPr>
          </w:p>
        </w:tc>
        <w:tc>
          <w:tcPr>
            <w:tcW w:w="1060" w:type="dxa"/>
            <w:vMerge/>
            <w:tcBorders>
              <w:top w:val="nil"/>
              <w:left w:val="single" w:sz="4" w:space="0" w:color="auto"/>
              <w:bottom w:val="single" w:sz="4" w:space="0" w:color="auto"/>
              <w:right w:val="single" w:sz="4" w:space="0" w:color="auto"/>
            </w:tcBorders>
            <w:vAlign w:val="center"/>
            <w:hideMark/>
          </w:tcPr>
          <w:p w14:paraId="39626F2D" w14:textId="77777777" w:rsidR="00A41313" w:rsidRPr="00A41313" w:rsidRDefault="00A41313" w:rsidP="00A41313">
            <w:pPr>
              <w:rPr>
                <w:color w:val="000000"/>
                <w:sz w:val="16"/>
                <w:szCs w:val="16"/>
              </w:rPr>
            </w:pPr>
          </w:p>
        </w:tc>
        <w:tc>
          <w:tcPr>
            <w:tcW w:w="960" w:type="dxa"/>
            <w:vMerge/>
            <w:tcBorders>
              <w:top w:val="nil"/>
              <w:left w:val="single" w:sz="4" w:space="0" w:color="auto"/>
              <w:bottom w:val="single" w:sz="4" w:space="0" w:color="000000"/>
              <w:right w:val="single" w:sz="4" w:space="0" w:color="auto"/>
            </w:tcBorders>
            <w:vAlign w:val="center"/>
            <w:hideMark/>
          </w:tcPr>
          <w:p w14:paraId="104FF1C9" w14:textId="77777777" w:rsidR="00A41313" w:rsidRPr="00A41313" w:rsidRDefault="00A41313" w:rsidP="00A41313">
            <w:pPr>
              <w:rPr>
                <w:color w:val="000000"/>
                <w:sz w:val="16"/>
                <w:szCs w:val="16"/>
              </w:rPr>
            </w:pPr>
          </w:p>
        </w:tc>
        <w:tc>
          <w:tcPr>
            <w:tcW w:w="960" w:type="dxa"/>
            <w:vMerge/>
            <w:tcBorders>
              <w:top w:val="nil"/>
              <w:left w:val="single" w:sz="4" w:space="0" w:color="auto"/>
              <w:bottom w:val="single" w:sz="4" w:space="0" w:color="000000"/>
              <w:right w:val="single" w:sz="4" w:space="0" w:color="auto"/>
            </w:tcBorders>
            <w:vAlign w:val="center"/>
            <w:hideMark/>
          </w:tcPr>
          <w:p w14:paraId="65FB56BA" w14:textId="77777777" w:rsidR="00A41313" w:rsidRPr="00A41313" w:rsidRDefault="00A41313" w:rsidP="00A41313">
            <w:pPr>
              <w:rPr>
                <w:color w:val="000000"/>
                <w:sz w:val="16"/>
                <w:szCs w:val="16"/>
              </w:rPr>
            </w:pPr>
          </w:p>
        </w:tc>
      </w:tr>
      <w:tr w:rsidR="00A41313" w:rsidRPr="00A41313" w14:paraId="57D2C9EF" w14:textId="77777777" w:rsidTr="00BB1392">
        <w:trPr>
          <w:trHeight w:val="345"/>
          <w:jc w:val="center"/>
        </w:trPr>
        <w:tc>
          <w:tcPr>
            <w:tcW w:w="3620" w:type="dxa"/>
            <w:gridSpan w:val="2"/>
            <w:tcBorders>
              <w:top w:val="nil"/>
              <w:left w:val="nil"/>
              <w:bottom w:val="nil"/>
              <w:right w:val="nil"/>
            </w:tcBorders>
            <w:shd w:val="clear" w:color="000000" w:fill="FFFFFF"/>
            <w:vAlign w:val="center"/>
            <w:hideMark/>
          </w:tcPr>
          <w:p w14:paraId="5245E561" w14:textId="77777777" w:rsidR="00A41313" w:rsidRPr="00A41313" w:rsidRDefault="00A41313" w:rsidP="00A41313">
            <w:pPr>
              <w:rPr>
                <w:color w:val="000000"/>
                <w:sz w:val="18"/>
                <w:szCs w:val="18"/>
              </w:rPr>
            </w:pPr>
            <w:r w:rsidRPr="00A41313">
              <w:rPr>
                <w:color w:val="000000"/>
                <w:sz w:val="18"/>
                <w:szCs w:val="18"/>
              </w:rPr>
              <w:t> </w:t>
            </w:r>
          </w:p>
        </w:tc>
        <w:tc>
          <w:tcPr>
            <w:tcW w:w="1280" w:type="dxa"/>
            <w:tcBorders>
              <w:top w:val="nil"/>
              <w:left w:val="nil"/>
              <w:bottom w:val="nil"/>
              <w:right w:val="nil"/>
            </w:tcBorders>
            <w:noWrap/>
            <w:vAlign w:val="center"/>
            <w:hideMark/>
          </w:tcPr>
          <w:p w14:paraId="5E7DA95B" w14:textId="77777777" w:rsidR="00A41313" w:rsidRPr="00A41313" w:rsidRDefault="00A41313" w:rsidP="00A41313">
            <w:pPr>
              <w:rPr>
                <w:rFonts w:ascii="Cambria Math" w:hAnsi="Cambria Math" w:cs="Calibri"/>
                <w:color w:val="000000"/>
                <w:sz w:val="20"/>
                <w:szCs w:val="20"/>
              </w:rPr>
            </w:pPr>
          </w:p>
        </w:tc>
        <w:tc>
          <w:tcPr>
            <w:tcW w:w="1120" w:type="dxa"/>
            <w:tcBorders>
              <w:top w:val="nil"/>
              <w:left w:val="nil"/>
              <w:bottom w:val="nil"/>
              <w:right w:val="nil"/>
            </w:tcBorders>
            <w:shd w:val="clear" w:color="000000" w:fill="FFFFFF"/>
            <w:noWrap/>
            <w:vAlign w:val="center"/>
            <w:hideMark/>
          </w:tcPr>
          <w:p w14:paraId="15D6F036" w14:textId="77777777" w:rsidR="00A41313" w:rsidRPr="00A41313" w:rsidRDefault="00A41313" w:rsidP="00A41313">
            <w:pPr>
              <w:jc w:val="right"/>
              <w:rPr>
                <w:color w:val="000000"/>
                <w:sz w:val="16"/>
                <w:szCs w:val="16"/>
              </w:rPr>
            </w:pPr>
            <w:r w:rsidRPr="00A41313">
              <w:rPr>
                <w:color w:val="000000"/>
                <w:sz w:val="16"/>
                <w:szCs w:val="16"/>
              </w:rPr>
              <w:t> </w:t>
            </w:r>
          </w:p>
        </w:tc>
        <w:tc>
          <w:tcPr>
            <w:tcW w:w="1120" w:type="dxa"/>
            <w:tcBorders>
              <w:top w:val="nil"/>
              <w:left w:val="nil"/>
              <w:bottom w:val="nil"/>
              <w:right w:val="nil"/>
            </w:tcBorders>
            <w:shd w:val="clear" w:color="000000" w:fill="FFFFFF"/>
            <w:noWrap/>
            <w:vAlign w:val="center"/>
            <w:hideMark/>
          </w:tcPr>
          <w:p w14:paraId="71CA0D86" w14:textId="77777777" w:rsidR="00A41313" w:rsidRPr="00A41313" w:rsidRDefault="00A41313" w:rsidP="00A41313">
            <w:pPr>
              <w:jc w:val="right"/>
              <w:rPr>
                <w:color w:val="000000"/>
                <w:sz w:val="16"/>
                <w:szCs w:val="16"/>
              </w:rPr>
            </w:pPr>
            <w:r w:rsidRPr="00A41313">
              <w:rPr>
                <w:color w:val="000000"/>
                <w:sz w:val="16"/>
                <w:szCs w:val="16"/>
              </w:rPr>
              <w:t> </w:t>
            </w:r>
          </w:p>
        </w:tc>
        <w:tc>
          <w:tcPr>
            <w:tcW w:w="1060" w:type="dxa"/>
            <w:tcBorders>
              <w:top w:val="nil"/>
              <w:left w:val="nil"/>
              <w:bottom w:val="nil"/>
              <w:right w:val="nil"/>
            </w:tcBorders>
            <w:noWrap/>
            <w:vAlign w:val="center"/>
            <w:hideMark/>
          </w:tcPr>
          <w:p w14:paraId="6F75B993" w14:textId="77777777" w:rsidR="00A41313" w:rsidRPr="00A41313" w:rsidRDefault="00A41313" w:rsidP="00A41313">
            <w:pPr>
              <w:rPr>
                <w:rFonts w:ascii="Cambria Math" w:hAnsi="Cambria Math" w:cs="Calibri"/>
                <w:color w:val="000000"/>
                <w:sz w:val="20"/>
                <w:szCs w:val="20"/>
              </w:rPr>
            </w:pPr>
          </w:p>
        </w:tc>
        <w:tc>
          <w:tcPr>
            <w:tcW w:w="960" w:type="dxa"/>
            <w:tcBorders>
              <w:top w:val="nil"/>
              <w:left w:val="nil"/>
              <w:bottom w:val="nil"/>
              <w:right w:val="nil"/>
            </w:tcBorders>
            <w:noWrap/>
            <w:vAlign w:val="center"/>
            <w:hideMark/>
          </w:tcPr>
          <w:p w14:paraId="125D2BD3" w14:textId="77777777" w:rsidR="00A41313" w:rsidRPr="00A41313" w:rsidRDefault="00A41313" w:rsidP="00A41313">
            <w:pPr>
              <w:rPr>
                <w:rFonts w:ascii="Cambria Math" w:hAnsi="Cambria Math" w:cs="Calibri"/>
                <w:color w:val="000000"/>
                <w:sz w:val="20"/>
                <w:szCs w:val="20"/>
              </w:rPr>
            </w:pPr>
          </w:p>
        </w:tc>
        <w:tc>
          <w:tcPr>
            <w:tcW w:w="960" w:type="dxa"/>
            <w:tcBorders>
              <w:top w:val="nil"/>
              <w:left w:val="nil"/>
              <w:bottom w:val="nil"/>
              <w:right w:val="nil"/>
            </w:tcBorders>
            <w:shd w:val="clear" w:color="000000" w:fill="FFFFFF"/>
            <w:noWrap/>
            <w:vAlign w:val="center"/>
            <w:hideMark/>
          </w:tcPr>
          <w:p w14:paraId="1B66F507" w14:textId="77777777" w:rsidR="00A41313" w:rsidRPr="00A41313" w:rsidRDefault="00A41313" w:rsidP="00A41313">
            <w:pPr>
              <w:jc w:val="right"/>
              <w:rPr>
                <w:color w:val="000000"/>
                <w:sz w:val="16"/>
                <w:szCs w:val="16"/>
              </w:rPr>
            </w:pPr>
            <w:r w:rsidRPr="00A41313">
              <w:rPr>
                <w:color w:val="000000"/>
                <w:sz w:val="16"/>
                <w:szCs w:val="16"/>
              </w:rPr>
              <w:t> </w:t>
            </w:r>
          </w:p>
        </w:tc>
      </w:tr>
      <w:tr w:rsidR="00A41313" w:rsidRPr="00A41313" w14:paraId="055E3297" w14:textId="77777777" w:rsidTr="00BB1392">
        <w:trPr>
          <w:trHeight w:val="450"/>
          <w:jc w:val="center"/>
        </w:trPr>
        <w:tc>
          <w:tcPr>
            <w:tcW w:w="3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C99BF19" w14:textId="77777777" w:rsidR="00A41313" w:rsidRPr="00A41313" w:rsidRDefault="00A41313" w:rsidP="00A41313">
            <w:pPr>
              <w:rPr>
                <w:color w:val="000000"/>
                <w:sz w:val="18"/>
                <w:szCs w:val="18"/>
              </w:rPr>
            </w:pPr>
            <w:r w:rsidRPr="00A41313">
              <w:rPr>
                <w:color w:val="000000"/>
                <w:sz w:val="18"/>
                <w:szCs w:val="18"/>
              </w:rPr>
              <w:lastRenderedPageBreak/>
              <w:t>Rashodi poslovanja</w:t>
            </w:r>
          </w:p>
        </w:tc>
        <w:tc>
          <w:tcPr>
            <w:tcW w:w="1280" w:type="dxa"/>
            <w:tcBorders>
              <w:top w:val="single" w:sz="4" w:space="0" w:color="auto"/>
              <w:left w:val="nil"/>
              <w:bottom w:val="single" w:sz="4" w:space="0" w:color="auto"/>
              <w:right w:val="single" w:sz="4" w:space="0" w:color="auto"/>
            </w:tcBorders>
            <w:noWrap/>
            <w:vAlign w:val="center"/>
            <w:hideMark/>
          </w:tcPr>
          <w:p w14:paraId="414503CA" w14:textId="77777777" w:rsidR="00A41313" w:rsidRPr="00A41313" w:rsidRDefault="00A41313" w:rsidP="00A41313">
            <w:pPr>
              <w:jc w:val="right"/>
              <w:rPr>
                <w:color w:val="000000"/>
                <w:sz w:val="16"/>
                <w:szCs w:val="16"/>
              </w:rPr>
            </w:pPr>
            <w:r w:rsidRPr="00A41313">
              <w:rPr>
                <w:color w:val="000000"/>
                <w:sz w:val="16"/>
                <w:szCs w:val="16"/>
              </w:rPr>
              <w:t>3.423.197,81</w:t>
            </w:r>
          </w:p>
        </w:tc>
        <w:tc>
          <w:tcPr>
            <w:tcW w:w="1120" w:type="dxa"/>
            <w:tcBorders>
              <w:top w:val="single" w:sz="4" w:space="0" w:color="auto"/>
              <w:left w:val="nil"/>
              <w:bottom w:val="single" w:sz="4" w:space="0" w:color="auto"/>
              <w:right w:val="single" w:sz="4" w:space="0" w:color="auto"/>
            </w:tcBorders>
            <w:shd w:val="clear" w:color="000000" w:fill="FFFFFF"/>
            <w:noWrap/>
            <w:vAlign w:val="center"/>
            <w:hideMark/>
          </w:tcPr>
          <w:p w14:paraId="0FAF30D5" w14:textId="77777777" w:rsidR="00A41313" w:rsidRPr="00A41313" w:rsidRDefault="00A41313" w:rsidP="00A41313">
            <w:pPr>
              <w:jc w:val="right"/>
              <w:rPr>
                <w:color w:val="000000"/>
                <w:sz w:val="16"/>
                <w:szCs w:val="16"/>
              </w:rPr>
            </w:pPr>
            <w:r w:rsidRPr="00A41313">
              <w:rPr>
                <w:color w:val="000000"/>
                <w:sz w:val="16"/>
                <w:szCs w:val="16"/>
              </w:rPr>
              <w:t>5.822.901,47</w:t>
            </w:r>
          </w:p>
        </w:tc>
        <w:tc>
          <w:tcPr>
            <w:tcW w:w="1120" w:type="dxa"/>
            <w:tcBorders>
              <w:top w:val="single" w:sz="4" w:space="0" w:color="auto"/>
              <w:left w:val="nil"/>
              <w:bottom w:val="single" w:sz="4" w:space="0" w:color="auto"/>
              <w:right w:val="single" w:sz="4" w:space="0" w:color="auto"/>
            </w:tcBorders>
            <w:shd w:val="clear" w:color="000000" w:fill="FFFFFF"/>
            <w:noWrap/>
            <w:vAlign w:val="center"/>
            <w:hideMark/>
          </w:tcPr>
          <w:p w14:paraId="4EF103B1" w14:textId="77777777" w:rsidR="00A41313" w:rsidRPr="00A41313" w:rsidRDefault="00A41313" w:rsidP="00A41313">
            <w:pPr>
              <w:jc w:val="right"/>
              <w:rPr>
                <w:color w:val="000000"/>
                <w:sz w:val="16"/>
                <w:szCs w:val="16"/>
              </w:rPr>
            </w:pPr>
            <w:r w:rsidRPr="00A41313">
              <w:rPr>
                <w:color w:val="000000"/>
                <w:sz w:val="16"/>
                <w:szCs w:val="16"/>
              </w:rPr>
              <w:t>5.785.441,47</w:t>
            </w:r>
          </w:p>
        </w:tc>
        <w:tc>
          <w:tcPr>
            <w:tcW w:w="1060" w:type="dxa"/>
            <w:tcBorders>
              <w:top w:val="single" w:sz="4" w:space="0" w:color="auto"/>
              <w:left w:val="nil"/>
              <w:bottom w:val="single" w:sz="4" w:space="0" w:color="auto"/>
              <w:right w:val="single" w:sz="4" w:space="0" w:color="auto"/>
            </w:tcBorders>
            <w:noWrap/>
            <w:vAlign w:val="center"/>
            <w:hideMark/>
          </w:tcPr>
          <w:p w14:paraId="0F276C81" w14:textId="77777777" w:rsidR="00A41313" w:rsidRPr="00A41313" w:rsidRDefault="00A41313" w:rsidP="00A41313">
            <w:pPr>
              <w:jc w:val="right"/>
              <w:rPr>
                <w:color w:val="000000"/>
                <w:sz w:val="16"/>
                <w:szCs w:val="16"/>
              </w:rPr>
            </w:pPr>
            <w:r w:rsidRPr="00A41313">
              <w:rPr>
                <w:color w:val="000000"/>
                <w:sz w:val="16"/>
                <w:szCs w:val="16"/>
              </w:rPr>
              <w:t>4.187.956,59</w:t>
            </w:r>
          </w:p>
        </w:tc>
        <w:tc>
          <w:tcPr>
            <w:tcW w:w="960" w:type="dxa"/>
            <w:tcBorders>
              <w:top w:val="single" w:sz="4" w:space="0" w:color="auto"/>
              <w:left w:val="nil"/>
              <w:bottom w:val="single" w:sz="4" w:space="0" w:color="auto"/>
              <w:right w:val="single" w:sz="4" w:space="0" w:color="auto"/>
            </w:tcBorders>
            <w:noWrap/>
            <w:vAlign w:val="center"/>
            <w:hideMark/>
          </w:tcPr>
          <w:p w14:paraId="767A441C" w14:textId="77777777" w:rsidR="00A41313" w:rsidRPr="00A41313" w:rsidRDefault="00A41313" w:rsidP="00A41313">
            <w:pPr>
              <w:jc w:val="right"/>
              <w:rPr>
                <w:color w:val="000000"/>
                <w:sz w:val="16"/>
                <w:szCs w:val="16"/>
              </w:rPr>
            </w:pPr>
            <w:r w:rsidRPr="00A41313">
              <w:rPr>
                <w:color w:val="000000"/>
                <w:sz w:val="16"/>
                <w:szCs w:val="16"/>
              </w:rPr>
              <w:t>122,34%</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4B93EFAA" w14:textId="77777777" w:rsidR="00A41313" w:rsidRPr="00A41313" w:rsidRDefault="00A41313" w:rsidP="00A41313">
            <w:pPr>
              <w:jc w:val="right"/>
              <w:rPr>
                <w:color w:val="000000"/>
                <w:sz w:val="16"/>
                <w:szCs w:val="16"/>
              </w:rPr>
            </w:pPr>
            <w:r w:rsidRPr="00A41313">
              <w:rPr>
                <w:color w:val="000000"/>
                <w:sz w:val="16"/>
                <w:szCs w:val="16"/>
              </w:rPr>
              <w:t>72,39%</w:t>
            </w:r>
          </w:p>
        </w:tc>
      </w:tr>
      <w:tr w:rsidR="00A41313" w:rsidRPr="00A41313" w14:paraId="479F9615" w14:textId="77777777" w:rsidTr="00BB1392">
        <w:trPr>
          <w:trHeight w:val="345"/>
          <w:jc w:val="center"/>
        </w:trPr>
        <w:tc>
          <w:tcPr>
            <w:tcW w:w="3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9C77891" w14:textId="77777777" w:rsidR="00A41313" w:rsidRPr="00A41313" w:rsidRDefault="00A41313" w:rsidP="00A41313">
            <w:pPr>
              <w:rPr>
                <w:color w:val="000000"/>
                <w:sz w:val="18"/>
                <w:szCs w:val="18"/>
              </w:rPr>
            </w:pPr>
            <w:r w:rsidRPr="00A41313">
              <w:rPr>
                <w:color w:val="000000"/>
                <w:sz w:val="18"/>
                <w:szCs w:val="18"/>
              </w:rPr>
              <w:t>Rashodi za nabavu nefinancijske imovine</w:t>
            </w:r>
          </w:p>
        </w:tc>
        <w:tc>
          <w:tcPr>
            <w:tcW w:w="1280" w:type="dxa"/>
            <w:tcBorders>
              <w:top w:val="nil"/>
              <w:left w:val="nil"/>
              <w:bottom w:val="single" w:sz="4" w:space="0" w:color="auto"/>
              <w:right w:val="single" w:sz="4" w:space="0" w:color="auto"/>
            </w:tcBorders>
            <w:noWrap/>
            <w:vAlign w:val="center"/>
            <w:hideMark/>
          </w:tcPr>
          <w:p w14:paraId="4468FE82" w14:textId="77777777" w:rsidR="00A41313" w:rsidRPr="00A41313" w:rsidRDefault="00A41313" w:rsidP="00A41313">
            <w:pPr>
              <w:jc w:val="right"/>
              <w:rPr>
                <w:color w:val="000000"/>
                <w:sz w:val="16"/>
                <w:szCs w:val="16"/>
              </w:rPr>
            </w:pPr>
            <w:r w:rsidRPr="00A41313">
              <w:rPr>
                <w:color w:val="000000"/>
                <w:sz w:val="16"/>
                <w:szCs w:val="16"/>
              </w:rPr>
              <w:t>1.827.066,29</w:t>
            </w:r>
          </w:p>
        </w:tc>
        <w:tc>
          <w:tcPr>
            <w:tcW w:w="1120" w:type="dxa"/>
            <w:tcBorders>
              <w:top w:val="nil"/>
              <w:left w:val="nil"/>
              <w:bottom w:val="single" w:sz="4" w:space="0" w:color="auto"/>
              <w:right w:val="single" w:sz="4" w:space="0" w:color="auto"/>
            </w:tcBorders>
            <w:shd w:val="clear" w:color="000000" w:fill="FFFFFF"/>
            <w:noWrap/>
            <w:vAlign w:val="center"/>
            <w:hideMark/>
          </w:tcPr>
          <w:p w14:paraId="0AF8A509" w14:textId="77777777" w:rsidR="00A41313" w:rsidRPr="00A41313" w:rsidRDefault="00A41313" w:rsidP="00A41313">
            <w:pPr>
              <w:jc w:val="right"/>
              <w:rPr>
                <w:color w:val="000000"/>
                <w:sz w:val="16"/>
                <w:szCs w:val="16"/>
              </w:rPr>
            </w:pPr>
            <w:r w:rsidRPr="00A41313">
              <w:rPr>
                <w:color w:val="000000"/>
                <w:sz w:val="16"/>
                <w:szCs w:val="16"/>
              </w:rPr>
              <w:t>3.073.694,77</w:t>
            </w:r>
          </w:p>
        </w:tc>
        <w:tc>
          <w:tcPr>
            <w:tcW w:w="1120" w:type="dxa"/>
            <w:tcBorders>
              <w:top w:val="nil"/>
              <w:left w:val="nil"/>
              <w:bottom w:val="single" w:sz="4" w:space="0" w:color="auto"/>
              <w:right w:val="single" w:sz="4" w:space="0" w:color="auto"/>
            </w:tcBorders>
            <w:shd w:val="clear" w:color="000000" w:fill="FFFFFF"/>
            <w:noWrap/>
            <w:vAlign w:val="center"/>
            <w:hideMark/>
          </w:tcPr>
          <w:p w14:paraId="7FDFFBA5" w14:textId="77777777" w:rsidR="00A41313" w:rsidRPr="00A41313" w:rsidRDefault="00A41313" w:rsidP="00A41313">
            <w:pPr>
              <w:jc w:val="right"/>
              <w:rPr>
                <w:color w:val="000000"/>
                <w:sz w:val="16"/>
                <w:szCs w:val="16"/>
              </w:rPr>
            </w:pPr>
            <w:r w:rsidRPr="00A41313">
              <w:rPr>
                <w:color w:val="000000"/>
                <w:sz w:val="16"/>
                <w:szCs w:val="16"/>
              </w:rPr>
              <w:t>3.111.154,77</w:t>
            </w:r>
          </w:p>
        </w:tc>
        <w:tc>
          <w:tcPr>
            <w:tcW w:w="1060" w:type="dxa"/>
            <w:tcBorders>
              <w:top w:val="nil"/>
              <w:left w:val="nil"/>
              <w:bottom w:val="single" w:sz="4" w:space="0" w:color="auto"/>
              <w:right w:val="single" w:sz="4" w:space="0" w:color="auto"/>
            </w:tcBorders>
            <w:noWrap/>
            <w:vAlign w:val="center"/>
            <w:hideMark/>
          </w:tcPr>
          <w:p w14:paraId="4EC5DDAE" w14:textId="77777777" w:rsidR="00A41313" w:rsidRPr="00A41313" w:rsidRDefault="00A41313" w:rsidP="00A41313">
            <w:pPr>
              <w:jc w:val="right"/>
              <w:rPr>
                <w:color w:val="000000"/>
                <w:sz w:val="16"/>
                <w:szCs w:val="16"/>
              </w:rPr>
            </w:pPr>
            <w:r w:rsidRPr="00A41313">
              <w:rPr>
                <w:color w:val="000000"/>
                <w:sz w:val="16"/>
                <w:szCs w:val="16"/>
              </w:rPr>
              <w:t>2.172.336,49</w:t>
            </w:r>
          </w:p>
        </w:tc>
        <w:tc>
          <w:tcPr>
            <w:tcW w:w="960" w:type="dxa"/>
            <w:tcBorders>
              <w:top w:val="nil"/>
              <w:left w:val="nil"/>
              <w:bottom w:val="single" w:sz="4" w:space="0" w:color="auto"/>
              <w:right w:val="single" w:sz="4" w:space="0" w:color="auto"/>
            </w:tcBorders>
            <w:noWrap/>
            <w:vAlign w:val="center"/>
            <w:hideMark/>
          </w:tcPr>
          <w:p w14:paraId="17D6360E" w14:textId="77777777" w:rsidR="00A41313" w:rsidRPr="00A41313" w:rsidRDefault="00A41313" w:rsidP="00A41313">
            <w:pPr>
              <w:jc w:val="right"/>
              <w:rPr>
                <w:color w:val="000000"/>
                <w:sz w:val="16"/>
                <w:szCs w:val="16"/>
              </w:rPr>
            </w:pPr>
            <w:r w:rsidRPr="00A41313">
              <w:rPr>
                <w:color w:val="000000"/>
                <w:sz w:val="16"/>
                <w:szCs w:val="16"/>
              </w:rPr>
              <w:t>118,90%</w:t>
            </w:r>
          </w:p>
        </w:tc>
        <w:tc>
          <w:tcPr>
            <w:tcW w:w="960" w:type="dxa"/>
            <w:tcBorders>
              <w:top w:val="nil"/>
              <w:left w:val="nil"/>
              <w:bottom w:val="single" w:sz="4" w:space="0" w:color="auto"/>
              <w:right w:val="single" w:sz="4" w:space="0" w:color="auto"/>
            </w:tcBorders>
            <w:shd w:val="clear" w:color="000000" w:fill="FFFFFF"/>
            <w:noWrap/>
            <w:vAlign w:val="center"/>
            <w:hideMark/>
          </w:tcPr>
          <w:p w14:paraId="0FE46266" w14:textId="77777777" w:rsidR="00A41313" w:rsidRPr="00A41313" w:rsidRDefault="00A41313" w:rsidP="00A41313">
            <w:pPr>
              <w:jc w:val="right"/>
              <w:rPr>
                <w:color w:val="000000"/>
                <w:sz w:val="16"/>
                <w:szCs w:val="16"/>
              </w:rPr>
            </w:pPr>
            <w:r w:rsidRPr="00A41313">
              <w:rPr>
                <w:color w:val="000000"/>
                <w:sz w:val="16"/>
                <w:szCs w:val="16"/>
              </w:rPr>
              <w:t>69,82%</w:t>
            </w:r>
          </w:p>
        </w:tc>
      </w:tr>
      <w:tr w:rsidR="00A41313" w:rsidRPr="00A41313" w14:paraId="5B85CD2B" w14:textId="77777777" w:rsidTr="00BB1392">
        <w:trPr>
          <w:trHeight w:val="435"/>
          <w:jc w:val="center"/>
        </w:trPr>
        <w:tc>
          <w:tcPr>
            <w:tcW w:w="3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504D71DA" w14:textId="77777777" w:rsidR="00A41313" w:rsidRPr="00A41313" w:rsidRDefault="00A41313" w:rsidP="00A41313">
            <w:pPr>
              <w:jc w:val="center"/>
              <w:rPr>
                <w:color w:val="000000"/>
                <w:sz w:val="18"/>
                <w:szCs w:val="18"/>
              </w:rPr>
            </w:pPr>
            <w:r w:rsidRPr="00A41313">
              <w:rPr>
                <w:color w:val="000000"/>
                <w:sz w:val="18"/>
                <w:szCs w:val="18"/>
              </w:rPr>
              <w:t>UKUPNO RASHODI</w:t>
            </w:r>
          </w:p>
        </w:tc>
        <w:tc>
          <w:tcPr>
            <w:tcW w:w="1280" w:type="dxa"/>
            <w:tcBorders>
              <w:top w:val="nil"/>
              <w:left w:val="nil"/>
              <w:bottom w:val="single" w:sz="4" w:space="0" w:color="auto"/>
              <w:right w:val="single" w:sz="4" w:space="0" w:color="auto"/>
            </w:tcBorders>
            <w:noWrap/>
            <w:vAlign w:val="center"/>
            <w:hideMark/>
          </w:tcPr>
          <w:p w14:paraId="4615AA50" w14:textId="77777777" w:rsidR="00A41313" w:rsidRPr="00A41313" w:rsidRDefault="00A41313" w:rsidP="00A41313">
            <w:pPr>
              <w:jc w:val="right"/>
              <w:rPr>
                <w:color w:val="000000"/>
                <w:sz w:val="16"/>
                <w:szCs w:val="16"/>
              </w:rPr>
            </w:pPr>
            <w:r w:rsidRPr="00A41313">
              <w:rPr>
                <w:color w:val="000000"/>
                <w:sz w:val="16"/>
                <w:szCs w:val="16"/>
              </w:rPr>
              <w:t>5.250.264,10</w:t>
            </w:r>
          </w:p>
        </w:tc>
        <w:tc>
          <w:tcPr>
            <w:tcW w:w="1120" w:type="dxa"/>
            <w:tcBorders>
              <w:top w:val="nil"/>
              <w:left w:val="nil"/>
              <w:bottom w:val="single" w:sz="4" w:space="0" w:color="auto"/>
              <w:right w:val="single" w:sz="4" w:space="0" w:color="auto"/>
            </w:tcBorders>
            <w:noWrap/>
            <w:vAlign w:val="center"/>
            <w:hideMark/>
          </w:tcPr>
          <w:p w14:paraId="48338B0A" w14:textId="77777777" w:rsidR="00A41313" w:rsidRPr="00A41313" w:rsidRDefault="00A41313" w:rsidP="00A41313">
            <w:pPr>
              <w:jc w:val="right"/>
              <w:rPr>
                <w:color w:val="000000"/>
                <w:sz w:val="16"/>
                <w:szCs w:val="16"/>
              </w:rPr>
            </w:pPr>
            <w:r w:rsidRPr="00A41313">
              <w:rPr>
                <w:color w:val="000000"/>
                <w:sz w:val="16"/>
                <w:szCs w:val="16"/>
              </w:rPr>
              <w:t>8.896.596,24</w:t>
            </w:r>
          </w:p>
        </w:tc>
        <w:tc>
          <w:tcPr>
            <w:tcW w:w="1120" w:type="dxa"/>
            <w:tcBorders>
              <w:top w:val="nil"/>
              <w:left w:val="nil"/>
              <w:bottom w:val="single" w:sz="4" w:space="0" w:color="auto"/>
              <w:right w:val="single" w:sz="4" w:space="0" w:color="auto"/>
            </w:tcBorders>
            <w:noWrap/>
            <w:vAlign w:val="center"/>
            <w:hideMark/>
          </w:tcPr>
          <w:p w14:paraId="7C69DF83" w14:textId="77777777" w:rsidR="00A41313" w:rsidRPr="00A41313" w:rsidRDefault="00A41313" w:rsidP="00A41313">
            <w:pPr>
              <w:jc w:val="right"/>
              <w:rPr>
                <w:color w:val="000000"/>
                <w:sz w:val="16"/>
                <w:szCs w:val="16"/>
              </w:rPr>
            </w:pPr>
            <w:r w:rsidRPr="00A41313">
              <w:rPr>
                <w:color w:val="000000"/>
                <w:sz w:val="16"/>
                <w:szCs w:val="16"/>
              </w:rPr>
              <w:t>8.896.596,24</w:t>
            </w:r>
          </w:p>
        </w:tc>
        <w:tc>
          <w:tcPr>
            <w:tcW w:w="1060" w:type="dxa"/>
            <w:tcBorders>
              <w:top w:val="nil"/>
              <w:left w:val="nil"/>
              <w:bottom w:val="single" w:sz="4" w:space="0" w:color="auto"/>
              <w:right w:val="single" w:sz="4" w:space="0" w:color="auto"/>
            </w:tcBorders>
            <w:noWrap/>
            <w:vAlign w:val="center"/>
            <w:hideMark/>
          </w:tcPr>
          <w:p w14:paraId="04B09F7A" w14:textId="77777777" w:rsidR="00A41313" w:rsidRPr="00A41313" w:rsidRDefault="00A41313" w:rsidP="00A41313">
            <w:pPr>
              <w:jc w:val="right"/>
              <w:rPr>
                <w:color w:val="000000"/>
                <w:sz w:val="16"/>
                <w:szCs w:val="16"/>
              </w:rPr>
            </w:pPr>
            <w:r w:rsidRPr="00A41313">
              <w:rPr>
                <w:color w:val="000000"/>
                <w:sz w:val="16"/>
                <w:szCs w:val="16"/>
              </w:rPr>
              <w:t>6.360.293,08</w:t>
            </w:r>
          </w:p>
        </w:tc>
        <w:tc>
          <w:tcPr>
            <w:tcW w:w="960" w:type="dxa"/>
            <w:tcBorders>
              <w:top w:val="nil"/>
              <w:left w:val="nil"/>
              <w:bottom w:val="single" w:sz="4" w:space="0" w:color="auto"/>
              <w:right w:val="single" w:sz="4" w:space="0" w:color="auto"/>
            </w:tcBorders>
            <w:noWrap/>
            <w:vAlign w:val="center"/>
            <w:hideMark/>
          </w:tcPr>
          <w:p w14:paraId="06E2BA9B" w14:textId="77777777" w:rsidR="00A41313" w:rsidRPr="00A41313" w:rsidRDefault="00A41313" w:rsidP="00A41313">
            <w:pPr>
              <w:jc w:val="right"/>
              <w:rPr>
                <w:color w:val="000000"/>
                <w:sz w:val="16"/>
                <w:szCs w:val="16"/>
              </w:rPr>
            </w:pPr>
            <w:r w:rsidRPr="00A41313">
              <w:rPr>
                <w:color w:val="000000"/>
                <w:sz w:val="16"/>
                <w:szCs w:val="16"/>
              </w:rPr>
              <w:t>121,14%</w:t>
            </w:r>
          </w:p>
        </w:tc>
        <w:tc>
          <w:tcPr>
            <w:tcW w:w="960" w:type="dxa"/>
            <w:tcBorders>
              <w:top w:val="nil"/>
              <w:left w:val="nil"/>
              <w:bottom w:val="single" w:sz="4" w:space="0" w:color="auto"/>
              <w:right w:val="single" w:sz="4" w:space="0" w:color="auto"/>
            </w:tcBorders>
            <w:shd w:val="clear" w:color="000000" w:fill="FFFFFF"/>
            <w:noWrap/>
            <w:vAlign w:val="center"/>
            <w:hideMark/>
          </w:tcPr>
          <w:p w14:paraId="431D7106" w14:textId="77777777" w:rsidR="00A41313" w:rsidRPr="00A41313" w:rsidRDefault="00A41313" w:rsidP="00A41313">
            <w:pPr>
              <w:jc w:val="right"/>
              <w:rPr>
                <w:color w:val="000000"/>
                <w:sz w:val="16"/>
                <w:szCs w:val="16"/>
              </w:rPr>
            </w:pPr>
            <w:r w:rsidRPr="00A41313">
              <w:rPr>
                <w:color w:val="000000"/>
                <w:sz w:val="16"/>
                <w:szCs w:val="16"/>
              </w:rPr>
              <w:t>71,49%</w:t>
            </w:r>
          </w:p>
        </w:tc>
      </w:tr>
      <w:tr w:rsidR="00A41313" w:rsidRPr="00A41313" w14:paraId="47DD0111" w14:textId="77777777" w:rsidTr="00BB1392">
        <w:trPr>
          <w:trHeight w:val="330"/>
          <w:jc w:val="center"/>
        </w:trPr>
        <w:tc>
          <w:tcPr>
            <w:tcW w:w="960" w:type="dxa"/>
            <w:tcBorders>
              <w:top w:val="nil"/>
              <w:left w:val="nil"/>
              <w:bottom w:val="nil"/>
              <w:right w:val="nil"/>
            </w:tcBorders>
            <w:shd w:val="clear" w:color="000000" w:fill="FFFFFF"/>
            <w:vAlign w:val="center"/>
            <w:hideMark/>
          </w:tcPr>
          <w:p w14:paraId="371CCA3B" w14:textId="77777777" w:rsidR="00A41313" w:rsidRPr="00A41313" w:rsidRDefault="00A41313" w:rsidP="00A41313">
            <w:pPr>
              <w:jc w:val="center"/>
              <w:rPr>
                <w:color w:val="000000"/>
                <w:sz w:val="18"/>
                <w:szCs w:val="18"/>
              </w:rPr>
            </w:pPr>
            <w:r w:rsidRPr="00A41313">
              <w:rPr>
                <w:color w:val="000000"/>
                <w:sz w:val="18"/>
                <w:szCs w:val="18"/>
              </w:rPr>
              <w:t> </w:t>
            </w:r>
          </w:p>
        </w:tc>
        <w:tc>
          <w:tcPr>
            <w:tcW w:w="2660" w:type="dxa"/>
            <w:tcBorders>
              <w:top w:val="nil"/>
              <w:left w:val="nil"/>
              <w:bottom w:val="nil"/>
              <w:right w:val="nil"/>
            </w:tcBorders>
            <w:shd w:val="clear" w:color="000000" w:fill="FFFFFF"/>
            <w:vAlign w:val="center"/>
            <w:hideMark/>
          </w:tcPr>
          <w:p w14:paraId="66870A94" w14:textId="77777777" w:rsidR="00A41313" w:rsidRPr="00A41313" w:rsidRDefault="00A41313" w:rsidP="00A41313">
            <w:pPr>
              <w:rPr>
                <w:color w:val="000000"/>
                <w:sz w:val="18"/>
                <w:szCs w:val="18"/>
              </w:rPr>
            </w:pPr>
            <w:r w:rsidRPr="00A41313">
              <w:rPr>
                <w:color w:val="000000"/>
                <w:sz w:val="18"/>
                <w:szCs w:val="18"/>
              </w:rPr>
              <w:t> </w:t>
            </w:r>
          </w:p>
        </w:tc>
        <w:tc>
          <w:tcPr>
            <w:tcW w:w="1280" w:type="dxa"/>
            <w:tcBorders>
              <w:top w:val="nil"/>
              <w:left w:val="nil"/>
              <w:bottom w:val="nil"/>
              <w:right w:val="nil"/>
            </w:tcBorders>
            <w:noWrap/>
            <w:vAlign w:val="center"/>
            <w:hideMark/>
          </w:tcPr>
          <w:p w14:paraId="65ADC51A" w14:textId="77777777" w:rsidR="00A41313" w:rsidRPr="00A41313" w:rsidRDefault="00A41313" w:rsidP="00A41313">
            <w:pPr>
              <w:rPr>
                <w:rFonts w:ascii="Cambria Math" w:hAnsi="Cambria Math" w:cs="Calibri"/>
                <w:color w:val="000000"/>
                <w:sz w:val="20"/>
                <w:szCs w:val="20"/>
              </w:rPr>
            </w:pPr>
          </w:p>
        </w:tc>
        <w:tc>
          <w:tcPr>
            <w:tcW w:w="1120" w:type="dxa"/>
            <w:tcBorders>
              <w:top w:val="nil"/>
              <w:left w:val="nil"/>
              <w:bottom w:val="nil"/>
              <w:right w:val="nil"/>
            </w:tcBorders>
            <w:shd w:val="clear" w:color="000000" w:fill="FFFFFF"/>
            <w:noWrap/>
            <w:vAlign w:val="center"/>
            <w:hideMark/>
          </w:tcPr>
          <w:p w14:paraId="566F6184" w14:textId="77777777" w:rsidR="00A41313" w:rsidRPr="00A41313" w:rsidRDefault="00A41313" w:rsidP="00A41313">
            <w:pPr>
              <w:jc w:val="right"/>
              <w:rPr>
                <w:color w:val="000000"/>
                <w:sz w:val="16"/>
                <w:szCs w:val="16"/>
              </w:rPr>
            </w:pPr>
            <w:r w:rsidRPr="00A41313">
              <w:rPr>
                <w:color w:val="000000"/>
                <w:sz w:val="16"/>
                <w:szCs w:val="16"/>
              </w:rPr>
              <w:t> </w:t>
            </w:r>
          </w:p>
        </w:tc>
        <w:tc>
          <w:tcPr>
            <w:tcW w:w="1120" w:type="dxa"/>
            <w:tcBorders>
              <w:top w:val="nil"/>
              <w:left w:val="nil"/>
              <w:bottom w:val="nil"/>
              <w:right w:val="nil"/>
            </w:tcBorders>
            <w:shd w:val="clear" w:color="000000" w:fill="FFFFFF"/>
            <w:noWrap/>
            <w:vAlign w:val="center"/>
            <w:hideMark/>
          </w:tcPr>
          <w:p w14:paraId="09FCF473" w14:textId="77777777" w:rsidR="00A41313" w:rsidRPr="00A41313" w:rsidRDefault="00A41313" w:rsidP="00A41313">
            <w:pPr>
              <w:jc w:val="right"/>
              <w:rPr>
                <w:color w:val="000000"/>
                <w:sz w:val="16"/>
                <w:szCs w:val="16"/>
              </w:rPr>
            </w:pPr>
            <w:r w:rsidRPr="00A41313">
              <w:rPr>
                <w:color w:val="000000"/>
                <w:sz w:val="16"/>
                <w:szCs w:val="16"/>
              </w:rPr>
              <w:t> </w:t>
            </w:r>
          </w:p>
        </w:tc>
        <w:tc>
          <w:tcPr>
            <w:tcW w:w="1060" w:type="dxa"/>
            <w:tcBorders>
              <w:top w:val="nil"/>
              <w:left w:val="nil"/>
              <w:bottom w:val="nil"/>
              <w:right w:val="nil"/>
            </w:tcBorders>
            <w:noWrap/>
            <w:vAlign w:val="center"/>
            <w:hideMark/>
          </w:tcPr>
          <w:p w14:paraId="483A9E0B" w14:textId="77777777" w:rsidR="00A41313" w:rsidRPr="00A41313" w:rsidRDefault="00A41313" w:rsidP="00A41313">
            <w:pPr>
              <w:rPr>
                <w:rFonts w:ascii="Cambria Math" w:hAnsi="Cambria Math" w:cs="Calibri"/>
                <w:color w:val="000000"/>
                <w:sz w:val="20"/>
                <w:szCs w:val="20"/>
              </w:rPr>
            </w:pPr>
          </w:p>
        </w:tc>
        <w:tc>
          <w:tcPr>
            <w:tcW w:w="960" w:type="dxa"/>
            <w:tcBorders>
              <w:top w:val="nil"/>
              <w:left w:val="nil"/>
              <w:bottom w:val="nil"/>
              <w:right w:val="nil"/>
            </w:tcBorders>
            <w:noWrap/>
            <w:vAlign w:val="center"/>
            <w:hideMark/>
          </w:tcPr>
          <w:p w14:paraId="0BCDE3AA" w14:textId="77777777" w:rsidR="00A41313" w:rsidRPr="00A41313" w:rsidRDefault="00A41313" w:rsidP="00A41313">
            <w:pPr>
              <w:rPr>
                <w:rFonts w:ascii="Cambria Math" w:hAnsi="Cambria Math" w:cs="Calibri"/>
                <w:color w:val="000000"/>
                <w:sz w:val="20"/>
                <w:szCs w:val="20"/>
              </w:rPr>
            </w:pPr>
          </w:p>
        </w:tc>
        <w:tc>
          <w:tcPr>
            <w:tcW w:w="960" w:type="dxa"/>
            <w:tcBorders>
              <w:top w:val="nil"/>
              <w:left w:val="nil"/>
              <w:bottom w:val="nil"/>
              <w:right w:val="nil"/>
            </w:tcBorders>
            <w:shd w:val="clear" w:color="000000" w:fill="FFFFFF"/>
            <w:noWrap/>
            <w:vAlign w:val="center"/>
            <w:hideMark/>
          </w:tcPr>
          <w:p w14:paraId="74A3B829" w14:textId="77777777" w:rsidR="00A41313" w:rsidRPr="00A41313" w:rsidRDefault="00A41313" w:rsidP="00A41313">
            <w:pPr>
              <w:jc w:val="right"/>
              <w:rPr>
                <w:color w:val="000000"/>
                <w:sz w:val="16"/>
                <w:szCs w:val="16"/>
              </w:rPr>
            </w:pPr>
            <w:r w:rsidRPr="00A41313">
              <w:rPr>
                <w:color w:val="000000"/>
                <w:sz w:val="16"/>
                <w:szCs w:val="16"/>
              </w:rPr>
              <w:t> </w:t>
            </w:r>
          </w:p>
        </w:tc>
      </w:tr>
      <w:tr w:rsidR="00A41313" w:rsidRPr="00A41313" w14:paraId="257F9C6F" w14:textId="77777777" w:rsidTr="00BB1392">
        <w:trPr>
          <w:trHeight w:val="405"/>
          <w:jc w:val="center"/>
        </w:trPr>
        <w:tc>
          <w:tcPr>
            <w:tcW w:w="3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47ED2E7" w14:textId="77777777" w:rsidR="00A41313" w:rsidRPr="00A41313" w:rsidRDefault="00A41313" w:rsidP="00A41313">
            <w:pPr>
              <w:rPr>
                <w:color w:val="000000"/>
                <w:sz w:val="18"/>
                <w:szCs w:val="18"/>
              </w:rPr>
            </w:pPr>
            <w:r w:rsidRPr="00A41313">
              <w:rPr>
                <w:color w:val="000000"/>
                <w:sz w:val="18"/>
                <w:szCs w:val="18"/>
              </w:rPr>
              <w:t>RAZLIKA – VIŠAK / MANJAK</w:t>
            </w:r>
          </w:p>
        </w:tc>
        <w:tc>
          <w:tcPr>
            <w:tcW w:w="1280" w:type="dxa"/>
            <w:tcBorders>
              <w:top w:val="single" w:sz="4" w:space="0" w:color="auto"/>
              <w:left w:val="nil"/>
              <w:bottom w:val="single" w:sz="4" w:space="0" w:color="auto"/>
              <w:right w:val="single" w:sz="4" w:space="0" w:color="auto"/>
            </w:tcBorders>
            <w:noWrap/>
            <w:vAlign w:val="center"/>
            <w:hideMark/>
          </w:tcPr>
          <w:p w14:paraId="106DA6B6" w14:textId="77777777" w:rsidR="00A41313" w:rsidRPr="00A41313" w:rsidRDefault="00A41313" w:rsidP="00A41313">
            <w:pPr>
              <w:jc w:val="right"/>
              <w:rPr>
                <w:color w:val="000000"/>
                <w:sz w:val="16"/>
                <w:szCs w:val="16"/>
              </w:rPr>
            </w:pPr>
            <w:r w:rsidRPr="00A41313">
              <w:rPr>
                <w:color w:val="000000"/>
                <w:sz w:val="16"/>
                <w:szCs w:val="16"/>
              </w:rPr>
              <w:t>566.166,27</w:t>
            </w:r>
          </w:p>
        </w:tc>
        <w:tc>
          <w:tcPr>
            <w:tcW w:w="1120" w:type="dxa"/>
            <w:tcBorders>
              <w:top w:val="single" w:sz="4" w:space="0" w:color="auto"/>
              <w:left w:val="nil"/>
              <w:bottom w:val="single" w:sz="4" w:space="0" w:color="auto"/>
              <w:right w:val="single" w:sz="4" w:space="0" w:color="auto"/>
            </w:tcBorders>
            <w:noWrap/>
            <w:vAlign w:val="center"/>
            <w:hideMark/>
          </w:tcPr>
          <w:p w14:paraId="59A14FD5" w14:textId="77777777" w:rsidR="00A41313" w:rsidRPr="00A41313" w:rsidRDefault="00A41313" w:rsidP="00A41313">
            <w:pPr>
              <w:jc w:val="right"/>
              <w:rPr>
                <w:color w:val="000000"/>
                <w:sz w:val="16"/>
                <w:szCs w:val="16"/>
              </w:rPr>
            </w:pPr>
            <w:r w:rsidRPr="00A41313">
              <w:rPr>
                <w:color w:val="000000"/>
                <w:sz w:val="16"/>
                <w:szCs w:val="16"/>
              </w:rPr>
              <w:t>-1.550.410,06</w:t>
            </w:r>
          </w:p>
        </w:tc>
        <w:tc>
          <w:tcPr>
            <w:tcW w:w="1120" w:type="dxa"/>
            <w:tcBorders>
              <w:top w:val="single" w:sz="4" w:space="0" w:color="auto"/>
              <w:left w:val="nil"/>
              <w:bottom w:val="single" w:sz="4" w:space="0" w:color="auto"/>
              <w:right w:val="single" w:sz="4" w:space="0" w:color="auto"/>
            </w:tcBorders>
            <w:noWrap/>
            <w:vAlign w:val="center"/>
            <w:hideMark/>
          </w:tcPr>
          <w:p w14:paraId="1C8095AB" w14:textId="77777777" w:rsidR="00A41313" w:rsidRPr="00A41313" w:rsidRDefault="00A41313" w:rsidP="00A41313">
            <w:pPr>
              <w:jc w:val="right"/>
              <w:rPr>
                <w:color w:val="000000"/>
                <w:sz w:val="16"/>
                <w:szCs w:val="16"/>
              </w:rPr>
            </w:pPr>
            <w:r w:rsidRPr="00A41313">
              <w:rPr>
                <w:color w:val="000000"/>
                <w:sz w:val="16"/>
                <w:szCs w:val="16"/>
              </w:rPr>
              <w:t>-1.550.410,06</w:t>
            </w:r>
          </w:p>
        </w:tc>
        <w:tc>
          <w:tcPr>
            <w:tcW w:w="1060" w:type="dxa"/>
            <w:tcBorders>
              <w:top w:val="single" w:sz="4" w:space="0" w:color="auto"/>
              <w:left w:val="nil"/>
              <w:bottom w:val="single" w:sz="4" w:space="0" w:color="auto"/>
              <w:right w:val="single" w:sz="4" w:space="0" w:color="auto"/>
            </w:tcBorders>
            <w:noWrap/>
            <w:vAlign w:val="center"/>
            <w:hideMark/>
          </w:tcPr>
          <w:p w14:paraId="0BFA7B32" w14:textId="77777777" w:rsidR="00A41313" w:rsidRPr="00A41313" w:rsidRDefault="00A41313" w:rsidP="00A41313">
            <w:pPr>
              <w:jc w:val="right"/>
              <w:rPr>
                <w:color w:val="000000"/>
                <w:sz w:val="16"/>
                <w:szCs w:val="16"/>
              </w:rPr>
            </w:pPr>
            <w:r w:rsidRPr="00A41313">
              <w:rPr>
                <w:color w:val="000000"/>
                <w:sz w:val="16"/>
                <w:szCs w:val="16"/>
              </w:rPr>
              <w:t>1.149.568,99</w:t>
            </w:r>
          </w:p>
        </w:tc>
        <w:tc>
          <w:tcPr>
            <w:tcW w:w="960" w:type="dxa"/>
            <w:tcBorders>
              <w:top w:val="single" w:sz="4" w:space="0" w:color="auto"/>
              <w:left w:val="nil"/>
              <w:bottom w:val="single" w:sz="4" w:space="0" w:color="auto"/>
              <w:right w:val="single" w:sz="4" w:space="0" w:color="auto"/>
            </w:tcBorders>
            <w:noWrap/>
            <w:vAlign w:val="center"/>
            <w:hideMark/>
          </w:tcPr>
          <w:p w14:paraId="2354D7E0" w14:textId="77777777" w:rsidR="00A41313" w:rsidRPr="00A41313" w:rsidRDefault="00A41313" w:rsidP="00A41313">
            <w:pPr>
              <w:jc w:val="right"/>
              <w:rPr>
                <w:color w:val="000000"/>
                <w:sz w:val="16"/>
                <w:szCs w:val="16"/>
              </w:rPr>
            </w:pPr>
            <w:r w:rsidRPr="00A41313">
              <w:rPr>
                <w:color w:val="000000"/>
                <w:sz w:val="16"/>
                <w:szCs w:val="16"/>
              </w:rPr>
              <w:t> </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08EA7463" w14:textId="77777777" w:rsidR="00A41313" w:rsidRPr="00A41313" w:rsidRDefault="00A41313" w:rsidP="00A41313">
            <w:pPr>
              <w:jc w:val="right"/>
              <w:rPr>
                <w:color w:val="000000"/>
                <w:sz w:val="16"/>
                <w:szCs w:val="16"/>
              </w:rPr>
            </w:pPr>
            <w:r w:rsidRPr="00A41313">
              <w:rPr>
                <w:color w:val="000000"/>
                <w:sz w:val="16"/>
                <w:szCs w:val="16"/>
              </w:rPr>
              <w:t> </w:t>
            </w:r>
          </w:p>
        </w:tc>
      </w:tr>
      <w:tr w:rsidR="00A41313" w:rsidRPr="00A41313" w14:paraId="5DFF426A" w14:textId="77777777" w:rsidTr="00BB1392">
        <w:trPr>
          <w:trHeight w:val="555"/>
          <w:jc w:val="center"/>
        </w:trPr>
        <w:tc>
          <w:tcPr>
            <w:tcW w:w="10120" w:type="dxa"/>
            <w:gridSpan w:val="8"/>
            <w:tcBorders>
              <w:top w:val="nil"/>
              <w:left w:val="nil"/>
              <w:bottom w:val="nil"/>
              <w:right w:val="nil"/>
            </w:tcBorders>
            <w:noWrap/>
            <w:vAlign w:val="center"/>
            <w:hideMark/>
          </w:tcPr>
          <w:p w14:paraId="2BA11715" w14:textId="77777777" w:rsidR="00A41313" w:rsidRPr="00A41313" w:rsidRDefault="00A41313" w:rsidP="00A41313">
            <w:pPr>
              <w:rPr>
                <w:b/>
                <w:bCs/>
                <w:color w:val="000000"/>
              </w:rPr>
            </w:pPr>
            <w:r w:rsidRPr="00A41313">
              <w:rPr>
                <w:b/>
                <w:bCs/>
                <w:color w:val="000000"/>
              </w:rPr>
              <w:t>Raspoloživa sredstva iz prethodnih godina</w:t>
            </w:r>
          </w:p>
        </w:tc>
      </w:tr>
      <w:tr w:rsidR="00A41313" w:rsidRPr="00A41313" w14:paraId="6F33C4CA" w14:textId="77777777" w:rsidTr="00BB1392">
        <w:trPr>
          <w:trHeight w:val="615"/>
          <w:jc w:val="center"/>
        </w:trPr>
        <w:tc>
          <w:tcPr>
            <w:tcW w:w="3620" w:type="dxa"/>
            <w:gridSpan w:val="2"/>
            <w:tcBorders>
              <w:top w:val="single" w:sz="4" w:space="0" w:color="auto"/>
              <w:left w:val="single" w:sz="4" w:space="0" w:color="auto"/>
              <w:bottom w:val="single" w:sz="4" w:space="0" w:color="auto"/>
              <w:right w:val="single" w:sz="4" w:space="0" w:color="auto"/>
            </w:tcBorders>
            <w:vAlign w:val="center"/>
            <w:hideMark/>
          </w:tcPr>
          <w:p w14:paraId="24A3C8C8" w14:textId="77777777" w:rsidR="00A41313" w:rsidRPr="00A41313" w:rsidRDefault="00A41313" w:rsidP="00A41313">
            <w:pPr>
              <w:rPr>
                <w:color w:val="000000"/>
                <w:sz w:val="18"/>
                <w:szCs w:val="18"/>
              </w:rPr>
            </w:pPr>
            <w:r w:rsidRPr="00A41313">
              <w:rPr>
                <w:color w:val="000000"/>
                <w:sz w:val="18"/>
                <w:szCs w:val="18"/>
              </w:rPr>
              <w:t>Ukupan donos viška/manjka iz prethodnih godina</w:t>
            </w:r>
          </w:p>
        </w:tc>
        <w:tc>
          <w:tcPr>
            <w:tcW w:w="1280" w:type="dxa"/>
            <w:tcBorders>
              <w:top w:val="single" w:sz="4" w:space="0" w:color="auto"/>
              <w:left w:val="nil"/>
              <w:bottom w:val="single" w:sz="4" w:space="0" w:color="auto"/>
              <w:right w:val="single" w:sz="4" w:space="0" w:color="auto"/>
            </w:tcBorders>
            <w:noWrap/>
            <w:vAlign w:val="center"/>
            <w:hideMark/>
          </w:tcPr>
          <w:p w14:paraId="3A5A6631" w14:textId="77777777" w:rsidR="00A41313" w:rsidRPr="00A41313" w:rsidRDefault="00A41313" w:rsidP="00A41313">
            <w:pPr>
              <w:jc w:val="right"/>
              <w:rPr>
                <w:color w:val="000000"/>
                <w:sz w:val="16"/>
                <w:szCs w:val="16"/>
              </w:rPr>
            </w:pPr>
            <w:r w:rsidRPr="00A41313">
              <w:rPr>
                <w:color w:val="000000"/>
                <w:sz w:val="16"/>
                <w:szCs w:val="16"/>
              </w:rPr>
              <w:t>1.252.877,31</w:t>
            </w:r>
          </w:p>
        </w:tc>
        <w:tc>
          <w:tcPr>
            <w:tcW w:w="1120" w:type="dxa"/>
            <w:tcBorders>
              <w:top w:val="single" w:sz="4" w:space="0" w:color="auto"/>
              <w:left w:val="nil"/>
              <w:bottom w:val="single" w:sz="4" w:space="0" w:color="auto"/>
              <w:right w:val="single" w:sz="4" w:space="0" w:color="auto"/>
            </w:tcBorders>
            <w:noWrap/>
            <w:vAlign w:val="center"/>
            <w:hideMark/>
          </w:tcPr>
          <w:p w14:paraId="390F2EDB" w14:textId="77777777" w:rsidR="00A41313" w:rsidRPr="00A41313" w:rsidRDefault="00A41313" w:rsidP="00A41313">
            <w:pPr>
              <w:jc w:val="right"/>
              <w:rPr>
                <w:color w:val="000000"/>
                <w:sz w:val="16"/>
                <w:szCs w:val="16"/>
              </w:rPr>
            </w:pPr>
            <w:r w:rsidRPr="00A41313">
              <w:rPr>
                <w:color w:val="000000"/>
                <w:sz w:val="16"/>
                <w:szCs w:val="16"/>
              </w:rPr>
              <w:t>1.747.613,82</w:t>
            </w:r>
          </w:p>
        </w:tc>
        <w:tc>
          <w:tcPr>
            <w:tcW w:w="1120" w:type="dxa"/>
            <w:tcBorders>
              <w:top w:val="single" w:sz="4" w:space="0" w:color="auto"/>
              <w:left w:val="nil"/>
              <w:bottom w:val="single" w:sz="4" w:space="0" w:color="auto"/>
              <w:right w:val="single" w:sz="4" w:space="0" w:color="auto"/>
            </w:tcBorders>
            <w:noWrap/>
            <w:vAlign w:val="center"/>
            <w:hideMark/>
          </w:tcPr>
          <w:p w14:paraId="16856539" w14:textId="77777777" w:rsidR="00A41313" w:rsidRPr="00A41313" w:rsidRDefault="00A41313" w:rsidP="00A41313">
            <w:pPr>
              <w:jc w:val="right"/>
              <w:rPr>
                <w:color w:val="000000"/>
                <w:sz w:val="16"/>
                <w:szCs w:val="16"/>
              </w:rPr>
            </w:pPr>
            <w:r w:rsidRPr="00A41313">
              <w:rPr>
                <w:color w:val="000000"/>
                <w:sz w:val="16"/>
                <w:szCs w:val="16"/>
              </w:rPr>
              <w:t>1.747.613,82</w:t>
            </w:r>
          </w:p>
        </w:tc>
        <w:tc>
          <w:tcPr>
            <w:tcW w:w="1060" w:type="dxa"/>
            <w:tcBorders>
              <w:top w:val="single" w:sz="4" w:space="0" w:color="auto"/>
              <w:left w:val="nil"/>
              <w:bottom w:val="single" w:sz="4" w:space="0" w:color="auto"/>
              <w:right w:val="single" w:sz="4" w:space="0" w:color="auto"/>
            </w:tcBorders>
            <w:noWrap/>
            <w:vAlign w:val="center"/>
            <w:hideMark/>
          </w:tcPr>
          <w:p w14:paraId="1688F122" w14:textId="77777777" w:rsidR="00A41313" w:rsidRPr="00A41313" w:rsidRDefault="00A41313" w:rsidP="00A41313">
            <w:pPr>
              <w:jc w:val="right"/>
              <w:rPr>
                <w:color w:val="000000"/>
                <w:sz w:val="16"/>
                <w:szCs w:val="16"/>
              </w:rPr>
            </w:pPr>
            <w:r w:rsidRPr="00A41313">
              <w:rPr>
                <w:color w:val="000000"/>
                <w:sz w:val="16"/>
                <w:szCs w:val="16"/>
              </w:rPr>
              <w:t>1.744.497,18</w:t>
            </w:r>
          </w:p>
        </w:tc>
        <w:tc>
          <w:tcPr>
            <w:tcW w:w="960" w:type="dxa"/>
            <w:tcBorders>
              <w:top w:val="single" w:sz="4" w:space="0" w:color="auto"/>
              <w:left w:val="nil"/>
              <w:bottom w:val="single" w:sz="4" w:space="0" w:color="auto"/>
              <w:right w:val="single" w:sz="4" w:space="0" w:color="auto"/>
            </w:tcBorders>
            <w:noWrap/>
            <w:vAlign w:val="center"/>
            <w:hideMark/>
          </w:tcPr>
          <w:p w14:paraId="1E976C63" w14:textId="77777777" w:rsidR="00A41313" w:rsidRPr="00A41313" w:rsidRDefault="00A41313" w:rsidP="00A41313">
            <w:pPr>
              <w:jc w:val="right"/>
              <w:rPr>
                <w:color w:val="000000"/>
                <w:sz w:val="16"/>
                <w:szCs w:val="16"/>
              </w:rPr>
            </w:pPr>
            <w:r w:rsidRPr="00A41313">
              <w:rPr>
                <w:color w:val="000000"/>
                <w:sz w:val="16"/>
                <w:szCs w:val="16"/>
              </w:rPr>
              <w:t>139,49%</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3225CCEF" w14:textId="77777777" w:rsidR="00A41313" w:rsidRPr="00A41313" w:rsidRDefault="00A41313" w:rsidP="00A41313">
            <w:pPr>
              <w:jc w:val="right"/>
              <w:rPr>
                <w:color w:val="000000"/>
                <w:sz w:val="16"/>
                <w:szCs w:val="16"/>
              </w:rPr>
            </w:pPr>
            <w:r w:rsidRPr="00A41313">
              <w:rPr>
                <w:color w:val="000000"/>
                <w:sz w:val="16"/>
                <w:szCs w:val="16"/>
              </w:rPr>
              <w:t>100,00%</w:t>
            </w:r>
          </w:p>
        </w:tc>
      </w:tr>
      <w:tr w:rsidR="00A41313" w:rsidRPr="00A41313" w14:paraId="4E59546B" w14:textId="77777777" w:rsidTr="00BB1392">
        <w:trPr>
          <w:trHeight w:val="375"/>
          <w:jc w:val="center"/>
        </w:trPr>
        <w:tc>
          <w:tcPr>
            <w:tcW w:w="3620" w:type="dxa"/>
            <w:gridSpan w:val="2"/>
            <w:tcBorders>
              <w:top w:val="single" w:sz="4" w:space="0" w:color="auto"/>
              <w:left w:val="single" w:sz="4" w:space="0" w:color="auto"/>
              <w:bottom w:val="single" w:sz="4" w:space="0" w:color="auto"/>
              <w:right w:val="single" w:sz="4" w:space="0" w:color="auto"/>
            </w:tcBorders>
            <w:vAlign w:val="center"/>
            <w:hideMark/>
          </w:tcPr>
          <w:p w14:paraId="30115CAA" w14:textId="77777777" w:rsidR="00A41313" w:rsidRPr="00A41313" w:rsidRDefault="00A41313" w:rsidP="00A41313">
            <w:pPr>
              <w:rPr>
                <w:color w:val="000000"/>
                <w:sz w:val="18"/>
                <w:szCs w:val="18"/>
              </w:rPr>
            </w:pPr>
            <w:r w:rsidRPr="00A41313">
              <w:rPr>
                <w:color w:val="000000"/>
                <w:sz w:val="18"/>
                <w:szCs w:val="18"/>
              </w:rPr>
              <w:t xml:space="preserve">Višak/manjak koji se prenosi u slijedeće razdoblje </w:t>
            </w:r>
          </w:p>
        </w:tc>
        <w:tc>
          <w:tcPr>
            <w:tcW w:w="1280" w:type="dxa"/>
            <w:tcBorders>
              <w:top w:val="nil"/>
              <w:left w:val="nil"/>
              <w:bottom w:val="single" w:sz="4" w:space="0" w:color="auto"/>
              <w:right w:val="single" w:sz="4" w:space="0" w:color="auto"/>
            </w:tcBorders>
            <w:noWrap/>
            <w:vAlign w:val="center"/>
            <w:hideMark/>
          </w:tcPr>
          <w:p w14:paraId="251CB329" w14:textId="77777777" w:rsidR="00A41313" w:rsidRPr="00A41313" w:rsidRDefault="00A41313" w:rsidP="00A41313">
            <w:pPr>
              <w:jc w:val="right"/>
              <w:rPr>
                <w:color w:val="000000"/>
                <w:sz w:val="16"/>
                <w:szCs w:val="16"/>
              </w:rPr>
            </w:pPr>
            <w:r w:rsidRPr="00A41313">
              <w:rPr>
                <w:color w:val="000000"/>
                <w:sz w:val="16"/>
                <w:szCs w:val="16"/>
              </w:rPr>
              <w:t>1.252.877,31</w:t>
            </w:r>
          </w:p>
        </w:tc>
        <w:tc>
          <w:tcPr>
            <w:tcW w:w="1120" w:type="dxa"/>
            <w:tcBorders>
              <w:top w:val="nil"/>
              <w:left w:val="nil"/>
              <w:bottom w:val="single" w:sz="4" w:space="0" w:color="auto"/>
              <w:right w:val="single" w:sz="4" w:space="0" w:color="auto"/>
            </w:tcBorders>
            <w:noWrap/>
            <w:vAlign w:val="center"/>
            <w:hideMark/>
          </w:tcPr>
          <w:p w14:paraId="5911F7B9" w14:textId="77777777" w:rsidR="00A41313" w:rsidRPr="00A41313" w:rsidRDefault="00A41313" w:rsidP="00A41313">
            <w:pPr>
              <w:jc w:val="right"/>
              <w:rPr>
                <w:color w:val="000000"/>
                <w:sz w:val="16"/>
                <w:szCs w:val="16"/>
              </w:rPr>
            </w:pPr>
            <w:r w:rsidRPr="00A41313">
              <w:rPr>
                <w:color w:val="000000"/>
                <w:sz w:val="16"/>
                <w:szCs w:val="16"/>
              </w:rPr>
              <w:t>1.747.613,82</w:t>
            </w:r>
          </w:p>
        </w:tc>
        <w:tc>
          <w:tcPr>
            <w:tcW w:w="1120" w:type="dxa"/>
            <w:tcBorders>
              <w:top w:val="nil"/>
              <w:left w:val="nil"/>
              <w:bottom w:val="single" w:sz="4" w:space="0" w:color="auto"/>
              <w:right w:val="single" w:sz="4" w:space="0" w:color="auto"/>
            </w:tcBorders>
            <w:noWrap/>
            <w:vAlign w:val="center"/>
            <w:hideMark/>
          </w:tcPr>
          <w:p w14:paraId="21594728" w14:textId="77777777" w:rsidR="00A41313" w:rsidRPr="00A41313" w:rsidRDefault="00A41313" w:rsidP="00A41313">
            <w:pPr>
              <w:jc w:val="right"/>
              <w:rPr>
                <w:color w:val="000000"/>
                <w:sz w:val="16"/>
                <w:szCs w:val="16"/>
              </w:rPr>
            </w:pPr>
            <w:r w:rsidRPr="00A41313">
              <w:rPr>
                <w:color w:val="000000"/>
                <w:sz w:val="16"/>
                <w:szCs w:val="16"/>
              </w:rPr>
              <w:t>1.747.613,82</w:t>
            </w:r>
          </w:p>
        </w:tc>
        <w:tc>
          <w:tcPr>
            <w:tcW w:w="1060" w:type="dxa"/>
            <w:tcBorders>
              <w:top w:val="nil"/>
              <w:left w:val="nil"/>
              <w:bottom w:val="single" w:sz="4" w:space="0" w:color="auto"/>
              <w:right w:val="single" w:sz="4" w:space="0" w:color="auto"/>
            </w:tcBorders>
            <w:noWrap/>
            <w:vAlign w:val="center"/>
            <w:hideMark/>
          </w:tcPr>
          <w:p w14:paraId="790B7FED" w14:textId="77777777" w:rsidR="00A41313" w:rsidRPr="00A41313" w:rsidRDefault="00A41313" w:rsidP="00A41313">
            <w:pPr>
              <w:jc w:val="right"/>
              <w:rPr>
                <w:color w:val="000000"/>
                <w:sz w:val="16"/>
                <w:szCs w:val="16"/>
              </w:rPr>
            </w:pPr>
            <w:r w:rsidRPr="00A41313">
              <w:rPr>
                <w:color w:val="000000"/>
                <w:sz w:val="16"/>
                <w:szCs w:val="16"/>
              </w:rPr>
              <w:t>1.744.497,18</w:t>
            </w:r>
          </w:p>
        </w:tc>
        <w:tc>
          <w:tcPr>
            <w:tcW w:w="960" w:type="dxa"/>
            <w:tcBorders>
              <w:top w:val="nil"/>
              <w:left w:val="nil"/>
              <w:bottom w:val="single" w:sz="4" w:space="0" w:color="auto"/>
              <w:right w:val="single" w:sz="4" w:space="0" w:color="auto"/>
            </w:tcBorders>
            <w:noWrap/>
            <w:vAlign w:val="center"/>
            <w:hideMark/>
          </w:tcPr>
          <w:p w14:paraId="4937A25B" w14:textId="77777777" w:rsidR="00A41313" w:rsidRPr="00A41313" w:rsidRDefault="00A41313" w:rsidP="00A41313">
            <w:pPr>
              <w:jc w:val="right"/>
              <w:rPr>
                <w:color w:val="000000"/>
                <w:sz w:val="16"/>
                <w:szCs w:val="16"/>
              </w:rPr>
            </w:pPr>
            <w:r w:rsidRPr="00A41313">
              <w:rPr>
                <w:color w:val="000000"/>
                <w:sz w:val="16"/>
                <w:szCs w:val="16"/>
              </w:rPr>
              <w:t>139,49%</w:t>
            </w:r>
          </w:p>
        </w:tc>
        <w:tc>
          <w:tcPr>
            <w:tcW w:w="960" w:type="dxa"/>
            <w:tcBorders>
              <w:top w:val="nil"/>
              <w:left w:val="nil"/>
              <w:bottom w:val="single" w:sz="4" w:space="0" w:color="auto"/>
              <w:right w:val="single" w:sz="4" w:space="0" w:color="auto"/>
            </w:tcBorders>
            <w:shd w:val="clear" w:color="000000" w:fill="FFFFFF"/>
            <w:noWrap/>
            <w:vAlign w:val="center"/>
            <w:hideMark/>
          </w:tcPr>
          <w:p w14:paraId="765C4F40" w14:textId="77777777" w:rsidR="00A41313" w:rsidRPr="00A41313" w:rsidRDefault="00A41313" w:rsidP="00A41313">
            <w:pPr>
              <w:jc w:val="right"/>
              <w:rPr>
                <w:color w:val="000000"/>
                <w:sz w:val="16"/>
                <w:szCs w:val="16"/>
              </w:rPr>
            </w:pPr>
            <w:r w:rsidRPr="00A41313">
              <w:rPr>
                <w:color w:val="000000"/>
                <w:sz w:val="16"/>
                <w:szCs w:val="16"/>
              </w:rPr>
              <w:t>100,00%</w:t>
            </w:r>
          </w:p>
        </w:tc>
      </w:tr>
      <w:tr w:rsidR="00A41313" w:rsidRPr="00A41313" w14:paraId="6108A969" w14:textId="77777777" w:rsidTr="00BB1392">
        <w:trPr>
          <w:trHeight w:val="495"/>
          <w:jc w:val="center"/>
        </w:trPr>
        <w:tc>
          <w:tcPr>
            <w:tcW w:w="10120" w:type="dxa"/>
            <w:gridSpan w:val="8"/>
            <w:tcBorders>
              <w:top w:val="nil"/>
              <w:left w:val="nil"/>
              <w:bottom w:val="nil"/>
              <w:right w:val="nil"/>
            </w:tcBorders>
            <w:noWrap/>
            <w:vAlign w:val="center"/>
            <w:hideMark/>
          </w:tcPr>
          <w:p w14:paraId="5408649C" w14:textId="77777777" w:rsidR="00A41313" w:rsidRPr="00A41313" w:rsidRDefault="00A41313" w:rsidP="00A41313">
            <w:pPr>
              <w:rPr>
                <w:b/>
                <w:bCs/>
                <w:color w:val="000000"/>
              </w:rPr>
            </w:pPr>
            <w:r w:rsidRPr="00A41313">
              <w:rPr>
                <w:b/>
                <w:bCs/>
                <w:color w:val="000000"/>
              </w:rPr>
              <w:t>B. Račun zaduživanja/financiranja</w:t>
            </w:r>
          </w:p>
        </w:tc>
      </w:tr>
      <w:tr w:rsidR="00A41313" w:rsidRPr="00A41313" w14:paraId="2DC29820" w14:textId="77777777" w:rsidTr="00BB1392">
        <w:trPr>
          <w:trHeight w:val="450"/>
          <w:jc w:val="center"/>
        </w:trPr>
        <w:tc>
          <w:tcPr>
            <w:tcW w:w="3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457FAD6" w14:textId="77777777" w:rsidR="00A41313" w:rsidRPr="00A41313" w:rsidRDefault="00A41313" w:rsidP="00A41313">
            <w:pPr>
              <w:rPr>
                <w:color w:val="000000"/>
                <w:sz w:val="18"/>
                <w:szCs w:val="18"/>
              </w:rPr>
            </w:pPr>
            <w:r w:rsidRPr="00A41313">
              <w:rPr>
                <w:color w:val="000000"/>
                <w:sz w:val="18"/>
                <w:szCs w:val="18"/>
              </w:rPr>
              <w:t>Primici od financijske imovine i zaduživanja</w:t>
            </w:r>
          </w:p>
        </w:tc>
        <w:tc>
          <w:tcPr>
            <w:tcW w:w="1280" w:type="dxa"/>
            <w:tcBorders>
              <w:top w:val="single" w:sz="4" w:space="0" w:color="auto"/>
              <w:left w:val="nil"/>
              <w:bottom w:val="single" w:sz="4" w:space="0" w:color="auto"/>
              <w:right w:val="single" w:sz="4" w:space="0" w:color="auto"/>
            </w:tcBorders>
            <w:shd w:val="clear" w:color="000000" w:fill="FFFFFF"/>
            <w:noWrap/>
            <w:vAlign w:val="center"/>
            <w:hideMark/>
          </w:tcPr>
          <w:p w14:paraId="5E3EA77A" w14:textId="77777777" w:rsidR="00A41313" w:rsidRPr="00A41313" w:rsidRDefault="00A41313" w:rsidP="00A41313">
            <w:pPr>
              <w:jc w:val="right"/>
              <w:rPr>
                <w:color w:val="000000"/>
                <w:sz w:val="16"/>
                <w:szCs w:val="16"/>
              </w:rPr>
            </w:pPr>
            <w:r w:rsidRPr="00A41313">
              <w:rPr>
                <w:color w:val="000000"/>
                <w:sz w:val="16"/>
                <w:szCs w:val="16"/>
              </w:rPr>
              <w:t>0,00</w:t>
            </w:r>
          </w:p>
        </w:tc>
        <w:tc>
          <w:tcPr>
            <w:tcW w:w="1120" w:type="dxa"/>
            <w:tcBorders>
              <w:top w:val="single" w:sz="4" w:space="0" w:color="auto"/>
              <w:left w:val="nil"/>
              <w:bottom w:val="single" w:sz="4" w:space="0" w:color="auto"/>
              <w:right w:val="single" w:sz="4" w:space="0" w:color="auto"/>
            </w:tcBorders>
            <w:shd w:val="clear" w:color="000000" w:fill="FFFFFF"/>
            <w:noWrap/>
            <w:vAlign w:val="center"/>
            <w:hideMark/>
          </w:tcPr>
          <w:p w14:paraId="24ABD4F4" w14:textId="77777777" w:rsidR="00A41313" w:rsidRPr="00A41313" w:rsidRDefault="00A41313" w:rsidP="00A41313">
            <w:pPr>
              <w:jc w:val="right"/>
              <w:rPr>
                <w:color w:val="000000"/>
                <w:sz w:val="16"/>
                <w:szCs w:val="16"/>
              </w:rPr>
            </w:pPr>
            <w:r w:rsidRPr="00A41313">
              <w:rPr>
                <w:color w:val="000000"/>
                <w:sz w:val="16"/>
                <w:szCs w:val="16"/>
              </w:rPr>
              <w:t>70.000,00</w:t>
            </w:r>
          </w:p>
        </w:tc>
        <w:tc>
          <w:tcPr>
            <w:tcW w:w="1120" w:type="dxa"/>
            <w:tcBorders>
              <w:top w:val="single" w:sz="4" w:space="0" w:color="auto"/>
              <w:left w:val="nil"/>
              <w:bottom w:val="single" w:sz="4" w:space="0" w:color="auto"/>
              <w:right w:val="single" w:sz="4" w:space="0" w:color="auto"/>
            </w:tcBorders>
            <w:shd w:val="clear" w:color="000000" w:fill="FFFFFF"/>
            <w:noWrap/>
            <w:vAlign w:val="center"/>
            <w:hideMark/>
          </w:tcPr>
          <w:p w14:paraId="6F15621D" w14:textId="77777777" w:rsidR="00A41313" w:rsidRPr="00A41313" w:rsidRDefault="00A41313" w:rsidP="00A41313">
            <w:pPr>
              <w:jc w:val="right"/>
              <w:rPr>
                <w:color w:val="000000"/>
                <w:sz w:val="16"/>
                <w:szCs w:val="16"/>
              </w:rPr>
            </w:pPr>
            <w:r w:rsidRPr="00A41313">
              <w:rPr>
                <w:color w:val="000000"/>
                <w:sz w:val="16"/>
                <w:szCs w:val="16"/>
              </w:rPr>
              <w:t>70.000,00</w:t>
            </w:r>
          </w:p>
        </w:tc>
        <w:tc>
          <w:tcPr>
            <w:tcW w:w="1060" w:type="dxa"/>
            <w:tcBorders>
              <w:top w:val="single" w:sz="4" w:space="0" w:color="auto"/>
              <w:left w:val="nil"/>
              <w:bottom w:val="single" w:sz="4" w:space="0" w:color="auto"/>
              <w:right w:val="single" w:sz="4" w:space="0" w:color="auto"/>
            </w:tcBorders>
            <w:shd w:val="clear" w:color="000000" w:fill="FFFFFF"/>
            <w:noWrap/>
            <w:vAlign w:val="center"/>
            <w:hideMark/>
          </w:tcPr>
          <w:p w14:paraId="2261EBB2" w14:textId="77777777" w:rsidR="00A41313" w:rsidRPr="00A41313" w:rsidRDefault="00A41313" w:rsidP="00A41313">
            <w:pPr>
              <w:jc w:val="right"/>
              <w:rPr>
                <w:color w:val="000000"/>
                <w:sz w:val="16"/>
                <w:szCs w:val="16"/>
              </w:rPr>
            </w:pPr>
            <w:r w:rsidRPr="00A41313">
              <w:rPr>
                <w:color w:val="000000"/>
                <w:sz w:val="16"/>
                <w:szCs w:val="16"/>
              </w:rPr>
              <w:t>42.776,75</w:t>
            </w:r>
          </w:p>
        </w:tc>
        <w:tc>
          <w:tcPr>
            <w:tcW w:w="960" w:type="dxa"/>
            <w:tcBorders>
              <w:top w:val="single" w:sz="4" w:space="0" w:color="auto"/>
              <w:left w:val="nil"/>
              <w:bottom w:val="single" w:sz="4" w:space="0" w:color="auto"/>
              <w:right w:val="single" w:sz="4" w:space="0" w:color="auto"/>
            </w:tcBorders>
            <w:noWrap/>
            <w:vAlign w:val="center"/>
            <w:hideMark/>
          </w:tcPr>
          <w:p w14:paraId="219BDA91" w14:textId="77777777" w:rsidR="00A41313" w:rsidRPr="00A41313" w:rsidRDefault="00A41313" w:rsidP="00A41313">
            <w:pPr>
              <w:jc w:val="right"/>
              <w:rPr>
                <w:color w:val="000000"/>
                <w:sz w:val="16"/>
                <w:szCs w:val="16"/>
              </w:rPr>
            </w:pPr>
            <w:r w:rsidRPr="00A41313">
              <w:rPr>
                <w:color w:val="000000"/>
                <w:sz w:val="16"/>
                <w:szCs w:val="16"/>
              </w:rPr>
              <w:t xml:space="preserve"> </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14:paraId="731CAA6A" w14:textId="77777777" w:rsidR="00A41313" w:rsidRPr="00A41313" w:rsidRDefault="00A41313" w:rsidP="00A41313">
            <w:pPr>
              <w:jc w:val="right"/>
              <w:rPr>
                <w:color w:val="000000"/>
                <w:sz w:val="16"/>
                <w:szCs w:val="16"/>
              </w:rPr>
            </w:pPr>
            <w:r w:rsidRPr="00A41313">
              <w:rPr>
                <w:color w:val="000000"/>
                <w:sz w:val="16"/>
                <w:szCs w:val="16"/>
              </w:rPr>
              <w:t>61,11%</w:t>
            </w:r>
          </w:p>
        </w:tc>
      </w:tr>
      <w:tr w:rsidR="00A41313" w:rsidRPr="00A41313" w14:paraId="7A1333A9" w14:textId="77777777" w:rsidTr="00BB1392">
        <w:trPr>
          <w:trHeight w:val="330"/>
          <w:jc w:val="center"/>
        </w:trPr>
        <w:tc>
          <w:tcPr>
            <w:tcW w:w="3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D52C198" w14:textId="77777777" w:rsidR="00A41313" w:rsidRPr="00A41313" w:rsidRDefault="00A41313" w:rsidP="00A41313">
            <w:pPr>
              <w:rPr>
                <w:color w:val="000000"/>
                <w:sz w:val="18"/>
                <w:szCs w:val="18"/>
              </w:rPr>
            </w:pPr>
            <w:r w:rsidRPr="00A41313">
              <w:rPr>
                <w:color w:val="000000"/>
                <w:sz w:val="18"/>
                <w:szCs w:val="18"/>
              </w:rPr>
              <w:t>Izdaci za financijsku imovinu i otplate zajmova</w:t>
            </w:r>
          </w:p>
        </w:tc>
        <w:tc>
          <w:tcPr>
            <w:tcW w:w="1280" w:type="dxa"/>
            <w:tcBorders>
              <w:top w:val="nil"/>
              <w:left w:val="nil"/>
              <w:bottom w:val="single" w:sz="4" w:space="0" w:color="auto"/>
              <w:right w:val="single" w:sz="4" w:space="0" w:color="auto"/>
            </w:tcBorders>
            <w:shd w:val="clear" w:color="000000" w:fill="FFFFFF"/>
            <w:noWrap/>
            <w:vAlign w:val="center"/>
            <w:hideMark/>
          </w:tcPr>
          <w:p w14:paraId="0AD9A004" w14:textId="77777777" w:rsidR="00A41313" w:rsidRPr="00A41313" w:rsidRDefault="00A41313" w:rsidP="00A41313">
            <w:pPr>
              <w:jc w:val="right"/>
              <w:rPr>
                <w:color w:val="000000"/>
                <w:sz w:val="16"/>
                <w:szCs w:val="16"/>
              </w:rPr>
            </w:pPr>
            <w:r w:rsidRPr="00A41313">
              <w:rPr>
                <w:color w:val="000000"/>
                <w:sz w:val="16"/>
                <w:szCs w:val="16"/>
              </w:rPr>
              <w:t>71.429,76</w:t>
            </w:r>
          </w:p>
        </w:tc>
        <w:tc>
          <w:tcPr>
            <w:tcW w:w="1120" w:type="dxa"/>
            <w:tcBorders>
              <w:top w:val="nil"/>
              <w:left w:val="nil"/>
              <w:bottom w:val="single" w:sz="4" w:space="0" w:color="auto"/>
              <w:right w:val="single" w:sz="4" w:space="0" w:color="auto"/>
            </w:tcBorders>
            <w:shd w:val="clear" w:color="000000" w:fill="FFFFFF"/>
            <w:noWrap/>
            <w:vAlign w:val="center"/>
            <w:hideMark/>
          </w:tcPr>
          <w:p w14:paraId="59DC6AFB" w14:textId="77777777" w:rsidR="00A41313" w:rsidRPr="00A41313" w:rsidRDefault="00A41313" w:rsidP="00A41313">
            <w:pPr>
              <w:jc w:val="right"/>
              <w:rPr>
                <w:color w:val="000000"/>
                <w:sz w:val="16"/>
                <w:szCs w:val="16"/>
              </w:rPr>
            </w:pPr>
            <w:r w:rsidRPr="00A41313">
              <w:rPr>
                <w:color w:val="000000"/>
                <w:sz w:val="16"/>
                <w:szCs w:val="16"/>
              </w:rPr>
              <w:t>267.203,76</w:t>
            </w:r>
          </w:p>
        </w:tc>
        <w:tc>
          <w:tcPr>
            <w:tcW w:w="1120" w:type="dxa"/>
            <w:tcBorders>
              <w:top w:val="nil"/>
              <w:left w:val="nil"/>
              <w:bottom w:val="single" w:sz="4" w:space="0" w:color="auto"/>
              <w:right w:val="single" w:sz="4" w:space="0" w:color="auto"/>
            </w:tcBorders>
            <w:shd w:val="clear" w:color="000000" w:fill="FFFFFF"/>
            <w:noWrap/>
            <w:vAlign w:val="center"/>
            <w:hideMark/>
          </w:tcPr>
          <w:p w14:paraId="7800FB7E" w14:textId="77777777" w:rsidR="00A41313" w:rsidRPr="00A41313" w:rsidRDefault="00A41313" w:rsidP="00A41313">
            <w:pPr>
              <w:jc w:val="right"/>
              <w:rPr>
                <w:color w:val="000000"/>
                <w:sz w:val="16"/>
                <w:szCs w:val="16"/>
              </w:rPr>
            </w:pPr>
            <w:r w:rsidRPr="00A41313">
              <w:rPr>
                <w:color w:val="000000"/>
                <w:sz w:val="16"/>
                <w:szCs w:val="16"/>
              </w:rPr>
              <w:t>267.203,76</w:t>
            </w:r>
          </w:p>
        </w:tc>
        <w:tc>
          <w:tcPr>
            <w:tcW w:w="1060" w:type="dxa"/>
            <w:tcBorders>
              <w:top w:val="nil"/>
              <w:left w:val="nil"/>
              <w:bottom w:val="single" w:sz="4" w:space="0" w:color="auto"/>
              <w:right w:val="single" w:sz="4" w:space="0" w:color="auto"/>
            </w:tcBorders>
            <w:shd w:val="clear" w:color="000000" w:fill="FFFFFF"/>
            <w:noWrap/>
            <w:vAlign w:val="center"/>
            <w:hideMark/>
          </w:tcPr>
          <w:p w14:paraId="58BD0895" w14:textId="77777777" w:rsidR="00A41313" w:rsidRPr="00A41313" w:rsidRDefault="00A41313" w:rsidP="00A41313">
            <w:pPr>
              <w:jc w:val="right"/>
              <w:rPr>
                <w:color w:val="000000"/>
                <w:sz w:val="16"/>
                <w:szCs w:val="16"/>
              </w:rPr>
            </w:pPr>
            <w:r w:rsidRPr="00A41313">
              <w:rPr>
                <w:color w:val="000000"/>
                <w:sz w:val="16"/>
                <w:szCs w:val="16"/>
              </w:rPr>
              <w:t>226.999,71</w:t>
            </w:r>
          </w:p>
        </w:tc>
        <w:tc>
          <w:tcPr>
            <w:tcW w:w="960" w:type="dxa"/>
            <w:tcBorders>
              <w:top w:val="nil"/>
              <w:left w:val="nil"/>
              <w:bottom w:val="single" w:sz="4" w:space="0" w:color="auto"/>
              <w:right w:val="single" w:sz="4" w:space="0" w:color="auto"/>
            </w:tcBorders>
            <w:noWrap/>
            <w:vAlign w:val="center"/>
            <w:hideMark/>
          </w:tcPr>
          <w:p w14:paraId="66FF270D" w14:textId="77777777" w:rsidR="00A41313" w:rsidRPr="00A41313" w:rsidRDefault="00A41313" w:rsidP="00A41313">
            <w:pPr>
              <w:jc w:val="right"/>
              <w:rPr>
                <w:color w:val="000000"/>
                <w:sz w:val="16"/>
                <w:szCs w:val="16"/>
              </w:rPr>
            </w:pPr>
            <w:r w:rsidRPr="00A41313">
              <w:rPr>
                <w:color w:val="000000"/>
                <w:sz w:val="16"/>
                <w:szCs w:val="16"/>
              </w:rPr>
              <w:t>317,79%</w:t>
            </w:r>
          </w:p>
        </w:tc>
        <w:tc>
          <w:tcPr>
            <w:tcW w:w="960" w:type="dxa"/>
            <w:tcBorders>
              <w:top w:val="nil"/>
              <w:left w:val="nil"/>
              <w:bottom w:val="single" w:sz="4" w:space="0" w:color="auto"/>
              <w:right w:val="single" w:sz="4" w:space="0" w:color="auto"/>
            </w:tcBorders>
            <w:shd w:val="clear" w:color="000000" w:fill="FFFFFF"/>
            <w:noWrap/>
            <w:vAlign w:val="center"/>
            <w:hideMark/>
          </w:tcPr>
          <w:p w14:paraId="6589FF47" w14:textId="77777777" w:rsidR="00A41313" w:rsidRPr="00A41313" w:rsidRDefault="00A41313" w:rsidP="00A41313">
            <w:pPr>
              <w:jc w:val="right"/>
              <w:rPr>
                <w:color w:val="000000"/>
                <w:sz w:val="16"/>
                <w:szCs w:val="16"/>
              </w:rPr>
            </w:pPr>
            <w:r w:rsidRPr="00A41313">
              <w:rPr>
                <w:color w:val="000000"/>
                <w:sz w:val="16"/>
                <w:szCs w:val="16"/>
              </w:rPr>
              <w:t>84,95%</w:t>
            </w:r>
          </w:p>
        </w:tc>
      </w:tr>
      <w:tr w:rsidR="00A41313" w:rsidRPr="00A41313" w14:paraId="7D654B28" w14:textId="77777777" w:rsidTr="00BB1392">
        <w:trPr>
          <w:trHeight w:val="555"/>
          <w:jc w:val="center"/>
        </w:trPr>
        <w:tc>
          <w:tcPr>
            <w:tcW w:w="3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DB1D7AD" w14:textId="77777777" w:rsidR="00A41313" w:rsidRPr="00A41313" w:rsidRDefault="00A41313" w:rsidP="00A41313">
            <w:pPr>
              <w:rPr>
                <w:color w:val="000000"/>
                <w:sz w:val="18"/>
                <w:szCs w:val="18"/>
              </w:rPr>
            </w:pPr>
            <w:r w:rsidRPr="00A41313">
              <w:rPr>
                <w:color w:val="000000"/>
                <w:sz w:val="18"/>
                <w:szCs w:val="18"/>
              </w:rPr>
              <w:t>NETO ZADUŽIVANJE</w:t>
            </w:r>
          </w:p>
        </w:tc>
        <w:tc>
          <w:tcPr>
            <w:tcW w:w="1280" w:type="dxa"/>
            <w:tcBorders>
              <w:top w:val="nil"/>
              <w:left w:val="nil"/>
              <w:bottom w:val="single" w:sz="4" w:space="0" w:color="auto"/>
              <w:right w:val="single" w:sz="4" w:space="0" w:color="auto"/>
            </w:tcBorders>
            <w:shd w:val="clear" w:color="000000" w:fill="FFFFFF"/>
            <w:noWrap/>
            <w:vAlign w:val="center"/>
            <w:hideMark/>
          </w:tcPr>
          <w:p w14:paraId="3AABD64C" w14:textId="77777777" w:rsidR="00A41313" w:rsidRPr="00A41313" w:rsidRDefault="00A41313" w:rsidP="00A41313">
            <w:pPr>
              <w:jc w:val="right"/>
              <w:rPr>
                <w:color w:val="000000"/>
                <w:sz w:val="16"/>
                <w:szCs w:val="16"/>
              </w:rPr>
            </w:pPr>
            <w:r w:rsidRPr="00A41313">
              <w:rPr>
                <w:color w:val="000000"/>
                <w:sz w:val="16"/>
                <w:szCs w:val="16"/>
              </w:rPr>
              <w:t>-71.429,76</w:t>
            </w:r>
          </w:p>
        </w:tc>
        <w:tc>
          <w:tcPr>
            <w:tcW w:w="1120" w:type="dxa"/>
            <w:tcBorders>
              <w:top w:val="nil"/>
              <w:left w:val="nil"/>
              <w:bottom w:val="single" w:sz="4" w:space="0" w:color="auto"/>
              <w:right w:val="single" w:sz="4" w:space="0" w:color="auto"/>
            </w:tcBorders>
            <w:shd w:val="clear" w:color="000000" w:fill="FFFFFF"/>
            <w:noWrap/>
            <w:vAlign w:val="center"/>
            <w:hideMark/>
          </w:tcPr>
          <w:p w14:paraId="6D490244" w14:textId="77777777" w:rsidR="00A41313" w:rsidRPr="00A41313" w:rsidRDefault="00A41313" w:rsidP="00A41313">
            <w:pPr>
              <w:jc w:val="right"/>
              <w:rPr>
                <w:color w:val="000000"/>
                <w:sz w:val="16"/>
                <w:szCs w:val="16"/>
              </w:rPr>
            </w:pPr>
            <w:r w:rsidRPr="00A41313">
              <w:rPr>
                <w:color w:val="000000"/>
                <w:sz w:val="16"/>
                <w:szCs w:val="16"/>
              </w:rPr>
              <w:t>-197.203,76</w:t>
            </w:r>
          </w:p>
        </w:tc>
        <w:tc>
          <w:tcPr>
            <w:tcW w:w="1120" w:type="dxa"/>
            <w:tcBorders>
              <w:top w:val="nil"/>
              <w:left w:val="nil"/>
              <w:bottom w:val="single" w:sz="4" w:space="0" w:color="auto"/>
              <w:right w:val="single" w:sz="4" w:space="0" w:color="auto"/>
            </w:tcBorders>
            <w:shd w:val="clear" w:color="000000" w:fill="FFFFFF"/>
            <w:noWrap/>
            <w:vAlign w:val="center"/>
            <w:hideMark/>
          </w:tcPr>
          <w:p w14:paraId="24E8D0AF" w14:textId="77777777" w:rsidR="00A41313" w:rsidRPr="00A41313" w:rsidRDefault="00A41313" w:rsidP="00A41313">
            <w:pPr>
              <w:jc w:val="right"/>
              <w:rPr>
                <w:color w:val="000000"/>
                <w:sz w:val="16"/>
                <w:szCs w:val="16"/>
              </w:rPr>
            </w:pPr>
            <w:r w:rsidRPr="00A41313">
              <w:rPr>
                <w:color w:val="000000"/>
                <w:sz w:val="16"/>
                <w:szCs w:val="16"/>
              </w:rPr>
              <w:t>-197.203,76</w:t>
            </w:r>
          </w:p>
        </w:tc>
        <w:tc>
          <w:tcPr>
            <w:tcW w:w="1060" w:type="dxa"/>
            <w:tcBorders>
              <w:top w:val="nil"/>
              <w:left w:val="nil"/>
              <w:bottom w:val="single" w:sz="4" w:space="0" w:color="auto"/>
              <w:right w:val="single" w:sz="4" w:space="0" w:color="auto"/>
            </w:tcBorders>
            <w:shd w:val="clear" w:color="000000" w:fill="FFFFFF"/>
            <w:noWrap/>
            <w:vAlign w:val="center"/>
            <w:hideMark/>
          </w:tcPr>
          <w:p w14:paraId="129A854C" w14:textId="77777777" w:rsidR="00A41313" w:rsidRPr="00A41313" w:rsidRDefault="00A41313" w:rsidP="00A41313">
            <w:pPr>
              <w:jc w:val="right"/>
              <w:rPr>
                <w:color w:val="000000"/>
                <w:sz w:val="16"/>
                <w:szCs w:val="16"/>
              </w:rPr>
            </w:pPr>
            <w:r w:rsidRPr="00A41313">
              <w:rPr>
                <w:color w:val="000000"/>
                <w:sz w:val="16"/>
                <w:szCs w:val="16"/>
              </w:rPr>
              <w:t>-184.222,96</w:t>
            </w:r>
          </w:p>
        </w:tc>
        <w:tc>
          <w:tcPr>
            <w:tcW w:w="960" w:type="dxa"/>
            <w:tcBorders>
              <w:top w:val="nil"/>
              <w:left w:val="nil"/>
              <w:bottom w:val="single" w:sz="4" w:space="0" w:color="auto"/>
              <w:right w:val="single" w:sz="4" w:space="0" w:color="auto"/>
            </w:tcBorders>
            <w:noWrap/>
            <w:vAlign w:val="center"/>
            <w:hideMark/>
          </w:tcPr>
          <w:p w14:paraId="4CF85F2B" w14:textId="77777777" w:rsidR="00A41313" w:rsidRPr="00A41313" w:rsidRDefault="00A41313" w:rsidP="00A41313">
            <w:pPr>
              <w:jc w:val="right"/>
              <w:rPr>
                <w:color w:val="000000"/>
                <w:sz w:val="16"/>
                <w:szCs w:val="16"/>
              </w:rPr>
            </w:pPr>
            <w:r w:rsidRPr="00A41313">
              <w:rPr>
                <w:color w:val="000000"/>
                <w:sz w:val="16"/>
                <w:szCs w:val="16"/>
              </w:rPr>
              <w:t>257,91%</w:t>
            </w:r>
          </w:p>
        </w:tc>
        <w:tc>
          <w:tcPr>
            <w:tcW w:w="960" w:type="dxa"/>
            <w:tcBorders>
              <w:top w:val="nil"/>
              <w:left w:val="nil"/>
              <w:bottom w:val="single" w:sz="4" w:space="0" w:color="auto"/>
              <w:right w:val="single" w:sz="4" w:space="0" w:color="auto"/>
            </w:tcBorders>
            <w:shd w:val="clear" w:color="000000" w:fill="FFFFFF"/>
            <w:noWrap/>
            <w:vAlign w:val="center"/>
            <w:hideMark/>
          </w:tcPr>
          <w:p w14:paraId="6F67D50D" w14:textId="77777777" w:rsidR="00A41313" w:rsidRPr="00A41313" w:rsidRDefault="00A41313" w:rsidP="00A41313">
            <w:pPr>
              <w:jc w:val="right"/>
              <w:rPr>
                <w:color w:val="000000"/>
                <w:sz w:val="16"/>
                <w:szCs w:val="16"/>
              </w:rPr>
            </w:pPr>
            <w:r w:rsidRPr="00A41313">
              <w:rPr>
                <w:color w:val="000000"/>
                <w:sz w:val="16"/>
                <w:szCs w:val="16"/>
              </w:rPr>
              <w:t>93,42%</w:t>
            </w:r>
          </w:p>
        </w:tc>
      </w:tr>
      <w:tr w:rsidR="00A41313" w:rsidRPr="00A41313" w14:paraId="7203C590" w14:textId="77777777" w:rsidTr="00BB1392">
        <w:trPr>
          <w:trHeight w:val="480"/>
          <w:jc w:val="center"/>
        </w:trPr>
        <w:tc>
          <w:tcPr>
            <w:tcW w:w="10120" w:type="dxa"/>
            <w:gridSpan w:val="8"/>
            <w:tcBorders>
              <w:top w:val="nil"/>
              <w:left w:val="nil"/>
              <w:bottom w:val="nil"/>
              <w:right w:val="nil"/>
            </w:tcBorders>
            <w:noWrap/>
            <w:vAlign w:val="center"/>
            <w:hideMark/>
          </w:tcPr>
          <w:p w14:paraId="32012C0D" w14:textId="77777777" w:rsidR="00A41313" w:rsidRPr="00A41313" w:rsidRDefault="00A41313" w:rsidP="00A41313">
            <w:pPr>
              <w:rPr>
                <w:b/>
                <w:bCs/>
                <w:color w:val="000000"/>
              </w:rPr>
            </w:pPr>
            <w:r w:rsidRPr="00A41313">
              <w:rPr>
                <w:b/>
                <w:bCs/>
                <w:color w:val="000000"/>
              </w:rPr>
              <w:t> </w:t>
            </w:r>
            <w:r w:rsidRPr="00A41313">
              <w:rPr>
                <w:b/>
                <w:bCs/>
                <w:color w:val="000000"/>
                <w:sz w:val="18"/>
                <w:szCs w:val="18"/>
              </w:rPr>
              <w:t>Višak/manjak+ neto financiranje + raspoloživa sredstva iz prethodnih godina</w:t>
            </w:r>
          </w:p>
        </w:tc>
      </w:tr>
      <w:tr w:rsidR="00A41313" w:rsidRPr="00A41313" w14:paraId="255AFF62" w14:textId="77777777" w:rsidTr="00BB1392">
        <w:trPr>
          <w:trHeight w:val="390"/>
          <w:jc w:val="center"/>
        </w:trPr>
        <w:tc>
          <w:tcPr>
            <w:tcW w:w="3620" w:type="dxa"/>
            <w:gridSpan w:val="2"/>
            <w:tcBorders>
              <w:top w:val="single" w:sz="4" w:space="0" w:color="auto"/>
              <w:left w:val="single" w:sz="4" w:space="0" w:color="auto"/>
              <w:bottom w:val="single" w:sz="4" w:space="0" w:color="auto"/>
              <w:right w:val="single" w:sz="4" w:space="0" w:color="auto"/>
            </w:tcBorders>
            <w:vAlign w:val="center"/>
            <w:hideMark/>
          </w:tcPr>
          <w:p w14:paraId="15BF1329" w14:textId="77777777" w:rsidR="00A41313" w:rsidRPr="00A41313" w:rsidRDefault="00A41313" w:rsidP="00A41313">
            <w:pPr>
              <w:rPr>
                <w:color w:val="000000"/>
                <w:sz w:val="18"/>
                <w:szCs w:val="18"/>
              </w:rPr>
            </w:pPr>
            <w:r w:rsidRPr="00A41313">
              <w:rPr>
                <w:color w:val="000000"/>
                <w:sz w:val="18"/>
                <w:szCs w:val="18"/>
              </w:rPr>
              <w:t>REZULTAT GODINE</w:t>
            </w:r>
          </w:p>
        </w:tc>
        <w:tc>
          <w:tcPr>
            <w:tcW w:w="1280" w:type="dxa"/>
            <w:tcBorders>
              <w:top w:val="single" w:sz="4" w:space="0" w:color="auto"/>
              <w:left w:val="nil"/>
              <w:bottom w:val="single" w:sz="4" w:space="0" w:color="auto"/>
              <w:right w:val="single" w:sz="4" w:space="0" w:color="auto"/>
            </w:tcBorders>
            <w:noWrap/>
            <w:vAlign w:val="center"/>
            <w:hideMark/>
          </w:tcPr>
          <w:p w14:paraId="5E4ECA75" w14:textId="77777777" w:rsidR="00A41313" w:rsidRPr="00A41313" w:rsidRDefault="00A41313" w:rsidP="00A41313">
            <w:pPr>
              <w:jc w:val="right"/>
              <w:rPr>
                <w:color w:val="000000"/>
                <w:sz w:val="16"/>
                <w:szCs w:val="16"/>
              </w:rPr>
            </w:pPr>
            <w:r w:rsidRPr="00A41313">
              <w:rPr>
                <w:color w:val="000000"/>
                <w:sz w:val="16"/>
                <w:szCs w:val="16"/>
              </w:rPr>
              <w:t>1.747.613,82</w:t>
            </w:r>
          </w:p>
        </w:tc>
        <w:tc>
          <w:tcPr>
            <w:tcW w:w="1120" w:type="dxa"/>
            <w:tcBorders>
              <w:top w:val="single" w:sz="4" w:space="0" w:color="auto"/>
              <w:left w:val="nil"/>
              <w:bottom w:val="single" w:sz="4" w:space="0" w:color="auto"/>
              <w:right w:val="single" w:sz="4" w:space="0" w:color="auto"/>
            </w:tcBorders>
            <w:noWrap/>
            <w:vAlign w:val="center"/>
            <w:hideMark/>
          </w:tcPr>
          <w:p w14:paraId="0FB9DE0C" w14:textId="77777777" w:rsidR="00A41313" w:rsidRPr="00A41313" w:rsidRDefault="00A41313" w:rsidP="00A41313">
            <w:pPr>
              <w:jc w:val="right"/>
              <w:rPr>
                <w:color w:val="000000"/>
                <w:sz w:val="16"/>
                <w:szCs w:val="16"/>
              </w:rPr>
            </w:pPr>
            <w:r w:rsidRPr="00A41313">
              <w:rPr>
                <w:color w:val="000000"/>
                <w:sz w:val="16"/>
                <w:szCs w:val="16"/>
              </w:rPr>
              <w:t>0,00</w:t>
            </w:r>
          </w:p>
        </w:tc>
        <w:tc>
          <w:tcPr>
            <w:tcW w:w="1120" w:type="dxa"/>
            <w:tcBorders>
              <w:top w:val="single" w:sz="4" w:space="0" w:color="auto"/>
              <w:left w:val="nil"/>
              <w:bottom w:val="single" w:sz="4" w:space="0" w:color="auto"/>
              <w:right w:val="single" w:sz="4" w:space="0" w:color="auto"/>
            </w:tcBorders>
            <w:noWrap/>
            <w:vAlign w:val="center"/>
            <w:hideMark/>
          </w:tcPr>
          <w:p w14:paraId="68882948" w14:textId="77777777" w:rsidR="00A41313" w:rsidRPr="00A41313" w:rsidRDefault="00A41313" w:rsidP="00A41313">
            <w:pPr>
              <w:jc w:val="right"/>
              <w:rPr>
                <w:color w:val="000000"/>
                <w:sz w:val="16"/>
                <w:szCs w:val="16"/>
              </w:rPr>
            </w:pPr>
            <w:r w:rsidRPr="00A41313">
              <w:rPr>
                <w:color w:val="000000"/>
                <w:sz w:val="16"/>
                <w:szCs w:val="16"/>
              </w:rPr>
              <w:t>0,00</w:t>
            </w:r>
          </w:p>
        </w:tc>
        <w:tc>
          <w:tcPr>
            <w:tcW w:w="1060" w:type="dxa"/>
            <w:tcBorders>
              <w:top w:val="single" w:sz="4" w:space="0" w:color="auto"/>
              <w:left w:val="nil"/>
              <w:bottom w:val="single" w:sz="4" w:space="0" w:color="auto"/>
              <w:right w:val="single" w:sz="4" w:space="0" w:color="auto"/>
            </w:tcBorders>
            <w:noWrap/>
            <w:vAlign w:val="center"/>
            <w:hideMark/>
          </w:tcPr>
          <w:p w14:paraId="4AA48E77" w14:textId="77777777" w:rsidR="00A41313" w:rsidRPr="00A41313" w:rsidRDefault="00A41313" w:rsidP="00A41313">
            <w:pPr>
              <w:jc w:val="right"/>
              <w:rPr>
                <w:color w:val="000000"/>
                <w:sz w:val="16"/>
                <w:szCs w:val="16"/>
              </w:rPr>
            </w:pPr>
            <w:r w:rsidRPr="00A41313">
              <w:rPr>
                <w:color w:val="000000"/>
                <w:sz w:val="16"/>
                <w:szCs w:val="16"/>
              </w:rPr>
              <w:t>2.709.843,21</w:t>
            </w:r>
          </w:p>
        </w:tc>
        <w:tc>
          <w:tcPr>
            <w:tcW w:w="960" w:type="dxa"/>
            <w:tcBorders>
              <w:top w:val="single" w:sz="4" w:space="0" w:color="auto"/>
              <w:left w:val="nil"/>
              <w:bottom w:val="single" w:sz="4" w:space="0" w:color="auto"/>
              <w:right w:val="single" w:sz="4" w:space="0" w:color="auto"/>
            </w:tcBorders>
            <w:noWrap/>
            <w:vAlign w:val="center"/>
            <w:hideMark/>
          </w:tcPr>
          <w:p w14:paraId="25FA46DF" w14:textId="77777777" w:rsidR="00A41313" w:rsidRPr="00A41313" w:rsidRDefault="00A41313" w:rsidP="00A41313">
            <w:pPr>
              <w:jc w:val="right"/>
              <w:rPr>
                <w:color w:val="000000"/>
                <w:sz w:val="16"/>
                <w:szCs w:val="16"/>
              </w:rPr>
            </w:pPr>
            <w:r w:rsidRPr="00A41313">
              <w:rPr>
                <w:color w:val="000000"/>
                <w:sz w:val="16"/>
                <w:szCs w:val="16"/>
              </w:rPr>
              <w:t>155,24%</w:t>
            </w:r>
          </w:p>
        </w:tc>
        <w:tc>
          <w:tcPr>
            <w:tcW w:w="960" w:type="dxa"/>
            <w:tcBorders>
              <w:top w:val="single" w:sz="4" w:space="0" w:color="auto"/>
              <w:left w:val="nil"/>
              <w:bottom w:val="single" w:sz="4" w:space="0" w:color="auto"/>
              <w:right w:val="single" w:sz="4" w:space="0" w:color="auto"/>
            </w:tcBorders>
            <w:noWrap/>
            <w:vAlign w:val="center"/>
            <w:hideMark/>
          </w:tcPr>
          <w:p w14:paraId="0D7D921C" w14:textId="77777777" w:rsidR="00A41313" w:rsidRPr="00A41313" w:rsidRDefault="00A41313" w:rsidP="00A41313">
            <w:pPr>
              <w:jc w:val="right"/>
              <w:rPr>
                <w:color w:val="000000"/>
                <w:sz w:val="16"/>
                <w:szCs w:val="16"/>
              </w:rPr>
            </w:pPr>
            <w:r w:rsidRPr="00A41313">
              <w:rPr>
                <w:color w:val="000000"/>
                <w:sz w:val="16"/>
                <w:szCs w:val="16"/>
              </w:rPr>
              <w:t>---</w:t>
            </w:r>
          </w:p>
        </w:tc>
      </w:tr>
    </w:tbl>
    <w:p w14:paraId="3F8B2282" w14:textId="77777777" w:rsidR="007B3E41" w:rsidRPr="007B3E41" w:rsidRDefault="007B3E41" w:rsidP="007B3E41">
      <w:pPr>
        <w:jc w:val="both"/>
      </w:pPr>
    </w:p>
    <w:p w14:paraId="57B7A9E5" w14:textId="77777777" w:rsidR="007B3E41" w:rsidRPr="007B3E41" w:rsidRDefault="007B3E41" w:rsidP="007B3E41">
      <w:pPr>
        <w:jc w:val="both"/>
      </w:pPr>
    </w:p>
    <w:p w14:paraId="3BFD99C6" w14:textId="77777777" w:rsidR="007B3E41" w:rsidRDefault="007B3E41" w:rsidP="007B3E41">
      <w:pPr>
        <w:jc w:val="both"/>
      </w:pPr>
    </w:p>
    <w:p w14:paraId="030514F0" w14:textId="77777777" w:rsidR="00A41313" w:rsidRDefault="00A41313" w:rsidP="007B3E41">
      <w:pPr>
        <w:jc w:val="both"/>
      </w:pPr>
    </w:p>
    <w:p w14:paraId="3DA8DA43" w14:textId="77777777" w:rsidR="00A41313" w:rsidRDefault="00A41313" w:rsidP="007B3E41">
      <w:pPr>
        <w:jc w:val="both"/>
      </w:pPr>
    </w:p>
    <w:p w14:paraId="11FDE629" w14:textId="77777777" w:rsidR="00A41313" w:rsidRDefault="00A41313" w:rsidP="007B3E41">
      <w:pPr>
        <w:jc w:val="both"/>
      </w:pPr>
    </w:p>
    <w:p w14:paraId="6B2810CD" w14:textId="77777777" w:rsidR="00A41313" w:rsidRDefault="00A41313" w:rsidP="007B3E41">
      <w:pPr>
        <w:jc w:val="both"/>
      </w:pPr>
    </w:p>
    <w:p w14:paraId="1AF10560" w14:textId="77777777" w:rsidR="00A41313" w:rsidRDefault="00A41313" w:rsidP="007B3E41">
      <w:pPr>
        <w:jc w:val="both"/>
      </w:pPr>
    </w:p>
    <w:p w14:paraId="5061C87B" w14:textId="77777777" w:rsidR="00A41313" w:rsidRDefault="00A41313" w:rsidP="007B3E41">
      <w:pPr>
        <w:jc w:val="both"/>
      </w:pPr>
    </w:p>
    <w:p w14:paraId="21CF7D01" w14:textId="77777777" w:rsidR="00A41313" w:rsidRDefault="00A41313" w:rsidP="007B3E41">
      <w:pPr>
        <w:jc w:val="both"/>
      </w:pPr>
    </w:p>
    <w:p w14:paraId="5A9E05F5" w14:textId="77777777" w:rsidR="00A41313" w:rsidRDefault="00A41313" w:rsidP="007B3E41">
      <w:pPr>
        <w:jc w:val="both"/>
      </w:pPr>
    </w:p>
    <w:p w14:paraId="660042B8" w14:textId="77777777" w:rsidR="00A41313" w:rsidRDefault="00A41313" w:rsidP="007B3E41">
      <w:pPr>
        <w:jc w:val="both"/>
      </w:pPr>
    </w:p>
    <w:p w14:paraId="02276712" w14:textId="77777777" w:rsidR="00A41313" w:rsidRDefault="00A41313" w:rsidP="007B3E41">
      <w:pPr>
        <w:jc w:val="both"/>
      </w:pPr>
    </w:p>
    <w:p w14:paraId="5B8A83B1" w14:textId="77777777" w:rsidR="00A41313" w:rsidRDefault="00A41313" w:rsidP="007B3E41">
      <w:pPr>
        <w:jc w:val="both"/>
      </w:pPr>
    </w:p>
    <w:p w14:paraId="33A16903" w14:textId="77777777" w:rsidR="00A41313" w:rsidRDefault="00A41313" w:rsidP="007B3E41">
      <w:pPr>
        <w:jc w:val="both"/>
      </w:pPr>
    </w:p>
    <w:p w14:paraId="746DBF0B" w14:textId="77777777" w:rsidR="00A41313" w:rsidRDefault="00A41313" w:rsidP="007B3E41">
      <w:pPr>
        <w:jc w:val="both"/>
      </w:pPr>
    </w:p>
    <w:p w14:paraId="0AF9D525" w14:textId="77777777" w:rsidR="00A41313" w:rsidRDefault="00A41313" w:rsidP="007B3E41">
      <w:pPr>
        <w:jc w:val="both"/>
      </w:pPr>
    </w:p>
    <w:p w14:paraId="1F7102F0" w14:textId="77777777" w:rsidR="00A41313" w:rsidRDefault="00A41313" w:rsidP="007B3E41">
      <w:pPr>
        <w:jc w:val="both"/>
      </w:pPr>
    </w:p>
    <w:p w14:paraId="51477F4D" w14:textId="77777777" w:rsidR="00A41313" w:rsidRDefault="00A41313" w:rsidP="007B3E41">
      <w:pPr>
        <w:jc w:val="both"/>
      </w:pPr>
    </w:p>
    <w:p w14:paraId="6BF0531F" w14:textId="77777777" w:rsidR="00A41313" w:rsidRDefault="00A41313" w:rsidP="007B3E41">
      <w:pPr>
        <w:jc w:val="both"/>
      </w:pPr>
    </w:p>
    <w:p w14:paraId="265A414C" w14:textId="77777777" w:rsidR="00A41313" w:rsidRDefault="00A41313" w:rsidP="007B3E41">
      <w:pPr>
        <w:jc w:val="both"/>
      </w:pPr>
    </w:p>
    <w:p w14:paraId="456D7225" w14:textId="77777777" w:rsidR="00A41313" w:rsidRDefault="00A41313" w:rsidP="007B3E41">
      <w:pPr>
        <w:jc w:val="both"/>
      </w:pPr>
    </w:p>
    <w:p w14:paraId="6C3EEBAB" w14:textId="77777777" w:rsidR="00A41313" w:rsidRDefault="00A41313" w:rsidP="007B3E41">
      <w:pPr>
        <w:jc w:val="both"/>
      </w:pPr>
    </w:p>
    <w:p w14:paraId="647765DF" w14:textId="77777777" w:rsidR="00A41313" w:rsidRDefault="00A41313" w:rsidP="007B3E41">
      <w:pPr>
        <w:jc w:val="both"/>
      </w:pPr>
    </w:p>
    <w:p w14:paraId="4626C0A6" w14:textId="77777777" w:rsidR="00A41313" w:rsidRDefault="00A41313" w:rsidP="007B3E41">
      <w:pPr>
        <w:jc w:val="both"/>
        <w:sectPr w:rsidR="00A41313" w:rsidSect="006411F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94"/>
          <w:cols w:space="708"/>
          <w:titlePg/>
          <w:docGrid w:linePitch="360"/>
        </w:sectPr>
      </w:pPr>
    </w:p>
    <w:p w14:paraId="19CC7448" w14:textId="77777777" w:rsidR="00416D67" w:rsidRPr="00416D67" w:rsidRDefault="00416D67" w:rsidP="00416D67">
      <w:pPr>
        <w:jc w:val="center"/>
        <w:rPr>
          <w:b/>
        </w:rPr>
      </w:pPr>
    </w:p>
    <w:p w14:paraId="5395A348" w14:textId="77777777" w:rsidR="00416D67" w:rsidRPr="00416D67" w:rsidRDefault="00416D67">
      <w:pPr>
        <w:numPr>
          <w:ilvl w:val="0"/>
          <w:numId w:val="12"/>
        </w:numPr>
        <w:jc w:val="both"/>
        <w:rPr>
          <w:b/>
          <w:sz w:val="20"/>
          <w:szCs w:val="20"/>
        </w:rPr>
      </w:pPr>
      <w:r w:rsidRPr="00416D67">
        <w:rPr>
          <w:b/>
          <w:sz w:val="20"/>
          <w:szCs w:val="20"/>
        </w:rPr>
        <w:t>RAČUN PRIHODA I RASHODA</w:t>
      </w:r>
    </w:p>
    <w:p w14:paraId="2EA5D2AE" w14:textId="77777777" w:rsidR="00416D67" w:rsidRPr="00416D67" w:rsidRDefault="00416D67" w:rsidP="00416D67">
      <w:pPr>
        <w:jc w:val="both"/>
        <w:rPr>
          <w:b/>
          <w:sz w:val="20"/>
          <w:szCs w:val="20"/>
        </w:rPr>
      </w:pPr>
      <w:r w:rsidRPr="00416D67">
        <w:rPr>
          <w:b/>
          <w:sz w:val="20"/>
          <w:szCs w:val="20"/>
        </w:rPr>
        <w:t>Račun prihoda i rashoda prema ekonomskoj klasifikaciji</w:t>
      </w:r>
    </w:p>
    <w:tbl>
      <w:tblPr>
        <w:tblW w:w="14220" w:type="dxa"/>
        <w:tblInd w:w="93" w:type="dxa"/>
        <w:tblLook w:val="04A0" w:firstRow="1" w:lastRow="0" w:firstColumn="1" w:lastColumn="0" w:noHBand="0" w:noVBand="1"/>
      </w:tblPr>
      <w:tblGrid>
        <w:gridCol w:w="6780"/>
        <w:gridCol w:w="1520"/>
        <w:gridCol w:w="1280"/>
        <w:gridCol w:w="1260"/>
        <w:gridCol w:w="1320"/>
        <w:gridCol w:w="1080"/>
        <w:gridCol w:w="980"/>
      </w:tblGrid>
      <w:tr w:rsidR="00416D67" w:rsidRPr="00416D67" w14:paraId="2F20DA9B" w14:textId="77777777" w:rsidTr="00BB1392">
        <w:trPr>
          <w:trHeight w:val="765"/>
        </w:trPr>
        <w:tc>
          <w:tcPr>
            <w:tcW w:w="678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A9028AA"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Račun / opis</w:t>
            </w:r>
          </w:p>
        </w:tc>
        <w:tc>
          <w:tcPr>
            <w:tcW w:w="1520" w:type="dxa"/>
            <w:tcBorders>
              <w:top w:val="single" w:sz="4" w:space="0" w:color="auto"/>
              <w:left w:val="nil"/>
              <w:bottom w:val="single" w:sz="4" w:space="0" w:color="auto"/>
              <w:right w:val="single" w:sz="4" w:space="0" w:color="auto"/>
            </w:tcBorders>
            <w:shd w:val="clear" w:color="000000" w:fill="C0C0C0"/>
            <w:vAlign w:val="bottom"/>
            <w:hideMark/>
          </w:tcPr>
          <w:p w14:paraId="7774D839"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Izvršenje proračuna 2024. godina</w:t>
            </w:r>
          </w:p>
        </w:tc>
        <w:tc>
          <w:tcPr>
            <w:tcW w:w="1280" w:type="dxa"/>
            <w:tcBorders>
              <w:top w:val="single" w:sz="4" w:space="0" w:color="auto"/>
              <w:left w:val="nil"/>
              <w:bottom w:val="single" w:sz="4" w:space="0" w:color="auto"/>
              <w:right w:val="single" w:sz="4" w:space="0" w:color="auto"/>
            </w:tcBorders>
            <w:shd w:val="clear" w:color="000000" w:fill="C0C0C0"/>
            <w:vAlign w:val="bottom"/>
            <w:hideMark/>
          </w:tcPr>
          <w:p w14:paraId="5897F413"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Izvorni plan proračuna 2025. godina</w:t>
            </w:r>
          </w:p>
        </w:tc>
        <w:tc>
          <w:tcPr>
            <w:tcW w:w="1260" w:type="dxa"/>
            <w:tcBorders>
              <w:top w:val="single" w:sz="4" w:space="0" w:color="auto"/>
              <w:left w:val="nil"/>
              <w:bottom w:val="single" w:sz="4" w:space="0" w:color="auto"/>
              <w:right w:val="single" w:sz="4" w:space="0" w:color="auto"/>
            </w:tcBorders>
            <w:shd w:val="clear" w:color="000000" w:fill="C0C0C0"/>
            <w:vAlign w:val="bottom"/>
            <w:hideMark/>
          </w:tcPr>
          <w:p w14:paraId="587B4FFF"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Tekući plan proračuna 2025. godina</w:t>
            </w:r>
          </w:p>
        </w:tc>
        <w:tc>
          <w:tcPr>
            <w:tcW w:w="1320" w:type="dxa"/>
            <w:tcBorders>
              <w:top w:val="single" w:sz="4" w:space="0" w:color="auto"/>
              <w:left w:val="nil"/>
              <w:bottom w:val="single" w:sz="4" w:space="0" w:color="auto"/>
              <w:right w:val="single" w:sz="4" w:space="0" w:color="auto"/>
            </w:tcBorders>
            <w:shd w:val="clear" w:color="000000" w:fill="C0C0C0"/>
            <w:vAlign w:val="bottom"/>
            <w:hideMark/>
          </w:tcPr>
          <w:p w14:paraId="0DB8D457"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Izvršenje proračuna 2025. godina</w:t>
            </w:r>
          </w:p>
        </w:tc>
        <w:tc>
          <w:tcPr>
            <w:tcW w:w="1080" w:type="dxa"/>
            <w:tcBorders>
              <w:top w:val="single" w:sz="4" w:space="0" w:color="auto"/>
              <w:left w:val="nil"/>
              <w:bottom w:val="single" w:sz="4" w:space="0" w:color="auto"/>
              <w:right w:val="single" w:sz="4" w:space="0" w:color="auto"/>
            </w:tcBorders>
            <w:shd w:val="clear" w:color="000000" w:fill="C0C0C0"/>
            <w:vAlign w:val="bottom"/>
            <w:hideMark/>
          </w:tcPr>
          <w:p w14:paraId="06B6B3E6"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Indeks  4/1</w:t>
            </w:r>
          </w:p>
        </w:tc>
        <w:tc>
          <w:tcPr>
            <w:tcW w:w="980" w:type="dxa"/>
            <w:tcBorders>
              <w:top w:val="single" w:sz="4" w:space="0" w:color="auto"/>
              <w:left w:val="nil"/>
              <w:bottom w:val="single" w:sz="4" w:space="0" w:color="auto"/>
              <w:right w:val="single" w:sz="4" w:space="0" w:color="auto"/>
            </w:tcBorders>
            <w:shd w:val="clear" w:color="000000" w:fill="C0C0C0"/>
            <w:vAlign w:val="bottom"/>
            <w:hideMark/>
          </w:tcPr>
          <w:p w14:paraId="2A202B10"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Indeks  4/3</w:t>
            </w:r>
          </w:p>
        </w:tc>
      </w:tr>
      <w:tr w:rsidR="00416D67" w:rsidRPr="00416D67" w14:paraId="4B0A3A5E"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A6F4553" w14:textId="77777777" w:rsidR="00416D67" w:rsidRPr="00416D67" w:rsidRDefault="00416D67" w:rsidP="00416D67">
            <w:pPr>
              <w:rPr>
                <w:rFonts w:ascii="Arial" w:hAnsi="Arial" w:cs="Arial"/>
                <w:b/>
                <w:bCs/>
                <w:color w:val="FFFFFF"/>
                <w:sz w:val="16"/>
                <w:szCs w:val="16"/>
              </w:rPr>
            </w:pPr>
            <w:r w:rsidRPr="00416D67">
              <w:rPr>
                <w:rFonts w:ascii="Arial" w:hAnsi="Arial" w:cs="Arial"/>
                <w:b/>
                <w:bCs/>
                <w:color w:val="FFFFFF"/>
                <w:sz w:val="16"/>
                <w:szCs w:val="16"/>
              </w:rPr>
              <w:t>A. RAČUN PRIHODA I RASHODA</w:t>
            </w:r>
          </w:p>
        </w:tc>
        <w:tc>
          <w:tcPr>
            <w:tcW w:w="1520" w:type="dxa"/>
            <w:tcBorders>
              <w:top w:val="single" w:sz="4" w:space="0" w:color="auto"/>
              <w:left w:val="nil"/>
              <w:bottom w:val="single" w:sz="4" w:space="0" w:color="auto"/>
              <w:right w:val="single" w:sz="4" w:space="0" w:color="auto"/>
            </w:tcBorders>
            <w:shd w:val="clear" w:color="000000" w:fill="808080"/>
            <w:noWrap/>
            <w:vAlign w:val="bottom"/>
            <w:hideMark/>
          </w:tcPr>
          <w:p w14:paraId="39C352E6" w14:textId="77777777" w:rsidR="00416D67" w:rsidRPr="00416D67" w:rsidRDefault="00416D67" w:rsidP="00416D67">
            <w:pPr>
              <w:jc w:val="center"/>
              <w:rPr>
                <w:rFonts w:ascii="Arial" w:hAnsi="Arial" w:cs="Arial"/>
                <w:b/>
                <w:bCs/>
                <w:color w:val="FFFFFF"/>
                <w:sz w:val="16"/>
                <w:szCs w:val="16"/>
              </w:rPr>
            </w:pPr>
            <w:r w:rsidRPr="00416D67">
              <w:rPr>
                <w:rFonts w:ascii="Arial" w:hAnsi="Arial" w:cs="Arial"/>
                <w:b/>
                <w:bCs/>
                <w:color w:val="FFFFFF"/>
                <w:sz w:val="16"/>
                <w:szCs w:val="16"/>
              </w:rPr>
              <w:t>1</w:t>
            </w:r>
          </w:p>
        </w:tc>
        <w:tc>
          <w:tcPr>
            <w:tcW w:w="1280" w:type="dxa"/>
            <w:tcBorders>
              <w:top w:val="single" w:sz="4" w:space="0" w:color="auto"/>
              <w:left w:val="nil"/>
              <w:bottom w:val="single" w:sz="4" w:space="0" w:color="auto"/>
              <w:right w:val="single" w:sz="4" w:space="0" w:color="auto"/>
            </w:tcBorders>
            <w:shd w:val="clear" w:color="000000" w:fill="808080"/>
            <w:noWrap/>
            <w:vAlign w:val="bottom"/>
            <w:hideMark/>
          </w:tcPr>
          <w:p w14:paraId="155021EA" w14:textId="77777777" w:rsidR="00416D67" w:rsidRPr="00416D67" w:rsidRDefault="00416D67" w:rsidP="00416D67">
            <w:pPr>
              <w:jc w:val="center"/>
              <w:rPr>
                <w:rFonts w:ascii="Arial" w:hAnsi="Arial" w:cs="Arial"/>
                <w:b/>
                <w:bCs/>
                <w:color w:val="FFFFFF"/>
                <w:sz w:val="16"/>
                <w:szCs w:val="16"/>
              </w:rPr>
            </w:pPr>
            <w:r w:rsidRPr="00416D67">
              <w:rPr>
                <w:rFonts w:ascii="Arial" w:hAnsi="Arial" w:cs="Arial"/>
                <w:b/>
                <w:bCs/>
                <w:color w:val="FFFFFF"/>
                <w:sz w:val="16"/>
                <w:szCs w:val="16"/>
              </w:rPr>
              <w:t>2</w:t>
            </w:r>
          </w:p>
        </w:tc>
        <w:tc>
          <w:tcPr>
            <w:tcW w:w="1260" w:type="dxa"/>
            <w:tcBorders>
              <w:top w:val="single" w:sz="4" w:space="0" w:color="auto"/>
              <w:left w:val="nil"/>
              <w:bottom w:val="single" w:sz="4" w:space="0" w:color="auto"/>
              <w:right w:val="single" w:sz="4" w:space="0" w:color="auto"/>
            </w:tcBorders>
            <w:shd w:val="clear" w:color="000000" w:fill="808080"/>
            <w:noWrap/>
            <w:vAlign w:val="bottom"/>
            <w:hideMark/>
          </w:tcPr>
          <w:p w14:paraId="3E31D81D" w14:textId="77777777" w:rsidR="00416D67" w:rsidRPr="00416D67" w:rsidRDefault="00416D67" w:rsidP="00416D67">
            <w:pPr>
              <w:jc w:val="center"/>
              <w:rPr>
                <w:rFonts w:ascii="Arial" w:hAnsi="Arial" w:cs="Arial"/>
                <w:b/>
                <w:bCs/>
                <w:color w:val="FFFFFF"/>
                <w:sz w:val="16"/>
                <w:szCs w:val="16"/>
              </w:rPr>
            </w:pPr>
            <w:r w:rsidRPr="00416D67">
              <w:rPr>
                <w:rFonts w:ascii="Arial" w:hAnsi="Arial" w:cs="Arial"/>
                <w:b/>
                <w:bCs/>
                <w:color w:val="FFFFFF"/>
                <w:sz w:val="16"/>
                <w:szCs w:val="16"/>
              </w:rPr>
              <w:t>3</w:t>
            </w:r>
          </w:p>
        </w:tc>
        <w:tc>
          <w:tcPr>
            <w:tcW w:w="1320" w:type="dxa"/>
            <w:tcBorders>
              <w:top w:val="single" w:sz="4" w:space="0" w:color="auto"/>
              <w:left w:val="nil"/>
              <w:bottom w:val="single" w:sz="4" w:space="0" w:color="auto"/>
              <w:right w:val="single" w:sz="4" w:space="0" w:color="auto"/>
            </w:tcBorders>
            <w:shd w:val="clear" w:color="000000" w:fill="808080"/>
            <w:noWrap/>
            <w:vAlign w:val="bottom"/>
            <w:hideMark/>
          </w:tcPr>
          <w:p w14:paraId="193C9CAA" w14:textId="77777777" w:rsidR="00416D67" w:rsidRPr="00416D67" w:rsidRDefault="00416D67" w:rsidP="00416D67">
            <w:pPr>
              <w:jc w:val="center"/>
              <w:rPr>
                <w:rFonts w:ascii="Arial" w:hAnsi="Arial" w:cs="Arial"/>
                <w:b/>
                <w:bCs/>
                <w:color w:val="FFFFFF"/>
                <w:sz w:val="16"/>
                <w:szCs w:val="16"/>
              </w:rPr>
            </w:pPr>
            <w:r w:rsidRPr="00416D67">
              <w:rPr>
                <w:rFonts w:ascii="Arial" w:hAnsi="Arial" w:cs="Arial"/>
                <w:b/>
                <w:bCs/>
                <w:color w:val="FFFFFF"/>
                <w:sz w:val="16"/>
                <w:szCs w:val="16"/>
              </w:rPr>
              <w:t>4</w:t>
            </w:r>
          </w:p>
        </w:tc>
        <w:tc>
          <w:tcPr>
            <w:tcW w:w="1080" w:type="dxa"/>
            <w:tcBorders>
              <w:top w:val="single" w:sz="4" w:space="0" w:color="auto"/>
              <w:left w:val="nil"/>
              <w:bottom w:val="single" w:sz="4" w:space="0" w:color="auto"/>
              <w:right w:val="single" w:sz="4" w:space="0" w:color="auto"/>
            </w:tcBorders>
            <w:shd w:val="clear" w:color="000000" w:fill="808080"/>
            <w:noWrap/>
            <w:vAlign w:val="bottom"/>
            <w:hideMark/>
          </w:tcPr>
          <w:p w14:paraId="4552EE37" w14:textId="77777777" w:rsidR="00416D67" w:rsidRPr="00416D67" w:rsidRDefault="00416D67" w:rsidP="00416D67">
            <w:pPr>
              <w:jc w:val="center"/>
              <w:rPr>
                <w:rFonts w:ascii="Arial" w:hAnsi="Arial" w:cs="Arial"/>
                <w:b/>
                <w:bCs/>
                <w:color w:val="FFFFFF"/>
                <w:sz w:val="16"/>
                <w:szCs w:val="16"/>
              </w:rPr>
            </w:pPr>
            <w:r w:rsidRPr="00416D67">
              <w:rPr>
                <w:rFonts w:ascii="Arial" w:hAnsi="Arial" w:cs="Arial"/>
                <w:b/>
                <w:bCs/>
                <w:color w:val="FFFFFF"/>
                <w:sz w:val="16"/>
                <w:szCs w:val="16"/>
              </w:rPr>
              <w:t>5</w:t>
            </w:r>
          </w:p>
        </w:tc>
        <w:tc>
          <w:tcPr>
            <w:tcW w:w="980" w:type="dxa"/>
            <w:tcBorders>
              <w:top w:val="single" w:sz="4" w:space="0" w:color="auto"/>
              <w:left w:val="nil"/>
              <w:bottom w:val="single" w:sz="4" w:space="0" w:color="auto"/>
              <w:right w:val="single" w:sz="4" w:space="0" w:color="auto"/>
            </w:tcBorders>
            <w:shd w:val="clear" w:color="000000" w:fill="808080"/>
            <w:noWrap/>
            <w:vAlign w:val="bottom"/>
            <w:hideMark/>
          </w:tcPr>
          <w:p w14:paraId="19898043" w14:textId="77777777" w:rsidR="00416D67" w:rsidRPr="00416D67" w:rsidRDefault="00416D67" w:rsidP="00416D67">
            <w:pPr>
              <w:jc w:val="center"/>
              <w:rPr>
                <w:rFonts w:ascii="Arial" w:hAnsi="Arial" w:cs="Arial"/>
                <w:b/>
                <w:bCs/>
                <w:color w:val="FFFFFF"/>
                <w:sz w:val="16"/>
                <w:szCs w:val="16"/>
              </w:rPr>
            </w:pPr>
            <w:r w:rsidRPr="00416D67">
              <w:rPr>
                <w:rFonts w:ascii="Arial" w:hAnsi="Arial" w:cs="Arial"/>
                <w:b/>
                <w:bCs/>
                <w:color w:val="FFFFFF"/>
                <w:sz w:val="16"/>
                <w:szCs w:val="16"/>
              </w:rPr>
              <w:t>6</w:t>
            </w:r>
          </w:p>
        </w:tc>
      </w:tr>
      <w:tr w:rsidR="00416D67" w:rsidRPr="00416D67" w14:paraId="32E8025F"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626E128B"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6 Prihodi poslovanja</w:t>
            </w:r>
          </w:p>
        </w:tc>
        <w:tc>
          <w:tcPr>
            <w:tcW w:w="1520" w:type="dxa"/>
            <w:tcBorders>
              <w:top w:val="single" w:sz="4" w:space="0" w:color="auto"/>
              <w:left w:val="nil"/>
              <w:bottom w:val="single" w:sz="4" w:space="0" w:color="auto"/>
              <w:right w:val="single" w:sz="4" w:space="0" w:color="auto"/>
            </w:tcBorders>
            <w:noWrap/>
            <w:vAlign w:val="bottom"/>
            <w:hideMark/>
          </w:tcPr>
          <w:p w14:paraId="33CA5C01"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5.807.544,36</w:t>
            </w:r>
          </w:p>
        </w:tc>
        <w:tc>
          <w:tcPr>
            <w:tcW w:w="1280" w:type="dxa"/>
            <w:tcBorders>
              <w:top w:val="single" w:sz="4" w:space="0" w:color="auto"/>
              <w:left w:val="nil"/>
              <w:bottom w:val="single" w:sz="4" w:space="0" w:color="auto"/>
              <w:right w:val="single" w:sz="4" w:space="0" w:color="auto"/>
            </w:tcBorders>
            <w:noWrap/>
            <w:vAlign w:val="bottom"/>
            <w:hideMark/>
          </w:tcPr>
          <w:p w14:paraId="75384F5A"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5.662.816,18</w:t>
            </w:r>
          </w:p>
        </w:tc>
        <w:tc>
          <w:tcPr>
            <w:tcW w:w="1260" w:type="dxa"/>
            <w:tcBorders>
              <w:top w:val="single" w:sz="4" w:space="0" w:color="auto"/>
              <w:left w:val="nil"/>
              <w:bottom w:val="single" w:sz="4" w:space="0" w:color="auto"/>
              <w:right w:val="single" w:sz="4" w:space="0" w:color="auto"/>
            </w:tcBorders>
            <w:noWrap/>
            <w:vAlign w:val="bottom"/>
            <w:hideMark/>
          </w:tcPr>
          <w:p w14:paraId="0C492A5B"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5.662.816,18</w:t>
            </w:r>
          </w:p>
        </w:tc>
        <w:tc>
          <w:tcPr>
            <w:tcW w:w="1320" w:type="dxa"/>
            <w:tcBorders>
              <w:top w:val="single" w:sz="4" w:space="0" w:color="auto"/>
              <w:left w:val="nil"/>
              <w:bottom w:val="single" w:sz="4" w:space="0" w:color="auto"/>
              <w:right w:val="single" w:sz="4" w:space="0" w:color="auto"/>
            </w:tcBorders>
            <w:noWrap/>
            <w:vAlign w:val="bottom"/>
            <w:hideMark/>
          </w:tcPr>
          <w:p w14:paraId="6DEAA5DE"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5.877.215,42</w:t>
            </w:r>
          </w:p>
        </w:tc>
        <w:tc>
          <w:tcPr>
            <w:tcW w:w="1080" w:type="dxa"/>
            <w:tcBorders>
              <w:top w:val="single" w:sz="4" w:space="0" w:color="auto"/>
              <w:left w:val="nil"/>
              <w:bottom w:val="single" w:sz="4" w:space="0" w:color="auto"/>
              <w:right w:val="single" w:sz="4" w:space="0" w:color="auto"/>
            </w:tcBorders>
            <w:noWrap/>
            <w:vAlign w:val="bottom"/>
            <w:hideMark/>
          </w:tcPr>
          <w:p w14:paraId="5DEA3A6B"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101,20%</w:t>
            </w:r>
          </w:p>
        </w:tc>
        <w:tc>
          <w:tcPr>
            <w:tcW w:w="980" w:type="dxa"/>
            <w:tcBorders>
              <w:top w:val="single" w:sz="4" w:space="0" w:color="auto"/>
              <w:left w:val="nil"/>
              <w:bottom w:val="single" w:sz="4" w:space="0" w:color="auto"/>
              <w:right w:val="single" w:sz="4" w:space="0" w:color="auto"/>
            </w:tcBorders>
            <w:noWrap/>
            <w:vAlign w:val="bottom"/>
            <w:hideMark/>
          </w:tcPr>
          <w:p w14:paraId="7DD015FA"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103,79%</w:t>
            </w:r>
          </w:p>
        </w:tc>
      </w:tr>
      <w:tr w:rsidR="00416D67" w:rsidRPr="00416D67" w14:paraId="6F9CDE78"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09AFB561"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61 Prihodi od poreza</w:t>
            </w:r>
          </w:p>
        </w:tc>
        <w:tc>
          <w:tcPr>
            <w:tcW w:w="1520" w:type="dxa"/>
            <w:tcBorders>
              <w:top w:val="single" w:sz="4" w:space="0" w:color="auto"/>
              <w:left w:val="nil"/>
              <w:bottom w:val="single" w:sz="4" w:space="0" w:color="auto"/>
              <w:right w:val="single" w:sz="4" w:space="0" w:color="auto"/>
            </w:tcBorders>
            <w:noWrap/>
            <w:vAlign w:val="bottom"/>
            <w:hideMark/>
          </w:tcPr>
          <w:p w14:paraId="34CE0CED"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3.723.457,63</w:t>
            </w:r>
          </w:p>
        </w:tc>
        <w:tc>
          <w:tcPr>
            <w:tcW w:w="1280" w:type="dxa"/>
            <w:tcBorders>
              <w:top w:val="single" w:sz="4" w:space="0" w:color="auto"/>
              <w:left w:val="nil"/>
              <w:bottom w:val="single" w:sz="4" w:space="0" w:color="auto"/>
              <w:right w:val="single" w:sz="4" w:space="0" w:color="auto"/>
            </w:tcBorders>
            <w:noWrap/>
            <w:vAlign w:val="bottom"/>
            <w:hideMark/>
          </w:tcPr>
          <w:p w14:paraId="5FD2ACE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3.815.252,17</w:t>
            </w:r>
          </w:p>
        </w:tc>
        <w:tc>
          <w:tcPr>
            <w:tcW w:w="1260" w:type="dxa"/>
            <w:tcBorders>
              <w:top w:val="single" w:sz="4" w:space="0" w:color="auto"/>
              <w:left w:val="nil"/>
              <w:bottom w:val="single" w:sz="4" w:space="0" w:color="auto"/>
              <w:right w:val="single" w:sz="4" w:space="0" w:color="auto"/>
            </w:tcBorders>
            <w:noWrap/>
            <w:vAlign w:val="bottom"/>
            <w:hideMark/>
          </w:tcPr>
          <w:p w14:paraId="303FD45D"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3.815.252,17</w:t>
            </w:r>
          </w:p>
        </w:tc>
        <w:tc>
          <w:tcPr>
            <w:tcW w:w="1320" w:type="dxa"/>
            <w:tcBorders>
              <w:top w:val="single" w:sz="4" w:space="0" w:color="auto"/>
              <w:left w:val="nil"/>
              <w:bottom w:val="single" w:sz="4" w:space="0" w:color="auto"/>
              <w:right w:val="single" w:sz="4" w:space="0" w:color="auto"/>
            </w:tcBorders>
            <w:noWrap/>
            <w:vAlign w:val="bottom"/>
            <w:hideMark/>
          </w:tcPr>
          <w:p w14:paraId="1BC2C157"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3.989.988,71</w:t>
            </w:r>
          </w:p>
        </w:tc>
        <w:tc>
          <w:tcPr>
            <w:tcW w:w="1080" w:type="dxa"/>
            <w:tcBorders>
              <w:top w:val="single" w:sz="4" w:space="0" w:color="auto"/>
              <w:left w:val="nil"/>
              <w:bottom w:val="single" w:sz="4" w:space="0" w:color="auto"/>
              <w:right w:val="single" w:sz="4" w:space="0" w:color="auto"/>
            </w:tcBorders>
            <w:noWrap/>
            <w:vAlign w:val="bottom"/>
            <w:hideMark/>
          </w:tcPr>
          <w:p w14:paraId="197FDA02"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107,16%</w:t>
            </w:r>
          </w:p>
        </w:tc>
        <w:tc>
          <w:tcPr>
            <w:tcW w:w="980" w:type="dxa"/>
            <w:tcBorders>
              <w:top w:val="single" w:sz="4" w:space="0" w:color="auto"/>
              <w:left w:val="nil"/>
              <w:bottom w:val="single" w:sz="4" w:space="0" w:color="auto"/>
              <w:right w:val="single" w:sz="4" w:space="0" w:color="auto"/>
            </w:tcBorders>
            <w:noWrap/>
            <w:vAlign w:val="bottom"/>
            <w:hideMark/>
          </w:tcPr>
          <w:p w14:paraId="58DB496E"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104,58%</w:t>
            </w:r>
          </w:p>
        </w:tc>
      </w:tr>
      <w:tr w:rsidR="00416D67" w:rsidRPr="00416D67" w14:paraId="49D55681"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700F95CE"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611 Porez na dohodak</w:t>
            </w:r>
          </w:p>
        </w:tc>
        <w:tc>
          <w:tcPr>
            <w:tcW w:w="1520" w:type="dxa"/>
            <w:tcBorders>
              <w:top w:val="single" w:sz="4" w:space="0" w:color="auto"/>
              <w:left w:val="nil"/>
              <w:bottom w:val="single" w:sz="4" w:space="0" w:color="auto"/>
              <w:right w:val="single" w:sz="4" w:space="0" w:color="auto"/>
            </w:tcBorders>
            <w:noWrap/>
            <w:vAlign w:val="bottom"/>
            <w:hideMark/>
          </w:tcPr>
          <w:p w14:paraId="20F2F58D"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2.461.042,49</w:t>
            </w:r>
          </w:p>
        </w:tc>
        <w:tc>
          <w:tcPr>
            <w:tcW w:w="1280" w:type="dxa"/>
            <w:tcBorders>
              <w:top w:val="single" w:sz="4" w:space="0" w:color="auto"/>
              <w:left w:val="nil"/>
              <w:bottom w:val="single" w:sz="4" w:space="0" w:color="auto"/>
              <w:right w:val="single" w:sz="4" w:space="0" w:color="auto"/>
            </w:tcBorders>
            <w:noWrap/>
            <w:vAlign w:val="bottom"/>
            <w:hideMark/>
          </w:tcPr>
          <w:p w14:paraId="23C2E37D"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069DEDE8"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73BC994C"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2.882.343,62</w:t>
            </w:r>
          </w:p>
        </w:tc>
        <w:tc>
          <w:tcPr>
            <w:tcW w:w="1080" w:type="dxa"/>
            <w:tcBorders>
              <w:top w:val="single" w:sz="4" w:space="0" w:color="auto"/>
              <w:left w:val="nil"/>
              <w:bottom w:val="single" w:sz="4" w:space="0" w:color="auto"/>
              <w:right w:val="single" w:sz="4" w:space="0" w:color="auto"/>
            </w:tcBorders>
            <w:noWrap/>
            <w:vAlign w:val="bottom"/>
            <w:hideMark/>
          </w:tcPr>
          <w:p w14:paraId="2551E568"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117,12%</w:t>
            </w:r>
          </w:p>
        </w:tc>
        <w:tc>
          <w:tcPr>
            <w:tcW w:w="980" w:type="dxa"/>
            <w:tcBorders>
              <w:top w:val="single" w:sz="4" w:space="0" w:color="auto"/>
              <w:left w:val="nil"/>
              <w:bottom w:val="single" w:sz="4" w:space="0" w:color="auto"/>
              <w:right w:val="single" w:sz="4" w:space="0" w:color="auto"/>
            </w:tcBorders>
            <w:noWrap/>
            <w:vAlign w:val="bottom"/>
            <w:hideMark/>
          </w:tcPr>
          <w:p w14:paraId="51DA96BB"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3CFCBB8F"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18647326" w14:textId="77777777" w:rsidR="00416D67" w:rsidRPr="00416D67" w:rsidRDefault="00416D67" w:rsidP="00416D67">
            <w:pPr>
              <w:rPr>
                <w:rFonts w:ascii="Arial" w:hAnsi="Arial" w:cs="Arial"/>
                <w:sz w:val="16"/>
                <w:szCs w:val="16"/>
              </w:rPr>
            </w:pPr>
            <w:r w:rsidRPr="00416D67">
              <w:rPr>
                <w:rFonts w:ascii="Arial" w:hAnsi="Arial" w:cs="Arial"/>
                <w:sz w:val="16"/>
                <w:szCs w:val="16"/>
              </w:rPr>
              <w:t>6111 Porez na dohodak od nesamostalnog rada</w:t>
            </w:r>
          </w:p>
        </w:tc>
        <w:tc>
          <w:tcPr>
            <w:tcW w:w="1520" w:type="dxa"/>
            <w:tcBorders>
              <w:top w:val="single" w:sz="4" w:space="0" w:color="auto"/>
              <w:left w:val="nil"/>
              <w:bottom w:val="single" w:sz="4" w:space="0" w:color="auto"/>
              <w:right w:val="single" w:sz="4" w:space="0" w:color="auto"/>
            </w:tcBorders>
            <w:noWrap/>
            <w:vAlign w:val="bottom"/>
            <w:hideMark/>
          </w:tcPr>
          <w:p w14:paraId="60A23BF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2.635.603,09</w:t>
            </w:r>
          </w:p>
        </w:tc>
        <w:tc>
          <w:tcPr>
            <w:tcW w:w="1280" w:type="dxa"/>
            <w:tcBorders>
              <w:top w:val="single" w:sz="4" w:space="0" w:color="auto"/>
              <w:left w:val="nil"/>
              <w:bottom w:val="single" w:sz="4" w:space="0" w:color="auto"/>
              <w:right w:val="single" w:sz="4" w:space="0" w:color="auto"/>
            </w:tcBorders>
            <w:noWrap/>
            <w:vAlign w:val="bottom"/>
            <w:hideMark/>
          </w:tcPr>
          <w:p w14:paraId="4AE25CC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690EEC8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7C95D362"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2.582.774,17</w:t>
            </w:r>
          </w:p>
        </w:tc>
        <w:tc>
          <w:tcPr>
            <w:tcW w:w="1080" w:type="dxa"/>
            <w:tcBorders>
              <w:top w:val="single" w:sz="4" w:space="0" w:color="auto"/>
              <w:left w:val="nil"/>
              <w:bottom w:val="single" w:sz="4" w:space="0" w:color="auto"/>
              <w:right w:val="single" w:sz="4" w:space="0" w:color="auto"/>
            </w:tcBorders>
            <w:noWrap/>
            <w:vAlign w:val="bottom"/>
            <w:hideMark/>
          </w:tcPr>
          <w:p w14:paraId="1ADB419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98,00%</w:t>
            </w:r>
          </w:p>
        </w:tc>
        <w:tc>
          <w:tcPr>
            <w:tcW w:w="980" w:type="dxa"/>
            <w:tcBorders>
              <w:top w:val="single" w:sz="4" w:space="0" w:color="auto"/>
              <w:left w:val="nil"/>
              <w:bottom w:val="single" w:sz="4" w:space="0" w:color="auto"/>
              <w:right w:val="single" w:sz="4" w:space="0" w:color="auto"/>
            </w:tcBorders>
            <w:noWrap/>
            <w:vAlign w:val="bottom"/>
            <w:hideMark/>
          </w:tcPr>
          <w:p w14:paraId="6870731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0A8C0A98"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46B4343E" w14:textId="77777777" w:rsidR="00416D67" w:rsidRPr="00416D67" w:rsidRDefault="00416D67" w:rsidP="00416D67">
            <w:pPr>
              <w:rPr>
                <w:rFonts w:ascii="Arial" w:hAnsi="Arial" w:cs="Arial"/>
                <w:sz w:val="16"/>
                <w:szCs w:val="16"/>
              </w:rPr>
            </w:pPr>
            <w:r w:rsidRPr="00416D67">
              <w:rPr>
                <w:rFonts w:ascii="Arial" w:hAnsi="Arial" w:cs="Arial"/>
                <w:sz w:val="16"/>
                <w:szCs w:val="16"/>
              </w:rPr>
              <w:t>6112 Porez na dohodak od samostalnih djelatnosti</w:t>
            </w:r>
          </w:p>
        </w:tc>
        <w:tc>
          <w:tcPr>
            <w:tcW w:w="1520" w:type="dxa"/>
            <w:tcBorders>
              <w:top w:val="single" w:sz="4" w:space="0" w:color="auto"/>
              <w:left w:val="nil"/>
              <w:bottom w:val="single" w:sz="4" w:space="0" w:color="auto"/>
              <w:right w:val="single" w:sz="4" w:space="0" w:color="auto"/>
            </w:tcBorders>
            <w:noWrap/>
            <w:vAlign w:val="bottom"/>
            <w:hideMark/>
          </w:tcPr>
          <w:p w14:paraId="0A44F97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80" w:type="dxa"/>
            <w:tcBorders>
              <w:top w:val="single" w:sz="4" w:space="0" w:color="auto"/>
              <w:left w:val="nil"/>
              <w:bottom w:val="single" w:sz="4" w:space="0" w:color="auto"/>
              <w:right w:val="single" w:sz="4" w:space="0" w:color="auto"/>
            </w:tcBorders>
            <w:noWrap/>
            <w:vAlign w:val="bottom"/>
            <w:hideMark/>
          </w:tcPr>
          <w:p w14:paraId="1322A332"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32DB76A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2863B51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141.254,05</w:t>
            </w:r>
          </w:p>
        </w:tc>
        <w:tc>
          <w:tcPr>
            <w:tcW w:w="1080" w:type="dxa"/>
            <w:tcBorders>
              <w:top w:val="single" w:sz="4" w:space="0" w:color="auto"/>
              <w:left w:val="nil"/>
              <w:bottom w:val="single" w:sz="4" w:space="0" w:color="auto"/>
              <w:right w:val="single" w:sz="4" w:space="0" w:color="auto"/>
            </w:tcBorders>
            <w:noWrap/>
            <w:vAlign w:val="bottom"/>
            <w:hideMark/>
          </w:tcPr>
          <w:p w14:paraId="14262332"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0,00%</w:t>
            </w:r>
          </w:p>
        </w:tc>
        <w:tc>
          <w:tcPr>
            <w:tcW w:w="980" w:type="dxa"/>
            <w:tcBorders>
              <w:top w:val="single" w:sz="4" w:space="0" w:color="auto"/>
              <w:left w:val="nil"/>
              <w:bottom w:val="single" w:sz="4" w:space="0" w:color="auto"/>
              <w:right w:val="single" w:sz="4" w:space="0" w:color="auto"/>
            </w:tcBorders>
            <w:noWrap/>
            <w:vAlign w:val="bottom"/>
            <w:hideMark/>
          </w:tcPr>
          <w:p w14:paraId="1620FCB9"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0E775C3E"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397F2457" w14:textId="77777777" w:rsidR="00416D67" w:rsidRPr="00416D67" w:rsidRDefault="00416D67" w:rsidP="00416D67">
            <w:pPr>
              <w:rPr>
                <w:rFonts w:ascii="Arial" w:hAnsi="Arial" w:cs="Arial"/>
                <w:sz w:val="16"/>
                <w:szCs w:val="16"/>
              </w:rPr>
            </w:pPr>
            <w:r w:rsidRPr="00416D67">
              <w:rPr>
                <w:rFonts w:ascii="Arial" w:hAnsi="Arial" w:cs="Arial"/>
                <w:sz w:val="16"/>
                <w:szCs w:val="16"/>
              </w:rPr>
              <w:t>6113 Porez na dohodak od imovine i imovinskih prava</w:t>
            </w:r>
          </w:p>
        </w:tc>
        <w:tc>
          <w:tcPr>
            <w:tcW w:w="1520" w:type="dxa"/>
            <w:tcBorders>
              <w:top w:val="single" w:sz="4" w:space="0" w:color="auto"/>
              <w:left w:val="nil"/>
              <w:bottom w:val="single" w:sz="4" w:space="0" w:color="auto"/>
              <w:right w:val="single" w:sz="4" w:space="0" w:color="auto"/>
            </w:tcBorders>
            <w:noWrap/>
            <w:vAlign w:val="bottom"/>
            <w:hideMark/>
          </w:tcPr>
          <w:p w14:paraId="5DA1DD2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80" w:type="dxa"/>
            <w:tcBorders>
              <w:top w:val="single" w:sz="4" w:space="0" w:color="auto"/>
              <w:left w:val="nil"/>
              <w:bottom w:val="single" w:sz="4" w:space="0" w:color="auto"/>
              <w:right w:val="single" w:sz="4" w:space="0" w:color="auto"/>
            </w:tcBorders>
            <w:noWrap/>
            <w:vAlign w:val="bottom"/>
            <w:hideMark/>
          </w:tcPr>
          <w:p w14:paraId="25ADAF7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1331CFC3"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78FC29A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267.434,51</w:t>
            </w:r>
          </w:p>
        </w:tc>
        <w:tc>
          <w:tcPr>
            <w:tcW w:w="1080" w:type="dxa"/>
            <w:tcBorders>
              <w:top w:val="single" w:sz="4" w:space="0" w:color="auto"/>
              <w:left w:val="nil"/>
              <w:bottom w:val="single" w:sz="4" w:space="0" w:color="auto"/>
              <w:right w:val="single" w:sz="4" w:space="0" w:color="auto"/>
            </w:tcBorders>
            <w:noWrap/>
            <w:vAlign w:val="bottom"/>
            <w:hideMark/>
          </w:tcPr>
          <w:p w14:paraId="7CD6E63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0,00%</w:t>
            </w:r>
          </w:p>
        </w:tc>
        <w:tc>
          <w:tcPr>
            <w:tcW w:w="980" w:type="dxa"/>
            <w:tcBorders>
              <w:top w:val="single" w:sz="4" w:space="0" w:color="auto"/>
              <w:left w:val="nil"/>
              <w:bottom w:val="single" w:sz="4" w:space="0" w:color="auto"/>
              <w:right w:val="single" w:sz="4" w:space="0" w:color="auto"/>
            </w:tcBorders>
            <w:noWrap/>
            <w:vAlign w:val="bottom"/>
            <w:hideMark/>
          </w:tcPr>
          <w:p w14:paraId="5B4C0562"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246888A4"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141A6F9F" w14:textId="77777777" w:rsidR="00416D67" w:rsidRPr="00416D67" w:rsidRDefault="00416D67" w:rsidP="00416D67">
            <w:pPr>
              <w:rPr>
                <w:rFonts w:ascii="Arial" w:hAnsi="Arial" w:cs="Arial"/>
                <w:sz w:val="16"/>
                <w:szCs w:val="16"/>
              </w:rPr>
            </w:pPr>
            <w:r w:rsidRPr="00416D67">
              <w:rPr>
                <w:rFonts w:ascii="Arial" w:hAnsi="Arial" w:cs="Arial"/>
                <w:sz w:val="16"/>
                <w:szCs w:val="16"/>
              </w:rPr>
              <w:t>6114 Porez na dohodak od kapitala</w:t>
            </w:r>
          </w:p>
        </w:tc>
        <w:tc>
          <w:tcPr>
            <w:tcW w:w="1520" w:type="dxa"/>
            <w:tcBorders>
              <w:top w:val="single" w:sz="4" w:space="0" w:color="auto"/>
              <w:left w:val="nil"/>
              <w:bottom w:val="single" w:sz="4" w:space="0" w:color="auto"/>
              <w:right w:val="single" w:sz="4" w:space="0" w:color="auto"/>
            </w:tcBorders>
            <w:noWrap/>
            <w:vAlign w:val="bottom"/>
            <w:hideMark/>
          </w:tcPr>
          <w:p w14:paraId="5538E9F9"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80" w:type="dxa"/>
            <w:tcBorders>
              <w:top w:val="single" w:sz="4" w:space="0" w:color="auto"/>
              <w:left w:val="nil"/>
              <w:bottom w:val="single" w:sz="4" w:space="0" w:color="auto"/>
              <w:right w:val="single" w:sz="4" w:space="0" w:color="auto"/>
            </w:tcBorders>
            <w:noWrap/>
            <w:vAlign w:val="bottom"/>
            <w:hideMark/>
          </w:tcPr>
          <w:p w14:paraId="0374CCA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32DCCCC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5BA9F15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87.801,83</w:t>
            </w:r>
          </w:p>
        </w:tc>
        <w:tc>
          <w:tcPr>
            <w:tcW w:w="1080" w:type="dxa"/>
            <w:tcBorders>
              <w:top w:val="single" w:sz="4" w:space="0" w:color="auto"/>
              <w:left w:val="nil"/>
              <w:bottom w:val="single" w:sz="4" w:space="0" w:color="auto"/>
              <w:right w:val="single" w:sz="4" w:space="0" w:color="auto"/>
            </w:tcBorders>
            <w:noWrap/>
            <w:vAlign w:val="bottom"/>
            <w:hideMark/>
          </w:tcPr>
          <w:p w14:paraId="219DB0F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0,00%</w:t>
            </w:r>
          </w:p>
        </w:tc>
        <w:tc>
          <w:tcPr>
            <w:tcW w:w="980" w:type="dxa"/>
            <w:tcBorders>
              <w:top w:val="single" w:sz="4" w:space="0" w:color="auto"/>
              <w:left w:val="nil"/>
              <w:bottom w:val="single" w:sz="4" w:space="0" w:color="auto"/>
              <w:right w:val="single" w:sz="4" w:space="0" w:color="auto"/>
            </w:tcBorders>
            <w:noWrap/>
            <w:vAlign w:val="bottom"/>
            <w:hideMark/>
          </w:tcPr>
          <w:p w14:paraId="399BADD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7A4AFFDD"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594EC143" w14:textId="77777777" w:rsidR="00416D67" w:rsidRPr="00416D67" w:rsidRDefault="00416D67" w:rsidP="00416D67">
            <w:pPr>
              <w:rPr>
                <w:rFonts w:ascii="Arial" w:hAnsi="Arial" w:cs="Arial"/>
                <w:sz w:val="16"/>
                <w:szCs w:val="16"/>
              </w:rPr>
            </w:pPr>
            <w:r w:rsidRPr="00416D67">
              <w:rPr>
                <w:rFonts w:ascii="Arial" w:hAnsi="Arial" w:cs="Arial"/>
                <w:sz w:val="16"/>
                <w:szCs w:val="16"/>
              </w:rPr>
              <w:t>6115 Porez na dohodak po godišnjoj prijavi</w:t>
            </w:r>
          </w:p>
        </w:tc>
        <w:tc>
          <w:tcPr>
            <w:tcW w:w="1520" w:type="dxa"/>
            <w:tcBorders>
              <w:top w:val="single" w:sz="4" w:space="0" w:color="auto"/>
              <w:left w:val="nil"/>
              <w:bottom w:val="single" w:sz="4" w:space="0" w:color="auto"/>
              <w:right w:val="single" w:sz="4" w:space="0" w:color="auto"/>
            </w:tcBorders>
            <w:noWrap/>
            <w:vAlign w:val="bottom"/>
            <w:hideMark/>
          </w:tcPr>
          <w:p w14:paraId="3D58FE5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80" w:type="dxa"/>
            <w:tcBorders>
              <w:top w:val="single" w:sz="4" w:space="0" w:color="auto"/>
              <w:left w:val="nil"/>
              <w:bottom w:val="single" w:sz="4" w:space="0" w:color="auto"/>
              <w:right w:val="single" w:sz="4" w:space="0" w:color="auto"/>
            </w:tcBorders>
            <w:noWrap/>
            <w:vAlign w:val="bottom"/>
            <w:hideMark/>
          </w:tcPr>
          <w:p w14:paraId="1A21D84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1F73B826"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356C49C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130.569,92</w:t>
            </w:r>
          </w:p>
        </w:tc>
        <w:tc>
          <w:tcPr>
            <w:tcW w:w="1080" w:type="dxa"/>
            <w:tcBorders>
              <w:top w:val="single" w:sz="4" w:space="0" w:color="auto"/>
              <w:left w:val="nil"/>
              <w:bottom w:val="single" w:sz="4" w:space="0" w:color="auto"/>
              <w:right w:val="single" w:sz="4" w:space="0" w:color="auto"/>
            </w:tcBorders>
            <w:noWrap/>
            <w:vAlign w:val="bottom"/>
            <w:hideMark/>
          </w:tcPr>
          <w:p w14:paraId="1657CF3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0,00%</w:t>
            </w:r>
          </w:p>
        </w:tc>
        <w:tc>
          <w:tcPr>
            <w:tcW w:w="980" w:type="dxa"/>
            <w:tcBorders>
              <w:top w:val="single" w:sz="4" w:space="0" w:color="auto"/>
              <w:left w:val="nil"/>
              <w:bottom w:val="single" w:sz="4" w:space="0" w:color="auto"/>
              <w:right w:val="single" w:sz="4" w:space="0" w:color="auto"/>
            </w:tcBorders>
            <w:noWrap/>
            <w:vAlign w:val="bottom"/>
            <w:hideMark/>
          </w:tcPr>
          <w:p w14:paraId="41B5E62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60DC81C9"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2A46CD1A" w14:textId="77777777" w:rsidR="00416D67" w:rsidRPr="00416D67" w:rsidRDefault="00416D67" w:rsidP="00416D67">
            <w:pPr>
              <w:rPr>
                <w:rFonts w:ascii="Arial" w:hAnsi="Arial" w:cs="Arial"/>
                <w:sz w:val="16"/>
                <w:szCs w:val="16"/>
              </w:rPr>
            </w:pPr>
            <w:r w:rsidRPr="00416D67">
              <w:rPr>
                <w:rFonts w:ascii="Arial" w:hAnsi="Arial" w:cs="Arial"/>
                <w:sz w:val="16"/>
                <w:szCs w:val="16"/>
              </w:rPr>
              <w:t>6116 Porez na dohodak utvrđen u postupku nadzora za prethodne godine</w:t>
            </w:r>
          </w:p>
        </w:tc>
        <w:tc>
          <w:tcPr>
            <w:tcW w:w="1520" w:type="dxa"/>
            <w:tcBorders>
              <w:top w:val="single" w:sz="4" w:space="0" w:color="auto"/>
              <w:left w:val="nil"/>
              <w:bottom w:val="single" w:sz="4" w:space="0" w:color="auto"/>
              <w:right w:val="single" w:sz="4" w:space="0" w:color="auto"/>
            </w:tcBorders>
            <w:noWrap/>
            <w:vAlign w:val="bottom"/>
            <w:hideMark/>
          </w:tcPr>
          <w:p w14:paraId="7937362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80" w:type="dxa"/>
            <w:tcBorders>
              <w:top w:val="single" w:sz="4" w:space="0" w:color="auto"/>
              <w:left w:val="nil"/>
              <w:bottom w:val="single" w:sz="4" w:space="0" w:color="auto"/>
              <w:right w:val="single" w:sz="4" w:space="0" w:color="auto"/>
            </w:tcBorders>
            <w:noWrap/>
            <w:vAlign w:val="bottom"/>
            <w:hideMark/>
          </w:tcPr>
          <w:p w14:paraId="56269DD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22810E6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4C12571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4.831,55</w:t>
            </w:r>
          </w:p>
        </w:tc>
        <w:tc>
          <w:tcPr>
            <w:tcW w:w="1080" w:type="dxa"/>
            <w:tcBorders>
              <w:top w:val="single" w:sz="4" w:space="0" w:color="auto"/>
              <w:left w:val="nil"/>
              <w:bottom w:val="single" w:sz="4" w:space="0" w:color="auto"/>
              <w:right w:val="single" w:sz="4" w:space="0" w:color="auto"/>
            </w:tcBorders>
            <w:noWrap/>
            <w:vAlign w:val="bottom"/>
            <w:hideMark/>
          </w:tcPr>
          <w:p w14:paraId="76A3E6BE"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0,00%</w:t>
            </w:r>
          </w:p>
        </w:tc>
        <w:tc>
          <w:tcPr>
            <w:tcW w:w="980" w:type="dxa"/>
            <w:tcBorders>
              <w:top w:val="single" w:sz="4" w:space="0" w:color="auto"/>
              <w:left w:val="nil"/>
              <w:bottom w:val="single" w:sz="4" w:space="0" w:color="auto"/>
              <w:right w:val="single" w:sz="4" w:space="0" w:color="auto"/>
            </w:tcBorders>
            <w:noWrap/>
            <w:vAlign w:val="bottom"/>
            <w:hideMark/>
          </w:tcPr>
          <w:p w14:paraId="08D7FB9E"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34F4F280"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066BEE5D" w14:textId="77777777" w:rsidR="00416D67" w:rsidRPr="00416D67" w:rsidRDefault="00416D67" w:rsidP="00416D67">
            <w:pPr>
              <w:rPr>
                <w:rFonts w:ascii="Arial" w:hAnsi="Arial" w:cs="Arial"/>
                <w:sz w:val="16"/>
                <w:szCs w:val="16"/>
              </w:rPr>
            </w:pPr>
            <w:r w:rsidRPr="00416D67">
              <w:rPr>
                <w:rFonts w:ascii="Arial" w:hAnsi="Arial" w:cs="Arial"/>
                <w:sz w:val="16"/>
                <w:szCs w:val="16"/>
              </w:rPr>
              <w:t>6117 Povrat poreza na dohodak po godišnjoj prijavi</w:t>
            </w:r>
          </w:p>
        </w:tc>
        <w:tc>
          <w:tcPr>
            <w:tcW w:w="1520" w:type="dxa"/>
            <w:tcBorders>
              <w:top w:val="single" w:sz="4" w:space="0" w:color="auto"/>
              <w:left w:val="nil"/>
              <w:bottom w:val="single" w:sz="4" w:space="0" w:color="auto"/>
              <w:right w:val="single" w:sz="4" w:space="0" w:color="auto"/>
            </w:tcBorders>
            <w:noWrap/>
            <w:vAlign w:val="bottom"/>
            <w:hideMark/>
          </w:tcPr>
          <w:p w14:paraId="75A4204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-174.560,60</w:t>
            </w:r>
          </w:p>
        </w:tc>
        <w:tc>
          <w:tcPr>
            <w:tcW w:w="1280" w:type="dxa"/>
            <w:tcBorders>
              <w:top w:val="single" w:sz="4" w:space="0" w:color="auto"/>
              <w:left w:val="nil"/>
              <w:bottom w:val="single" w:sz="4" w:space="0" w:color="auto"/>
              <w:right w:val="single" w:sz="4" w:space="0" w:color="auto"/>
            </w:tcBorders>
            <w:noWrap/>
            <w:vAlign w:val="bottom"/>
            <w:hideMark/>
          </w:tcPr>
          <w:p w14:paraId="347824D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002ABB3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025C84F9"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-332.322,41</w:t>
            </w:r>
          </w:p>
        </w:tc>
        <w:tc>
          <w:tcPr>
            <w:tcW w:w="1080" w:type="dxa"/>
            <w:tcBorders>
              <w:top w:val="single" w:sz="4" w:space="0" w:color="auto"/>
              <w:left w:val="nil"/>
              <w:bottom w:val="single" w:sz="4" w:space="0" w:color="auto"/>
              <w:right w:val="single" w:sz="4" w:space="0" w:color="auto"/>
            </w:tcBorders>
            <w:noWrap/>
            <w:vAlign w:val="bottom"/>
            <w:hideMark/>
          </w:tcPr>
          <w:p w14:paraId="3265F816"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190,38%</w:t>
            </w:r>
          </w:p>
        </w:tc>
        <w:tc>
          <w:tcPr>
            <w:tcW w:w="980" w:type="dxa"/>
            <w:tcBorders>
              <w:top w:val="single" w:sz="4" w:space="0" w:color="auto"/>
              <w:left w:val="nil"/>
              <w:bottom w:val="single" w:sz="4" w:space="0" w:color="auto"/>
              <w:right w:val="single" w:sz="4" w:space="0" w:color="auto"/>
            </w:tcBorders>
            <w:noWrap/>
            <w:vAlign w:val="bottom"/>
            <w:hideMark/>
          </w:tcPr>
          <w:p w14:paraId="0CEB2B9E"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54FB4071"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3407ED22"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613 Porezi na imovinu</w:t>
            </w:r>
          </w:p>
        </w:tc>
        <w:tc>
          <w:tcPr>
            <w:tcW w:w="1520" w:type="dxa"/>
            <w:tcBorders>
              <w:top w:val="single" w:sz="4" w:space="0" w:color="auto"/>
              <w:left w:val="nil"/>
              <w:bottom w:val="single" w:sz="4" w:space="0" w:color="auto"/>
              <w:right w:val="single" w:sz="4" w:space="0" w:color="auto"/>
            </w:tcBorders>
            <w:noWrap/>
            <w:vAlign w:val="bottom"/>
            <w:hideMark/>
          </w:tcPr>
          <w:p w14:paraId="2F20FE44"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1.238.399,76</w:t>
            </w:r>
          </w:p>
        </w:tc>
        <w:tc>
          <w:tcPr>
            <w:tcW w:w="1280" w:type="dxa"/>
            <w:tcBorders>
              <w:top w:val="single" w:sz="4" w:space="0" w:color="auto"/>
              <w:left w:val="nil"/>
              <w:bottom w:val="single" w:sz="4" w:space="0" w:color="auto"/>
              <w:right w:val="single" w:sz="4" w:space="0" w:color="auto"/>
            </w:tcBorders>
            <w:noWrap/>
            <w:vAlign w:val="bottom"/>
            <w:hideMark/>
          </w:tcPr>
          <w:p w14:paraId="1FC74EC9"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3C262935"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1F07B095"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1.082.274,09</w:t>
            </w:r>
          </w:p>
        </w:tc>
        <w:tc>
          <w:tcPr>
            <w:tcW w:w="1080" w:type="dxa"/>
            <w:tcBorders>
              <w:top w:val="single" w:sz="4" w:space="0" w:color="auto"/>
              <w:left w:val="nil"/>
              <w:bottom w:val="single" w:sz="4" w:space="0" w:color="auto"/>
              <w:right w:val="single" w:sz="4" w:space="0" w:color="auto"/>
            </w:tcBorders>
            <w:noWrap/>
            <w:vAlign w:val="bottom"/>
            <w:hideMark/>
          </w:tcPr>
          <w:p w14:paraId="050E0984"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87,39%</w:t>
            </w:r>
          </w:p>
        </w:tc>
        <w:tc>
          <w:tcPr>
            <w:tcW w:w="980" w:type="dxa"/>
            <w:tcBorders>
              <w:top w:val="single" w:sz="4" w:space="0" w:color="auto"/>
              <w:left w:val="nil"/>
              <w:bottom w:val="single" w:sz="4" w:space="0" w:color="auto"/>
              <w:right w:val="single" w:sz="4" w:space="0" w:color="auto"/>
            </w:tcBorders>
            <w:noWrap/>
            <w:vAlign w:val="bottom"/>
            <w:hideMark/>
          </w:tcPr>
          <w:p w14:paraId="068FC813"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1B5E12F5"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45E40A17" w14:textId="77777777" w:rsidR="00416D67" w:rsidRPr="00416D67" w:rsidRDefault="00416D67" w:rsidP="00416D67">
            <w:pPr>
              <w:rPr>
                <w:rFonts w:ascii="Arial" w:hAnsi="Arial" w:cs="Arial"/>
                <w:sz w:val="16"/>
                <w:szCs w:val="16"/>
              </w:rPr>
            </w:pPr>
            <w:r w:rsidRPr="00416D67">
              <w:rPr>
                <w:rFonts w:ascii="Arial" w:hAnsi="Arial" w:cs="Arial"/>
                <w:sz w:val="16"/>
                <w:szCs w:val="16"/>
              </w:rPr>
              <w:t>6131 Stalni porezi na nepokretnu imovinu (zemlju, zgrade, kuće i ostalo)</w:t>
            </w:r>
          </w:p>
        </w:tc>
        <w:tc>
          <w:tcPr>
            <w:tcW w:w="1520" w:type="dxa"/>
            <w:tcBorders>
              <w:top w:val="single" w:sz="4" w:space="0" w:color="auto"/>
              <w:left w:val="nil"/>
              <w:bottom w:val="single" w:sz="4" w:space="0" w:color="auto"/>
              <w:right w:val="single" w:sz="4" w:space="0" w:color="auto"/>
            </w:tcBorders>
            <w:noWrap/>
            <w:vAlign w:val="bottom"/>
            <w:hideMark/>
          </w:tcPr>
          <w:p w14:paraId="5863E26E"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471.903,75</w:t>
            </w:r>
          </w:p>
        </w:tc>
        <w:tc>
          <w:tcPr>
            <w:tcW w:w="1280" w:type="dxa"/>
            <w:tcBorders>
              <w:top w:val="single" w:sz="4" w:space="0" w:color="auto"/>
              <w:left w:val="nil"/>
              <w:bottom w:val="single" w:sz="4" w:space="0" w:color="auto"/>
              <w:right w:val="single" w:sz="4" w:space="0" w:color="auto"/>
            </w:tcBorders>
            <w:noWrap/>
            <w:vAlign w:val="bottom"/>
            <w:hideMark/>
          </w:tcPr>
          <w:p w14:paraId="0AF27A2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13448B4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47A0C2BE"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415.287,68</w:t>
            </w:r>
          </w:p>
        </w:tc>
        <w:tc>
          <w:tcPr>
            <w:tcW w:w="1080" w:type="dxa"/>
            <w:tcBorders>
              <w:top w:val="single" w:sz="4" w:space="0" w:color="auto"/>
              <w:left w:val="nil"/>
              <w:bottom w:val="single" w:sz="4" w:space="0" w:color="auto"/>
              <w:right w:val="single" w:sz="4" w:space="0" w:color="auto"/>
            </w:tcBorders>
            <w:noWrap/>
            <w:vAlign w:val="bottom"/>
            <w:hideMark/>
          </w:tcPr>
          <w:p w14:paraId="7D5BCE9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88,00%</w:t>
            </w:r>
          </w:p>
        </w:tc>
        <w:tc>
          <w:tcPr>
            <w:tcW w:w="980" w:type="dxa"/>
            <w:tcBorders>
              <w:top w:val="single" w:sz="4" w:space="0" w:color="auto"/>
              <w:left w:val="nil"/>
              <w:bottom w:val="single" w:sz="4" w:space="0" w:color="auto"/>
              <w:right w:val="single" w:sz="4" w:space="0" w:color="auto"/>
            </w:tcBorders>
            <w:noWrap/>
            <w:vAlign w:val="bottom"/>
            <w:hideMark/>
          </w:tcPr>
          <w:p w14:paraId="461128F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19D443B4"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0309F874" w14:textId="77777777" w:rsidR="00416D67" w:rsidRPr="00416D67" w:rsidRDefault="00416D67" w:rsidP="00416D67">
            <w:pPr>
              <w:rPr>
                <w:rFonts w:ascii="Arial" w:hAnsi="Arial" w:cs="Arial"/>
                <w:sz w:val="16"/>
                <w:szCs w:val="16"/>
              </w:rPr>
            </w:pPr>
            <w:r w:rsidRPr="00416D67">
              <w:rPr>
                <w:rFonts w:ascii="Arial" w:hAnsi="Arial" w:cs="Arial"/>
                <w:sz w:val="16"/>
                <w:szCs w:val="16"/>
              </w:rPr>
              <w:t>6134 Povremeni porezi na imovinu</w:t>
            </w:r>
          </w:p>
        </w:tc>
        <w:tc>
          <w:tcPr>
            <w:tcW w:w="1520" w:type="dxa"/>
            <w:tcBorders>
              <w:top w:val="single" w:sz="4" w:space="0" w:color="auto"/>
              <w:left w:val="nil"/>
              <w:bottom w:val="single" w:sz="4" w:space="0" w:color="auto"/>
              <w:right w:val="single" w:sz="4" w:space="0" w:color="auto"/>
            </w:tcBorders>
            <w:noWrap/>
            <w:vAlign w:val="bottom"/>
            <w:hideMark/>
          </w:tcPr>
          <w:p w14:paraId="308D3D8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766.496,01</w:t>
            </w:r>
          </w:p>
        </w:tc>
        <w:tc>
          <w:tcPr>
            <w:tcW w:w="1280" w:type="dxa"/>
            <w:tcBorders>
              <w:top w:val="single" w:sz="4" w:space="0" w:color="auto"/>
              <w:left w:val="nil"/>
              <w:bottom w:val="single" w:sz="4" w:space="0" w:color="auto"/>
              <w:right w:val="single" w:sz="4" w:space="0" w:color="auto"/>
            </w:tcBorders>
            <w:noWrap/>
            <w:vAlign w:val="bottom"/>
            <w:hideMark/>
          </w:tcPr>
          <w:p w14:paraId="357D3CA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208CCBC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547172F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666.986,41</w:t>
            </w:r>
          </w:p>
        </w:tc>
        <w:tc>
          <w:tcPr>
            <w:tcW w:w="1080" w:type="dxa"/>
            <w:tcBorders>
              <w:top w:val="single" w:sz="4" w:space="0" w:color="auto"/>
              <w:left w:val="nil"/>
              <w:bottom w:val="single" w:sz="4" w:space="0" w:color="auto"/>
              <w:right w:val="single" w:sz="4" w:space="0" w:color="auto"/>
            </w:tcBorders>
            <w:noWrap/>
            <w:vAlign w:val="bottom"/>
            <w:hideMark/>
          </w:tcPr>
          <w:p w14:paraId="1F54755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87,02%</w:t>
            </w:r>
          </w:p>
        </w:tc>
        <w:tc>
          <w:tcPr>
            <w:tcW w:w="980" w:type="dxa"/>
            <w:tcBorders>
              <w:top w:val="single" w:sz="4" w:space="0" w:color="auto"/>
              <w:left w:val="nil"/>
              <w:bottom w:val="single" w:sz="4" w:space="0" w:color="auto"/>
              <w:right w:val="single" w:sz="4" w:space="0" w:color="auto"/>
            </w:tcBorders>
            <w:noWrap/>
            <w:vAlign w:val="bottom"/>
            <w:hideMark/>
          </w:tcPr>
          <w:p w14:paraId="0626CEB2"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21749A2D"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7F361D57"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614 Porezi na robu i usluge</w:t>
            </w:r>
          </w:p>
        </w:tc>
        <w:tc>
          <w:tcPr>
            <w:tcW w:w="1520" w:type="dxa"/>
            <w:tcBorders>
              <w:top w:val="single" w:sz="4" w:space="0" w:color="auto"/>
              <w:left w:val="nil"/>
              <w:bottom w:val="single" w:sz="4" w:space="0" w:color="auto"/>
              <w:right w:val="single" w:sz="4" w:space="0" w:color="auto"/>
            </w:tcBorders>
            <w:noWrap/>
            <w:vAlign w:val="bottom"/>
            <w:hideMark/>
          </w:tcPr>
          <w:p w14:paraId="5A108159"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24.015,38</w:t>
            </w:r>
          </w:p>
        </w:tc>
        <w:tc>
          <w:tcPr>
            <w:tcW w:w="1280" w:type="dxa"/>
            <w:tcBorders>
              <w:top w:val="single" w:sz="4" w:space="0" w:color="auto"/>
              <w:left w:val="nil"/>
              <w:bottom w:val="single" w:sz="4" w:space="0" w:color="auto"/>
              <w:right w:val="single" w:sz="4" w:space="0" w:color="auto"/>
            </w:tcBorders>
            <w:noWrap/>
            <w:vAlign w:val="bottom"/>
            <w:hideMark/>
          </w:tcPr>
          <w:p w14:paraId="463F1F27"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7E9B039D"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1BE6A62F"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25.371,00</w:t>
            </w:r>
          </w:p>
        </w:tc>
        <w:tc>
          <w:tcPr>
            <w:tcW w:w="1080" w:type="dxa"/>
            <w:tcBorders>
              <w:top w:val="single" w:sz="4" w:space="0" w:color="auto"/>
              <w:left w:val="nil"/>
              <w:bottom w:val="single" w:sz="4" w:space="0" w:color="auto"/>
              <w:right w:val="single" w:sz="4" w:space="0" w:color="auto"/>
            </w:tcBorders>
            <w:noWrap/>
            <w:vAlign w:val="bottom"/>
            <w:hideMark/>
          </w:tcPr>
          <w:p w14:paraId="7A820E32"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105,64%</w:t>
            </w:r>
          </w:p>
        </w:tc>
        <w:tc>
          <w:tcPr>
            <w:tcW w:w="980" w:type="dxa"/>
            <w:tcBorders>
              <w:top w:val="single" w:sz="4" w:space="0" w:color="auto"/>
              <w:left w:val="nil"/>
              <w:bottom w:val="single" w:sz="4" w:space="0" w:color="auto"/>
              <w:right w:val="single" w:sz="4" w:space="0" w:color="auto"/>
            </w:tcBorders>
            <w:noWrap/>
            <w:vAlign w:val="bottom"/>
            <w:hideMark/>
          </w:tcPr>
          <w:p w14:paraId="6A678C0C"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2B05EDCE"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114B86D1" w14:textId="77777777" w:rsidR="00416D67" w:rsidRPr="00416D67" w:rsidRDefault="00416D67" w:rsidP="00416D67">
            <w:pPr>
              <w:rPr>
                <w:rFonts w:ascii="Arial" w:hAnsi="Arial" w:cs="Arial"/>
                <w:sz w:val="16"/>
                <w:szCs w:val="16"/>
              </w:rPr>
            </w:pPr>
            <w:r w:rsidRPr="00416D67">
              <w:rPr>
                <w:rFonts w:ascii="Arial" w:hAnsi="Arial" w:cs="Arial"/>
                <w:sz w:val="16"/>
                <w:szCs w:val="16"/>
              </w:rPr>
              <w:t>6142 Porez na promet</w:t>
            </w:r>
          </w:p>
        </w:tc>
        <w:tc>
          <w:tcPr>
            <w:tcW w:w="1520" w:type="dxa"/>
            <w:tcBorders>
              <w:top w:val="single" w:sz="4" w:space="0" w:color="auto"/>
              <w:left w:val="nil"/>
              <w:bottom w:val="single" w:sz="4" w:space="0" w:color="auto"/>
              <w:right w:val="single" w:sz="4" w:space="0" w:color="auto"/>
            </w:tcBorders>
            <w:noWrap/>
            <w:vAlign w:val="bottom"/>
            <w:hideMark/>
          </w:tcPr>
          <w:p w14:paraId="197FCAE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24.015,38</w:t>
            </w:r>
          </w:p>
        </w:tc>
        <w:tc>
          <w:tcPr>
            <w:tcW w:w="1280" w:type="dxa"/>
            <w:tcBorders>
              <w:top w:val="single" w:sz="4" w:space="0" w:color="auto"/>
              <w:left w:val="nil"/>
              <w:bottom w:val="single" w:sz="4" w:space="0" w:color="auto"/>
              <w:right w:val="single" w:sz="4" w:space="0" w:color="auto"/>
            </w:tcBorders>
            <w:noWrap/>
            <w:vAlign w:val="bottom"/>
            <w:hideMark/>
          </w:tcPr>
          <w:p w14:paraId="5698DF7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41C2556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5753944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25.371,00</w:t>
            </w:r>
          </w:p>
        </w:tc>
        <w:tc>
          <w:tcPr>
            <w:tcW w:w="1080" w:type="dxa"/>
            <w:tcBorders>
              <w:top w:val="single" w:sz="4" w:space="0" w:color="auto"/>
              <w:left w:val="nil"/>
              <w:bottom w:val="single" w:sz="4" w:space="0" w:color="auto"/>
              <w:right w:val="single" w:sz="4" w:space="0" w:color="auto"/>
            </w:tcBorders>
            <w:noWrap/>
            <w:vAlign w:val="bottom"/>
            <w:hideMark/>
          </w:tcPr>
          <w:p w14:paraId="3C6C60A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105,64%</w:t>
            </w:r>
          </w:p>
        </w:tc>
        <w:tc>
          <w:tcPr>
            <w:tcW w:w="980" w:type="dxa"/>
            <w:tcBorders>
              <w:top w:val="single" w:sz="4" w:space="0" w:color="auto"/>
              <w:left w:val="nil"/>
              <w:bottom w:val="single" w:sz="4" w:space="0" w:color="auto"/>
              <w:right w:val="single" w:sz="4" w:space="0" w:color="auto"/>
            </w:tcBorders>
            <w:noWrap/>
            <w:vAlign w:val="bottom"/>
            <w:hideMark/>
          </w:tcPr>
          <w:p w14:paraId="24C4BFF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1290ECD4"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1D80C7B6"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63 Pomoći iz inozemstva i od subjekata unutar općeg proračuna</w:t>
            </w:r>
          </w:p>
        </w:tc>
        <w:tc>
          <w:tcPr>
            <w:tcW w:w="1520" w:type="dxa"/>
            <w:tcBorders>
              <w:top w:val="single" w:sz="4" w:space="0" w:color="auto"/>
              <w:left w:val="nil"/>
              <w:bottom w:val="single" w:sz="4" w:space="0" w:color="auto"/>
              <w:right w:val="single" w:sz="4" w:space="0" w:color="auto"/>
            </w:tcBorders>
            <w:noWrap/>
            <w:vAlign w:val="bottom"/>
            <w:hideMark/>
          </w:tcPr>
          <w:p w14:paraId="707A5CB8"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601.797,97</w:t>
            </w:r>
          </w:p>
        </w:tc>
        <w:tc>
          <w:tcPr>
            <w:tcW w:w="1280" w:type="dxa"/>
            <w:tcBorders>
              <w:top w:val="single" w:sz="4" w:space="0" w:color="auto"/>
              <w:left w:val="nil"/>
              <w:bottom w:val="single" w:sz="4" w:space="0" w:color="auto"/>
              <w:right w:val="single" w:sz="4" w:space="0" w:color="auto"/>
            </w:tcBorders>
            <w:noWrap/>
            <w:vAlign w:val="bottom"/>
            <w:hideMark/>
          </w:tcPr>
          <w:p w14:paraId="2143E340"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296.197,70</w:t>
            </w:r>
          </w:p>
        </w:tc>
        <w:tc>
          <w:tcPr>
            <w:tcW w:w="1260" w:type="dxa"/>
            <w:tcBorders>
              <w:top w:val="single" w:sz="4" w:space="0" w:color="auto"/>
              <w:left w:val="nil"/>
              <w:bottom w:val="single" w:sz="4" w:space="0" w:color="auto"/>
              <w:right w:val="single" w:sz="4" w:space="0" w:color="auto"/>
            </w:tcBorders>
            <w:noWrap/>
            <w:vAlign w:val="bottom"/>
            <w:hideMark/>
          </w:tcPr>
          <w:p w14:paraId="4471D103"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296.197,70</w:t>
            </w:r>
          </w:p>
        </w:tc>
        <w:tc>
          <w:tcPr>
            <w:tcW w:w="1320" w:type="dxa"/>
            <w:tcBorders>
              <w:top w:val="single" w:sz="4" w:space="0" w:color="auto"/>
              <w:left w:val="nil"/>
              <w:bottom w:val="single" w:sz="4" w:space="0" w:color="auto"/>
              <w:right w:val="single" w:sz="4" w:space="0" w:color="auto"/>
            </w:tcBorders>
            <w:noWrap/>
            <w:vAlign w:val="bottom"/>
            <w:hideMark/>
          </w:tcPr>
          <w:p w14:paraId="5D6C33DC"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335.580,34</w:t>
            </w:r>
          </w:p>
        </w:tc>
        <w:tc>
          <w:tcPr>
            <w:tcW w:w="1080" w:type="dxa"/>
            <w:tcBorders>
              <w:top w:val="single" w:sz="4" w:space="0" w:color="auto"/>
              <w:left w:val="nil"/>
              <w:bottom w:val="single" w:sz="4" w:space="0" w:color="auto"/>
              <w:right w:val="single" w:sz="4" w:space="0" w:color="auto"/>
            </w:tcBorders>
            <w:noWrap/>
            <w:vAlign w:val="bottom"/>
            <w:hideMark/>
          </w:tcPr>
          <w:p w14:paraId="1B0E5B9C"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55,76%</w:t>
            </w:r>
          </w:p>
        </w:tc>
        <w:tc>
          <w:tcPr>
            <w:tcW w:w="980" w:type="dxa"/>
            <w:tcBorders>
              <w:top w:val="single" w:sz="4" w:space="0" w:color="auto"/>
              <w:left w:val="nil"/>
              <w:bottom w:val="single" w:sz="4" w:space="0" w:color="auto"/>
              <w:right w:val="single" w:sz="4" w:space="0" w:color="auto"/>
            </w:tcBorders>
            <w:noWrap/>
            <w:vAlign w:val="bottom"/>
            <w:hideMark/>
          </w:tcPr>
          <w:p w14:paraId="10DD3D9A"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113,30%</w:t>
            </w:r>
          </w:p>
        </w:tc>
      </w:tr>
      <w:tr w:rsidR="00416D67" w:rsidRPr="00416D67" w14:paraId="7E2E020C"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5CDA371D"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633 Pomoći proračunu i izvanproračunskim korisnicima iz drugih proračuna</w:t>
            </w:r>
          </w:p>
        </w:tc>
        <w:tc>
          <w:tcPr>
            <w:tcW w:w="1520" w:type="dxa"/>
            <w:tcBorders>
              <w:top w:val="single" w:sz="4" w:space="0" w:color="auto"/>
              <w:left w:val="nil"/>
              <w:bottom w:val="single" w:sz="4" w:space="0" w:color="auto"/>
              <w:right w:val="single" w:sz="4" w:space="0" w:color="auto"/>
            </w:tcBorders>
            <w:noWrap/>
            <w:vAlign w:val="bottom"/>
            <w:hideMark/>
          </w:tcPr>
          <w:p w14:paraId="3A8132EB"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523.959,64</w:t>
            </w:r>
          </w:p>
        </w:tc>
        <w:tc>
          <w:tcPr>
            <w:tcW w:w="1280" w:type="dxa"/>
            <w:tcBorders>
              <w:top w:val="single" w:sz="4" w:space="0" w:color="auto"/>
              <w:left w:val="nil"/>
              <w:bottom w:val="single" w:sz="4" w:space="0" w:color="auto"/>
              <w:right w:val="single" w:sz="4" w:space="0" w:color="auto"/>
            </w:tcBorders>
            <w:noWrap/>
            <w:vAlign w:val="bottom"/>
            <w:hideMark/>
          </w:tcPr>
          <w:p w14:paraId="098B43FB"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3EBBA929"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40554D7B"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257.783,15</w:t>
            </w:r>
          </w:p>
        </w:tc>
        <w:tc>
          <w:tcPr>
            <w:tcW w:w="1080" w:type="dxa"/>
            <w:tcBorders>
              <w:top w:val="single" w:sz="4" w:space="0" w:color="auto"/>
              <w:left w:val="nil"/>
              <w:bottom w:val="single" w:sz="4" w:space="0" w:color="auto"/>
              <w:right w:val="single" w:sz="4" w:space="0" w:color="auto"/>
            </w:tcBorders>
            <w:noWrap/>
            <w:vAlign w:val="bottom"/>
            <w:hideMark/>
          </w:tcPr>
          <w:p w14:paraId="238A3B61"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49,20%</w:t>
            </w:r>
          </w:p>
        </w:tc>
        <w:tc>
          <w:tcPr>
            <w:tcW w:w="980" w:type="dxa"/>
            <w:tcBorders>
              <w:top w:val="single" w:sz="4" w:space="0" w:color="auto"/>
              <w:left w:val="nil"/>
              <w:bottom w:val="single" w:sz="4" w:space="0" w:color="auto"/>
              <w:right w:val="single" w:sz="4" w:space="0" w:color="auto"/>
            </w:tcBorders>
            <w:noWrap/>
            <w:vAlign w:val="bottom"/>
            <w:hideMark/>
          </w:tcPr>
          <w:p w14:paraId="0914CDF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45D15A9A"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46118297" w14:textId="77777777" w:rsidR="00416D67" w:rsidRPr="00416D67" w:rsidRDefault="00416D67" w:rsidP="00416D67">
            <w:pPr>
              <w:rPr>
                <w:rFonts w:ascii="Arial" w:hAnsi="Arial" w:cs="Arial"/>
                <w:sz w:val="16"/>
                <w:szCs w:val="16"/>
              </w:rPr>
            </w:pPr>
            <w:r w:rsidRPr="00416D67">
              <w:rPr>
                <w:rFonts w:ascii="Arial" w:hAnsi="Arial" w:cs="Arial"/>
                <w:sz w:val="16"/>
                <w:szCs w:val="16"/>
              </w:rPr>
              <w:t>6331 Tekuće pomoći proračunu i izvanproračunskim korisnicima iz drugih proračuna</w:t>
            </w:r>
          </w:p>
        </w:tc>
        <w:tc>
          <w:tcPr>
            <w:tcW w:w="1520" w:type="dxa"/>
            <w:tcBorders>
              <w:top w:val="single" w:sz="4" w:space="0" w:color="auto"/>
              <w:left w:val="nil"/>
              <w:bottom w:val="single" w:sz="4" w:space="0" w:color="auto"/>
              <w:right w:val="single" w:sz="4" w:space="0" w:color="auto"/>
            </w:tcBorders>
            <w:noWrap/>
            <w:vAlign w:val="bottom"/>
            <w:hideMark/>
          </w:tcPr>
          <w:p w14:paraId="28CBBAF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118.295,21</w:t>
            </w:r>
          </w:p>
        </w:tc>
        <w:tc>
          <w:tcPr>
            <w:tcW w:w="1280" w:type="dxa"/>
            <w:tcBorders>
              <w:top w:val="single" w:sz="4" w:space="0" w:color="auto"/>
              <w:left w:val="nil"/>
              <w:bottom w:val="single" w:sz="4" w:space="0" w:color="auto"/>
              <w:right w:val="single" w:sz="4" w:space="0" w:color="auto"/>
            </w:tcBorders>
            <w:noWrap/>
            <w:vAlign w:val="bottom"/>
            <w:hideMark/>
          </w:tcPr>
          <w:p w14:paraId="2AD15779"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3C159573"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2313241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148.269,40</w:t>
            </w:r>
          </w:p>
        </w:tc>
        <w:tc>
          <w:tcPr>
            <w:tcW w:w="1080" w:type="dxa"/>
            <w:tcBorders>
              <w:top w:val="single" w:sz="4" w:space="0" w:color="auto"/>
              <w:left w:val="nil"/>
              <w:bottom w:val="single" w:sz="4" w:space="0" w:color="auto"/>
              <w:right w:val="single" w:sz="4" w:space="0" w:color="auto"/>
            </w:tcBorders>
            <w:noWrap/>
            <w:vAlign w:val="bottom"/>
            <w:hideMark/>
          </w:tcPr>
          <w:p w14:paraId="305D1D04"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125,34%</w:t>
            </w:r>
          </w:p>
        </w:tc>
        <w:tc>
          <w:tcPr>
            <w:tcW w:w="980" w:type="dxa"/>
            <w:tcBorders>
              <w:top w:val="single" w:sz="4" w:space="0" w:color="auto"/>
              <w:left w:val="nil"/>
              <w:bottom w:val="single" w:sz="4" w:space="0" w:color="auto"/>
              <w:right w:val="single" w:sz="4" w:space="0" w:color="auto"/>
            </w:tcBorders>
            <w:noWrap/>
            <w:vAlign w:val="bottom"/>
            <w:hideMark/>
          </w:tcPr>
          <w:p w14:paraId="7F2EE9EE"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6A0A09BE"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0B8DABA0" w14:textId="77777777" w:rsidR="00416D67" w:rsidRPr="00416D67" w:rsidRDefault="00416D67" w:rsidP="00416D67">
            <w:pPr>
              <w:rPr>
                <w:rFonts w:ascii="Arial" w:hAnsi="Arial" w:cs="Arial"/>
                <w:sz w:val="16"/>
                <w:szCs w:val="16"/>
              </w:rPr>
            </w:pPr>
            <w:r w:rsidRPr="00416D67">
              <w:rPr>
                <w:rFonts w:ascii="Arial" w:hAnsi="Arial" w:cs="Arial"/>
                <w:sz w:val="16"/>
                <w:szCs w:val="16"/>
              </w:rPr>
              <w:t>6332 Kapitalne pomoći proračunu i izvanproračunskim korisnicima iz drugih proračuna</w:t>
            </w:r>
          </w:p>
        </w:tc>
        <w:tc>
          <w:tcPr>
            <w:tcW w:w="1520" w:type="dxa"/>
            <w:tcBorders>
              <w:top w:val="single" w:sz="4" w:space="0" w:color="auto"/>
              <w:left w:val="nil"/>
              <w:bottom w:val="single" w:sz="4" w:space="0" w:color="auto"/>
              <w:right w:val="single" w:sz="4" w:space="0" w:color="auto"/>
            </w:tcBorders>
            <w:noWrap/>
            <w:vAlign w:val="bottom"/>
            <w:hideMark/>
          </w:tcPr>
          <w:p w14:paraId="54FDDF42"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405.664,43</w:t>
            </w:r>
          </w:p>
        </w:tc>
        <w:tc>
          <w:tcPr>
            <w:tcW w:w="1280" w:type="dxa"/>
            <w:tcBorders>
              <w:top w:val="single" w:sz="4" w:space="0" w:color="auto"/>
              <w:left w:val="nil"/>
              <w:bottom w:val="single" w:sz="4" w:space="0" w:color="auto"/>
              <w:right w:val="single" w:sz="4" w:space="0" w:color="auto"/>
            </w:tcBorders>
            <w:noWrap/>
            <w:vAlign w:val="bottom"/>
            <w:hideMark/>
          </w:tcPr>
          <w:p w14:paraId="2A6AC16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5C8AE29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57228D1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109.513,75</w:t>
            </w:r>
          </w:p>
        </w:tc>
        <w:tc>
          <w:tcPr>
            <w:tcW w:w="1080" w:type="dxa"/>
            <w:tcBorders>
              <w:top w:val="single" w:sz="4" w:space="0" w:color="auto"/>
              <w:left w:val="nil"/>
              <w:bottom w:val="single" w:sz="4" w:space="0" w:color="auto"/>
              <w:right w:val="single" w:sz="4" w:space="0" w:color="auto"/>
            </w:tcBorders>
            <w:noWrap/>
            <w:vAlign w:val="bottom"/>
            <w:hideMark/>
          </w:tcPr>
          <w:p w14:paraId="638BC94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27,00%</w:t>
            </w:r>
          </w:p>
        </w:tc>
        <w:tc>
          <w:tcPr>
            <w:tcW w:w="980" w:type="dxa"/>
            <w:tcBorders>
              <w:top w:val="single" w:sz="4" w:space="0" w:color="auto"/>
              <w:left w:val="nil"/>
              <w:bottom w:val="single" w:sz="4" w:space="0" w:color="auto"/>
              <w:right w:val="single" w:sz="4" w:space="0" w:color="auto"/>
            </w:tcBorders>
            <w:noWrap/>
            <w:vAlign w:val="bottom"/>
            <w:hideMark/>
          </w:tcPr>
          <w:p w14:paraId="04B68B4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1E8A93DC"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1E24ADE5"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635 Pomoći izravnanja za decentralizirane funkcije i fiskalnog izravnanja</w:t>
            </w:r>
          </w:p>
        </w:tc>
        <w:tc>
          <w:tcPr>
            <w:tcW w:w="1520" w:type="dxa"/>
            <w:tcBorders>
              <w:top w:val="single" w:sz="4" w:space="0" w:color="auto"/>
              <w:left w:val="nil"/>
              <w:bottom w:val="single" w:sz="4" w:space="0" w:color="auto"/>
              <w:right w:val="single" w:sz="4" w:space="0" w:color="auto"/>
            </w:tcBorders>
            <w:noWrap/>
            <w:vAlign w:val="bottom"/>
            <w:hideMark/>
          </w:tcPr>
          <w:p w14:paraId="002FE4F0"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56.405,30</w:t>
            </w:r>
          </w:p>
        </w:tc>
        <w:tc>
          <w:tcPr>
            <w:tcW w:w="1280" w:type="dxa"/>
            <w:tcBorders>
              <w:top w:val="single" w:sz="4" w:space="0" w:color="auto"/>
              <w:left w:val="nil"/>
              <w:bottom w:val="single" w:sz="4" w:space="0" w:color="auto"/>
              <w:right w:val="single" w:sz="4" w:space="0" w:color="auto"/>
            </w:tcBorders>
            <w:noWrap/>
            <w:vAlign w:val="bottom"/>
            <w:hideMark/>
          </w:tcPr>
          <w:p w14:paraId="486E8E40"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5453F688"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342599FF"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24.969,60</w:t>
            </w:r>
          </w:p>
        </w:tc>
        <w:tc>
          <w:tcPr>
            <w:tcW w:w="1080" w:type="dxa"/>
            <w:tcBorders>
              <w:top w:val="single" w:sz="4" w:space="0" w:color="auto"/>
              <w:left w:val="nil"/>
              <w:bottom w:val="single" w:sz="4" w:space="0" w:color="auto"/>
              <w:right w:val="single" w:sz="4" w:space="0" w:color="auto"/>
            </w:tcBorders>
            <w:noWrap/>
            <w:vAlign w:val="bottom"/>
            <w:hideMark/>
          </w:tcPr>
          <w:p w14:paraId="21919644"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44,27%</w:t>
            </w:r>
          </w:p>
        </w:tc>
        <w:tc>
          <w:tcPr>
            <w:tcW w:w="980" w:type="dxa"/>
            <w:tcBorders>
              <w:top w:val="single" w:sz="4" w:space="0" w:color="auto"/>
              <w:left w:val="nil"/>
              <w:bottom w:val="single" w:sz="4" w:space="0" w:color="auto"/>
              <w:right w:val="single" w:sz="4" w:space="0" w:color="auto"/>
            </w:tcBorders>
            <w:noWrap/>
            <w:vAlign w:val="bottom"/>
            <w:hideMark/>
          </w:tcPr>
          <w:p w14:paraId="693E853E"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48C40409"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45572DD2" w14:textId="77777777" w:rsidR="00416D67" w:rsidRPr="00416D67" w:rsidRDefault="00416D67" w:rsidP="00416D67">
            <w:pPr>
              <w:rPr>
                <w:rFonts w:ascii="Arial" w:hAnsi="Arial" w:cs="Arial"/>
                <w:sz w:val="16"/>
                <w:szCs w:val="16"/>
              </w:rPr>
            </w:pPr>
            <w:r w:rsidRPr="00416D67">
              <w:rPr>
                <w:rFonts w:ascii="Arial" w:hAnsi="Arial" w:cs="Arial"/>
                <w:sz w:val="16"/>
                <w:szCs w:val="16"/>
              </w:rPr>
              <w:t>6351 Tekuće pomoći izravnanja za decentralizirane funkcije</w:t>
            </w:r>
          </w:p>
        </w:tc>
        <w:tc>
          <w:tcPr>
            <w:tcW w:w="1520" w:type="dxa"/>
            <w:tcBorders>
              <w:top w:val="single" w:sz="4" w:space="0" w:color="auto"/>
              <w:left w:val="nil"/>
              <w:bottom w:val="single" w:sz="4" w:space="0" w:color="auto"/>
              <w:right w:val="single" w:sz="4" w:space="0" w:color="auto"/>
            </w:tcBorders>
            <w:noWrap/>
            <w:vAlign w:val="bottom"/>
            <w:hideMark/>
          </w:tcPr>
          <w:p w14:paraId="3C85B56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56.405,30</w:t>
            </w:r>
          </w:p>
        </w:tc>
        <w:tc>
          <w:tcPr>
            <w:tcW w:w="1280" w:type="dxa"/>
            <w:tcBorders>
              <w:top w:val="single" w:sz="4" w:space="0" w:color="auto"/>
              <w:left w:val="nil"/>
              <w:bottom w:val="single" w:sz="4" w:space="0" w:color="auto"/>
              <w:right w:val="single" w:sz="4" w:space="0" w:color="auto"/>
            </w:tcBorders>
            <w:noWrap/>
            <w:vAlign w:val="bottom"/>
            <w:hideMark/>
          </w:tcPr>
          <w:p w14:paraId="708CB0F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606CF1CE"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4E85472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24.969,60</w:t>
            </w:r>
          </w:p>
        </w:tc>
        <w:tc>
          <w:tcPr>
            <w:tcW w:w="1080" w:type="dxa"/>
            <w:tcBorders>
              <w:top w:val="single" w:sz="4" w:space="0" w:color="auto"/>
              <w:left w:val="nil"/>
              <w:bottom w:val="single" w:sz="4" w:space="0" w:color="auto"/>
              <w:right w:val="single" w:sz="4" w:space="0" w:color="auto"/>
            </w:tcBorders>
            <w:noWrap/>
            <w:vAlign w:val="bottom"/>
            <w:hideMark/>
          </w:tcPr>
          <w:p w14:paraId="6A084CEE"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44,27%</w:t>
            </w:r>
          </w:p>
        </w:tc>
        <w:tc>
          <w:tcPr>
            <w:tcW w:w="980" w:type="dxa"/>
            <w:tcBorders>
              <w:top w:val="single" w:sz="4" w:space="0" w:color="auto"/>
              <w:left w:val="nil"/>
              <w:bottom w:val="single" w:sz="4" w:space="0" w:color="auto"/>
              <w:right w:val="single" w:sz="4" w:space="0" w:color="auto"/>
            </w:tcBorders>
            <w:noWrap/>
            <w:vAlign w:val="bottom"/>
            <w:hideMark/>
          </w:tcPr>
          <w:p w14:paraId="5B7C408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0A2846B4"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22DB9F51"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636 Pomoći proračunskim korisnicima iz proračuna koji im nije nadležan</w:t>
            </w:r>
          </w:p>
        </w:tc>
        <w:tc>
          <w:tcPr>
            <w:tcW w:w="1520" w:type="dxa"/>
            <w:tcBorders>
              <w:top w:val="single" w:sz="4" w:space="0" w:color="auto"/>
              <w:left w:val="nil"/>
              <w:bottom w:val="single" w:sz="4" w:space="0" w:color="auto"/>
              <w:right w:val="single" w:sz="4" w:space="0" w:color="auto"/>
            </w:tcBorders>
            <w:noWrap/>
            <w:vAlign w:val="bottom"/>
            <w:hideMark/>
          </w:tcPr>
          <w:p w14:paraId="5E7BBC4B"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8.273,03</w:t>
            </w:r>
          </w:p>
        </w:tc>
        <w:tc>
          <w:tcPr>
            <w:tcW w:w="1280" w:type="dxa"/>
            <w:tcBorders>
              <w:top w:val="single" w:sz="4" w:space="0" w:color="auto"/>
              <w:left w:val="nil"/>
              <w:bottom w:val="single" w:sz="4" w:space="0" w:color="auto"/>
              <w:right w:val="single" w:sz="4" w:space="0" w:color="auto"/>
            </w:tcBorders>
            <w:noWrap/>
            <w:vAlign w:val="bottom"/>
            <w:hideMark/>
          </w:tcPr>
          <w:p w14:paraId="4BF3693B"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5418CA0F"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560C822E"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21.339,90</w:t>
            </w:r>
          </w:p>
        </w:tc>
        <w:tc>
          <w:tcPr>
            <w:tcW w:w="1080" w:type="dxa"/>
            <w:tcBorders>
              <w:top w:val="single" w:sz="4" w:space="0" w:color="auto"/>
              <w:left w:val="nil"/>
              <w:bottom w:val="single" w:sz="4" w:space="0" w:color="auto"/>
              <w:right w:val="single" w:sz="4" w:space="0" w:color="auto"/>
            </w:tcBorders>
            <w:noWrap/>
            <w:vAlign w:val="bottom"/>
            <w:hideMark/>
          </w:tcPr>
          <w:p w14:paraId="38EB0BA8"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257,95%</w:t>
            </w:r>
          </w:p>
        </w:tc>
        <w:tc>
          <w:tcPr>
            <w:tcW w:w="980" w:type="dxa"/>
            <w:tcBorders>
              <w:top w:val="single" w:sz="4" w:space="0" w:color="auto"/>
              <w:left w:val="nil"/>
              <w:bottom w:val="single" w:sz="4" w:space="0" w:color="auto"/>
              <w:right w:val="single" w:sz="4" w:space="0" w:color="auto"/>
            </w:tcBorders>
            <w:noWrap/>
            <w:vAlign w:val="bottom"/>
            <w:hideMark/>
          </w:tcPr>
          <w:p w14:paraId="2C2B09EB"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29CEBC3D"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462D220F" w14:textId="77777777" w:rsidR="00416D67" w:rsidRPr="00416D67" w:rsidRDefault="00416D67" w:rsidP="00416D67">
            <w:pPr>
              <w:rPr>
                <w:rFonts w:ascii="Arial" w:hAnsi="Arial" w:cs="Arial"/>
                <w:sz w:val="16"/>
                <w:szCs w:val="16"/>
              </w:rPr>
            </w:pPr>
            <w:r w:rsidRPr="00416D67">
              <w:rPr>
                <w:rFonts w:ascii="Arial" w:hAnsi="Arial" w:cs="Arial"/>
                <w:sz w:val="16"/>
                <w:szCs w:val="16"/>
              </w:rPr>
              <w:t>6361 Tekuće pomoći proračunskim korisnicima iz proračuna koji im nije nadležan</w:t>
            </w:r>
          </w:p>
        </w:tc>
        <w:tc>
          <w:tcPr>
            <w:tcW w:w="1520" w:type="dxa"/>
            <w:tcBorders>
              <w:top w:val="single" w:sz="4" w:space="0" w:color="auto"/>
              <w:left w:val="nil"/>
              <w:bottom w:val="single" w:sz="4" w:space="0" w:color="auto"/>
              <w:right w:val="single" w:sz="4" w:space="0" w:color="auto"/>
            </w:tcBorders>
            <w:noWrap/>
            <w:vAlign w:val="bottom"/>
            <w:hideMark/>
          </w:tcPr>
          <w:p w14:paraId="4C807BE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8.273,03</w:t>
            </w:r>
          </w:p>
        </w:tc>
        <w:tc>
          <w:tcPr>
            <w:tcW w:w="1280" w:type="dxa"/>
            <w:tcBorders>
              <w:top w:val="single" w:sz="4" w:space="0" w:color="auto"/>
              <w:left w:val="nil"/>
              <w:bottom w:val="single" w:sz="4" w:space="0" w:color="auto"/>
              <w:right w:val="single" w:sz="4" w:space="0" w:color="auto"/>
            </w:tcBorders>
            <w:noWrap/>
            <w:vAlign w:val="bottom"/>
            <w:hideMark/>
          </w:tcPr>
          <w:p w14:paraId="781E40AE"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3BA4456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2807535E"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21.339,90</w:t>
            </w:r>
          </w:p>
        </w:tc>
        <w:tc>
          <w:tcPr>
            <w:tcW w:w="1080" w:type="dxa"/>
            <w:tcBorders>
              <w:top w:val="single" w:sz="4" w:space="0" w:color="auto"/>
              <w:left w:val="nil"/>
              <w:bottom w:val="single" w:sz="4" w:space="0" w:color="auto"/>
              <w:right w:val="single" w:sz="4" w:space="0" w:color="auto"/>
            </w:tcBorders>
            <w:noWrap/>
            <w:vAlign w:val="bottom"/>
            <w:hideMark/>
          </w:tcPr>
          <w:p w14:paraId="3C15F38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257,95%</w:t>
            </w:r>
          </w:p>
        </w:tc>
        <w:tc>
          <w:tcPr>
            <w:tcW w:w="980" w:type="dxa"/>
            <w:tcBorders>
              <w:top w:val="single" w:sz="4" w:space="0" w:color="auto"/>
              <w:left w:val="nil"/>
              <w:bottom w:val="single" w:sz="4" w:space="0" w:color="auto"/>
              <w:right w:val="single" w:sz="4" w:space="0" w:color="auto"/>
            </w:tcBorders>
            <w:noWrap/>
            <w:vAlign w:val="bottom"/>
            <w:hideMark/>
          </w:tcPr>
          <w:p w14:paraId="312D16C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1DA9F197"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7B1826A1"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638 Pomoći temeljem prijenosa EU sredstava</w:t>
            </w:r>
          </w:p>
        </w:tc>
        <w:tc>
          <w:tcPr>
            <w:tcW w:w="1520" w:type="dxa"/>
            <w:tcBorders>
              <w:top w:val="single" w:sz="4" w:space="0" w:color="auto"/>
              <w:left w:val="nil"/>
              <w:bottom w:val="single" w:sz="4" w:space="0" w:color="auto"/>
              <w:right w:val="single" w:sz="4" w:space="0" w:color="auto"/>
            </w:tcBorders>
            <w:noWrap/>
            <w:vAlign w:val="bottom"/>
            <w:hideMark/>
          </w:tcPr>
          <w:p w14:paraId="688EF0B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13.160,00</w:t>
            </w:r>
          </w:p>
        </w:tc>
        <w:tc>
          <w:tcPr>
            <w:tcW w:w="1280" w:type="dxa"/>
            <w:tcBorders>
              <w:top w:val="single" w:sz="4" w:space="0" w:color="auto"/>
              <w:left w:val="nil"/>
              <w:bottom w:val="single" w:sz="4" w:space="0" w:color="auto"/>
              <w:right w:val="single" w:sz="4" w:space="0" w:color="auto"/>
            </w:tcBorders>
            <w:noWrap/>
            <w:vAlign w:val="bottom"/>
            <w:hideMark/>
          </w:tcPr>
          <w:p w14:paraId="4EB56AA1"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20C88DA3"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48EE7650"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31.487,69</w:t>
            </w:r>
          </w:p>
        </w:tc>
        <w:tc>
          <w:tcPr>
            <w:tcW w:w="1080" w:type="dxa"/>
            <w:tcBorders>
              <w:top w:val="single" w:sz="4" w:space="0" w:color="auto"/>
              <w:left w:val="nil"/>
              <w:bottom w:val="single" w:sz="4" w:space="0" w:color="auto"/>
              <w:right w:val="single" w:sz="4" w:space="0" w:color="auto"/>
            </w:tcBorders>
            <w:noWrap/>
            <w:vAlign w:val="bottom"/>
            <w:hideMark/>
          </w:tcPr>
          <w:p w14:paraId="7F3DBB91"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239,27%</w:t>
            </w:r>
          </w:p>
        </w:tc>
        <w:tc>
          <w:tcPr>
            <w:tcW w:w="980" w:type="dxa"/>
            <w:tcBorders>
              <w:top w:val="single" w:sz="4" w:space="0" w:color="auto"/>
              <w:left w:val="nil"/>
              <w:bottom w:val="single" w:sz="4" w:space="0" w:color="auto"/>
              <w:right w:val="single" w:sz="4" w:space="0" w:color="auto"/>
            </w:tcBorders>
            <w:noWrap/>
            <w:vAlign w:val="bottom"/>
            <w:hideMark/>
          </w:tcPr>
          <w:p w14:paraId="7E51A814"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2E1846DA"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1BA5FE1B" w14:textId="77777777" w:rsidR="00416D67" w:rsidRPr="00416D67" w:rsidRDefault="00416D67" w:rsidP="00416D67">
            <w:pPr>
              <w:rPr>
                <w:rFonts w:ascii="Arial" w:hAnsi="Arial" w:cs="Arial"/>
                <w:sz w:val="16"/>
                <w:szCs w:val="16"/>
              </w:rPr>
            </w:pPr>
            <w:r w:rsidRPr="00416D67">
              <w:rPr>
                <w:rFonts w:ascii="Arial" w:hAnsi="Arial" w:cs="Arial"/>
                <w:sz w:val="16"/>
                <w:szCs w:val="16"/>
              </w:rPr>
              <w:t>6382 Kapitalne pomoći temeljem prijenosa EU sredstava</w:t>
            </w:r>
          </w:p>
        </w:tc>
        <w:tc>
          <w:tcPr>
            <w:tcW w:w="1520" w:type="dxa"/>
            <w:tcBorders>
              <w:top w:val="single" w:sz="4" w:space="0" w:color="auto"/>
              <w:left w:val="nil"/>
              <w:bottom w:val="single" w:sz="4" w:space="0" w:color="auto"/>
              <w:right w:val="single" w:sz="4" w:space="0" w:color="auto"/>
            </w:tcBorders>
            <w:noWrap/>
            <w:vAlign w:val="bottom"/>
            <w:hideMark/>
          </w:tcPr>
          <w:p w14:paraId="4A1219E4"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13.160,00</w:t>
            </w:r>
          </w:p>
        </w:tc>
        <w:tc>
          <w:tcPr>
            <w:tcW w:w="1280" w:type="dxa"/>
            <w:tcBorders>
              <w:top w:val="single" w:sz="4" w:space="0" w:color="auto"/>
              <w:left w:val="nil"/>
              <w:bottom w:val="single" w:sz="4" w:space="0" w:color="auto"/>
              <w:right w:val="single" w:sz="4" w:space="0" w:color="auto"/>
            </w:tcBorders>
            <w:noWrap/>
            <w:vAlign w:val="bottom"/>
            <w:hideMark/>
          </w:tcPr>
          <w:p w14:paraId="33780FA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1FFC582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2ECD85C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31.487,69</w:t>
            </w:r>
          </w:p>
        </w:tc>
        <w:tc>
          <w:tcPr>
            <w:tcW w:w="1080" w:type="dxa"/>
            <w:tcBorders>
              <w:top w:val="single" w:sz="4" w:space="0" w:color="auto"/>
              <w:left w:val="nil"/>
              <w:bottom w:val="single" w:sz="4" w:space="0" w:color="auto"/>
              <w:right w:val="single" w:sz="4" w:space="0" w:color="auto"/>
            </w:tcBorders>
            <w:noWrap/>
            <w:vAlign w:val="bottom"/>
            <w:hideMark/>
          </w:tcPr>
          <w:p w14:paraId="1D9258C6"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239,27%</w:t>
            </w:r>
          </w:p>
        </w:tc>
        <w:tc>
          <w:tcPr>
            <w:tcW w:w="980" w:type="dxa"/>
            <w:tcBorders>
              <w:top w:val="single" w:sz="4" w:space="0" w:color="auto"/>
              <w:left w:val="nil"/>
              <w:bottom w:val="single" w:sz="4" w:space="0" w:color="auto"/>
              <w:right w:val="single" w:sz="4" w:space="0" w:color="auto"/>
            </w:tcBorders>
            <w:noWrap/>
            <w:vAlign w:val="bottom"/>
            <w:hideMark/>
          </w:tcPr>
          <w:p w14:paraId="126454D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40871C8A"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7462E53F"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64 Prihodi od imovine</w:t>
            </w:r>
          </w:p>
        </w:tc>
        <w:tc>
          <w:tcPr>
            <w:tcW w:w="1520" w:type="dxa"/>
            <w:tcBorders>
              <w:top w:val="single" w:sz="4" w:space="0" w:color="auto"/>
              <w:left w:val="nil"/>
              <w:bottom w:val="single" w:sz="4" w:space="0" w:color="auto"/>
              <w:right w:val="single" w:sz="4" w:space="0" w:color="auto"/>
            </w:tcBorders>
            <w:noWrap/>
            <w:vAlign w:val="bottom"/>
            <w:hideMark/>
          </w:tcPr>
          <w:p w14:paraId="110189BE"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181.561,60</w:t>
            </w:r>
          </w:p>
        </w:tc>
        <w:tc>
          <w:tcPr>
            <w:tcW w:w="1280" w:type="dxa"/>
            <w:tcBorders>
              <w:top w:val="single" w:sz="4" w:space="0" w:color="auto"/>
              <w:left w:val="nil"/>
              <w:bottom w:val="single" w:sz="4" w:space="0" w:color="auto"/>
              <w:right w:val="single" w:sz="4" w:space="0" w:color="auto"/>
            </w:tcBorders>
            <w:noWrap/>
            <w:vAlign w:val="bottom"/>
            <w:hideMark/>
          </w:tcPr>
          <w:p w14:paraId="030DE83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217.493,08</w:t>
            </w:r>
          </w:p>
        </w:tc>
        <w:tc>
          <w:tcPr>
            <w:tcW w:w="1260" w:type="dxa"/>
            <w:tcBorders>
              <w:top w:val="single" w:sz="4" w:space="0" w:color="auto"/>
              <w:left w:val="nil"/>
              <w:bottom w:val="single" w:sz="4" w:space="0" w:color="auto"/>
              <w:right w:val="single" w:sz="4" w:space="0" w:color="auto"/>
            </w:tcBorders>
            <w:noWrap/>
            <w:vAlign w:val="bottom"/>
            <w:hideMark/>
          </w:tcPr>
          <w:p w14:paraId="47921D35"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217.493,08</w:t>
            </w:r>
          </w:p>
        </w:tc>
        <w:tc>
          <w:tcPr>
            <w:tcW w:w="1320" w:type="dxa"/>
            <w:tcBorders>
              <w:top w:val="single" w:sz="4" w:space="0" w:color="auto"/>
              <w:left w:val="nil"/>
              <w:bottom w:val="single" w:sz="4" w:space="0" w:color="auto"/>
              <w:right w:val="single" w:sz="4" w:space="0" w:color="auto"/>
            </w:tcBorders>
            <w:noWrap/>
            <w:vAlign w:val="bottom"/>
            <w:hideMark/>
          </w:tcPr>
          <w:p w14:paraId="4B775FEF"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216.476,48</w:t>
            </w:r>
          </w:p>
        </w:tc>
        <w:tc>
          <w:tcPr>
            <w:tcW w:w="1080" w:type="dxa"/>
            <w:tcBorders>
              <w:top w:val="single" w:sz="4" w:space="0" w:color="auto"/>
              <w:left w:val="nil"/>
              <w:bottom w:val="single" w:sz="4" w:space="0" w:color="auto"/>
              <w:right w:val="single" w:sz="4" w:space="0" w:color="auto"/>
            </w:tcBorders>
            <w:noWrap/>
            <w:vAlign w:val="bottom"/>
            <w:hideMark/>
          </w:tcPr>
          <w:p w14:paraId="3DA830F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119,23%</w:t>
            </w:r>
          </w:p>
        </w:tc>
        <w:tc>
          <w:tcPr>
            <w:tcW w:w="980" w:type="dxa"/>
            <w:tcBorders>
              <w:top w:val="single" w:sz="4" w:space="0" w:color="auto"/>
              <w:left w:val="nil"/>
              <w:bottom w:val="single" w:sz="4" w:space="0" w:color="auto"/>
              <w:right w:val="single" w:sz="4" w:space="0" w:color="auto"/>
            </w:tcBorders>
            <w:noWrap/>
            <w:vAlign w:val="bottom"/>
            <w:hideMark/>
          </w:tcPr>
          <w:p w14:paraId="786B1EBC"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99,53%</w:t>
            </w:r>
          </w:p>
        </w:tc>
      </w:tr>
      <w:tr w:rsidR="00416D67" w:rsidRPr="00416D67" w14:paraId="74C95CC1"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1A5EB8EB"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641 Prihodi od financijske imovine</w:t>
            </w:r>
          </w:p>
        </w:tc>
        <w:tc>
          <w:tcPr>
            <w:tcW w:w="1520" w:type="dxa"/>
            <w:tcBorders>
              <w:top w:val="single" w:sz="4" w:space="0" w:color="auto"/>
              <w:left w:val="nil"/>
              <w:bottom w:val="single" w:sz="4" w:space="0" w:color="auto"/>
              <w:right w:val="single" w:sz="4" w:space="0" w:color="auto"/>
            </w:tcBorders>
            <w:noWrap/>
            <w:vAlign w:val="bottom"/>
            <w:hideMark/>
          </w:tcPr>
          <w:p w14:paraId="3EE8E098"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18.339,68</w:t>
            </w:r>
          </w:p>
        </w:tc>
        <w:tc>
          <w:tcPr>
            <w:tcW w:w="1280" w:type="dxa"/>
            <w:tcBorders>
              <w:top w:val="single" w:sz="4" w:space="0" w:color="auto"/>
              <w:left w:val="nil"/>
              <w:bottom w:val="single" w:sz="4" w:space="0" w:color="auto"/>
              <w:right w:val="single" w:sz="4" w:space="0" w:color="auto"/>
            </w:tcBorders>
            <w:noWrap/>
            <w:vAlign w:val="bottom"/>
            <w:hideMark/>
          </w:tcPr>
          <w:p w14:paraId="06FCFD2A"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3288F4D9"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4B25F25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30.955,54</w:t>
            </w:r>
          </w:p>
        </w:tc>
        <w:tc>
          <w:tcPr>
            <w:tcW w:w="1080" w:type="dxa"/>
            <w:tcBorders>
              <w:top w:val="single" w:sz="4" w:space="0" w:color="auto"/>
              <w:left w:val="nil"/>
              <w:bottom w:val="single" w:sz="4" w:space="0" w:color="auto"/>
              <w:right w:val="single" w:sz="4" w:space="0" w:color="auto"/>
            </w:tcBorders>
            <w:noWrap/>
            <w:vAlign w:val="bottom"/>
            <w:hideMark/>
          </w:tcPr>
          <w:p w14:paraId="09CEAE5A"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168,79%</w:t>
            </w:r>
          </w:p>
        </w:tc>
        <w:tc>
          <w:tcPr>
            <w:tcW w:w="980" w:type="dxa"/>
            <w:tcBorders>
              <w:top w:val="single" w:sz="4" w:space="0" w:color="auto"/>
              <w:left w:val="nil"/>
              <w:bottom w:val="single" w:sz="4" w:space="0" w:color="auto"/>
              <w:right w:val="single" w:sz="4" w:space="0" w:color="auto"/>
            </w:tcBorders>
            <w:noWrap/>
            <w:vAlign w:val="bottom"/>
            <w:hideMark/>
          </w:tcPr>
          <w:p w14:paraId="590375C1"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60667E1B"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6BF84AAD" w14:textId="77777777" w:rsidR="00416D67" w:rsidRPr="00416D67" w:rsidRDefault="00416D67" w:rsidP="00416D67">
            <w:pPr>
              <w:rPr>
                <w:rFonts w:ascii="Arial" w:hAnsi="Arial" w:cs="Arial"/>
                <w:sz w:val="16"/>
                <w:szCs w:val="16"/>
              </w:rPr>
            </w:pPr>
            <w:r w:rsidRPr="00416D67">
              <w:rPr>
                <w:rFonts w:ascii="Arial" w:hAnsi="Arial" w:cs="Arial"/>
                <w:sz w:val="16"/>
                <w:szCs w:val="16"/>
              </w:rPr>
              <w:t>6413 Kamate na oročena sredstva i depozite po viđenju</w:t>
            </w:r>
          </w:p>
        </w:tc>
        <w:tc>
          <w:tcPr>
            <w:tcW w:w="1520" w:type="dxa"/>
            <w:tcBorders>
              <w:top w:val="single" w:sz="4" w:space="0" w:color="auto"/>
              <w:left w:val="nil"/>
              <w:bottom w:val="single" w:sz="4" w:space="0" w:color="auto"/>
              <w:right w:val="single" w:sz="4" w:space="0" w:color="auto"/>
            </w:tcBorders>
            <w:noWrap/>
            <w:vAlign w:val="bottom"/>
            <w:hideMark/>
          </w:tcPr>
          <w:p w14:paraId="2F55C4B6"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17.554,75</w:t>
            </w:r>
          </w:p>
        </w:tc>
        <w:tc>
          <w:tcPr>
            <w:tcW w:w="1280" w:type="dxa"/>
            <w:tcBorders>
              <w:top w:val="single" w:sz="4" w:space="0" w:color="auto"/>
              <w:left w:val="nil"/>
              <w:bottom w:val="single" w:sz="4" w:space="0" w:color="auto"/>
              <w:right w:val="single" w:sz="4" w:space="0" w:color="auto"/>
            </w:tcBorders>
            <w:noWrap/>
            <w:vAlign w:val="bottom"/>
            <w:hideMark/>
          </w:tcPr>
          <w:p w14:paraId="08684952"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23D1820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37769CC4"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29.922,73</w:t>
            </w:r>
          </w:p>
        </w:tc>
        <w:tc>
          <w:tcPr>
            <w:tcW w:w="1080" w:type="dxa"/>
            <w:tcBorders>
              <w:top w:val="single" w:sz="4" w:space="0" w:color="auto"/>
              <w:left w:val="nil"/>
              <w:bottom w:val="single" w:sz="4" w:space="0" w:color="auto"/>
              <w:right w:val="single" w:sz="4" w:space="0" w:color="auto"/>
            </w:tcBorders>
            <w:noWrap/>
            <w:vAlign w:val="bottom"/>
            <w:hideMark/>
          </w:tcPr>
          <w:p w14:paraId="5C68CA9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170,45%</w:t>
            </w:r>
          </w:p>
        </w:tc>
        <w:tc>
          <w:tcPr>
            <w:tcW w:w="980" w:type="dxa"/>
            <w:tcBorders>
              <w:top w:val="single" w:sz="4" w:space="0" w:color="auto"/>
              <w:left w:val="nil"/>
              <w:bottom w:val="single" w:sz="4" w:space="0" w:color="auto"/>
              <w:right w:val="single" w:sz="4" w:space="0" w:color="auto"/>
            </w:tcBorders>
            <w:noWrap/>
            <w:vAlign w:val="bottom"/>
            <w:hideMark/>
          </w:tcPr>
          <w:p w14:paraId="3B30F652"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11135C39"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5700B53D" w14:textId="77777777" w:rsidR="00416D67" w:rsidRPr="00416D67" w:rsidRDefault="00416D67" w:rsidP="00416D67">
            <w:pPr>
              <w:rPr>
                <w:rFonts w:ascii="Arial" w:hAnsi="Arial" w:cs="Arial"/>
                <w:sz w:val="16"/>
                <w:szCs w:val="16"/>
              </w:rPr>
            </w:pPr>
            <w:r w:rsidRPr="00416D67">
              <w:rPr>
                <w:rFonts w:ascii="Arial" w:hAnsi="Arial" w:cs="Arial"/>
                <w:sz w:val="16"/>
                <w:szCs w:val="16"/>
              </w:rPr>
              <w:t>6414 Prihodi od zateznih kamata</w:t>
            </w:r>
          </w:p>
        </w:tc>
        <w:tc>
          <w:tcPr>
            <w:tcW w:w="1520" w:type="dxa"/>
            <w:tcBorders>
              <w:top w:val="single" w:sz="4" w:space="0" w:color="auto"/>
              <w:left w:val="nil"/>
              <w:bottom w:val="single" w:sz="4" w:space="0" w:color="auto"/>
              <w:right w:val="single" w:sz="4" w:space="0" w:color="auto"/>
            </w:tcBorders>
            <w:noWrap/>
            <w:vAlign w:val="bottom"/>
            <w:hideMark/>
          </w:tcPr>
          <w:p w14:paraId="5135C06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784,93</w:t>
            </w:r>
          </w:p>
        </w:tc>
        <w:tc>
          <w:tcPr>
            <w:tcW w:w="1280" w:type="dxa"/>
            <w:tcBorders>
              <w:top w:val="single" w:sz="4" w:space="0" w:color="auto"/>
              <w:left w:val="nil"/>
              <w:bottom w:val="single" w:sz="4" w:space="0" w:color="auto"/>
              <w:right w:val="single" w:sz="4" w:space="0" w:color="auto"/>
            </w:tcBorders>
            <w:noWrap/>
            <w:vAlign w:val="bottom"/>
            <w:hideMark/>
          </w:tcPr>
          <w:p w14:paraId="1623D23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77445FC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151BEA7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1.032,81</w:t>
            </w:r>
          </w:p>
        </w:tc>
        <w:tc>
          <w:tcPr>
            <w:tcW w:w="1080" w:type="dxa"/>
            <w:tcBorders>
              <w:top w:val="single" w:sz="4" w:space="0" w:color="auto"/>
              <w:left w:val="nil"/>
              <w:bottom w:val="single" w:sz="4" w:space="0" w:color="auto"/>
              <w:right w:val="single" w:sz="4" w:space="0" w:color="auto"/>
            </w:tcBorders>
            <w:noWrap/>
            <w:vAlign w:val="bottom"/>
            <w:hideMark/>
          </w:tcPr>
          <w:p w14:paraId="6AFE39C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131,58%</w:t>
            </w:r>
          </w:p>
        </w:tc>
        <w:tc>
          <w:tcPr>
            <w:tcW w:w="980" w:type="dxa"/>
            <w:tcBorders>
              <w:top w:val="single" w:sz="4" w:space="0" w:color="auto"/>
              <w:left w:val="nil"/>
              <w:bottom w:val="single" w:sz="4" w:space="0" w:color="auto"/>
              <w:right w:val="single" w:sz="4" w:space="0" w:color="auto"/>
            </w:tcBorders>
            <w:noWrap/>
            <w:vAlign w:val="bottom"/>
            <w:hideMark/>
          </w:tcPr>
          <w:p w14:paraId="35FB9F19"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bl>
    <w:p w14:paraId="2EC5BDE4" w14:textId="77777777" w:rsidR="00416D67" w:rsidRPr="00416D67" w:rsidRDefault="00416D67" w:rsidP="00416D67">
      <w:pPr>
        <w:jc w:val="both"/>
        <w:rPr>
          <w:b/>
        </w:rPr>
      </w:pPr>
    </w:p>
    <w:tbl>
      <w:tblPr>
        <w:tblW w:w="14220" w:type="dxa"/>
        <w:tblInd w:w="93" w:type="dxa"/>
        <w:tblLook w:val="04A0" w:firstRow="1" w:lastRow="0" w:firstColumn="1" w:lastColumn="0" w:noHBand="0" w:noVBand="1"/>
      </w:tblPr>
      <w:tblGrid>
        <w:gridCol w:w="6780"/>
        <w:gridCol w:w="1520"/>
        <w:gridCol w:w="1280"/>
        <w:gridCol w:w="1260"/>
        <w:gridCol w:w="1320"/>
        <w:gridCol w:w="1080"/>
        <w:gridCol w:w="980"/>
      </w:tblGrid>
      <w:tr w:rsidR="00416D67" w:rsidRPr="00416D67" w14:paraId="70FFF2B3" w14:textId="77777777" w:rsidTr="00BB1392">
        <w:trPr>
          <w:trHeight w:val="765"/>
        </w:trPr>
        <w:tc>
          <w:tcPr>
            <w:tcW w:w="678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3129CBB"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lastRenderedPageBreak/>
              <w:t>Račun / opis</w:t>
            </w:r>
          </w:p>
        </w:tc>
        <w:tc>
          <w:tcPr>
            <w:tcW w:w="1520" w:type="dxa"/>
            <w:tcBorders>
              <w:top w:val="single" w:sz="4" w:space="0" w:color="auto"/>
              <w:left w:val="nil"/>
              <w:bottom w:val="single" w:sz="4" w:space="0" w:color="auto"/>
              <w:right w:val="single" w:sz="4" w:space="0" w:color="auto"/>
            </w:tcBorders>
            <w:shd w:val="clear" w:color="000000" w:fill="C0C0C0"/>
            <w:vAlign w:val="bottom"/>
            <w:hideMark/>
          </w:tcPr>
          <w:p w14:paraId="2C13A806"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Izvršenje proračuna 2024. godina</w:t>
            </w:r>
          </w:p>
        </w:tc>
        <w:tc>
          <w:tcPr>
            <w:tcW w:w="1280" w:type="dxa"/>
            <w:tcBorders>
              <w:top w:val="single" w:sz="4" w:space="0" w:color="auto"/>
              <w:left w:val="nil"/>
              <w:bottom w:val="single" w:sz="4" w:space="0" w:color="auto"/>
              <w:right w:val="single" w:sz="4" w:space="0" w:color="auto"/>
            </w:tcBorders>
            <w:shd w:val="clear" w:color="000000" w:fill="C0C0C0"/>
            <w:vAlign w:val="bottom"/>
            <w:hideMark/>
          </w:tcPr>
          <w:p w14:paraId="0921ABD9"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Izvorni plan proračuna 2025. godina</w:t>
            </w:r>
          </w:p>
        </w:tc>
        <w:tc>
          <w:tcPr>
            <w:tcW w:w="1260" w:type="dxa"/>
            <w:tcBorders>
              <w:top w:val="single" w:sz="4" w:space="0" w:color="auto"/>
              <w:left w:val="nil"/>
              <w:bottom w:val="single" w:sz="4" w:space="0" w:color="auto"/>
              <w:right w:val="single" w:sz="4" w:space="0" w:color="auto"/>
            </w:tcBorders>
            <w:shd w:val="clear" w:color="000000" w:fill="C0C0C0"/>
            <w:vAlign w:val="bottom"/>
            <w:hideMark/>
          </w:tcPr>
          <w:p w14:paraId="6BCA6A1D"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Tekući plan proračuna 2025. godina</w:t>
            </w:r>
          </w:p>
        </w:tc>
        <w:tc>
          <w:tcPr>
            <w:tcW w:w="1320" w:type="dxa"/>
            <w:tcBorders>
              <w:top w:val="single" w:sz="4" w:space="0" w:color="auto"/>
              <w:left w:val="nil"/>
              <w:bottom w:val="single" w:sz="4" w:space="0" w:color="auto"/>
              <w:right w:val="single" w:sz="4" w:space="0" w:color="auto"/>
            </w:tcBorders>
            <w:shd w:val="clear" w:color="000000" w:fill="C0C0C0"/>
            <w:vAlign w:val="bottom"/>
            <w:hideMark/>
          </w:tcPr>
          <w:p w14:paraId="4F55C2E9"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Izvršenje proračuna 2025. godina</w:t>
            </w:r>
          </w:p>
        </w:tc>
        <w:tc>
          <w:tcPr>
            <w:tcW w:w="1080" w:type="dxa"/>
            <w:tcBorders>
              <w:top w:val="single" w:sz="4" w:space="0" w:color="auto"/>
              <w:left w:val="nil"/>
              <w:bottom w:val="single" w:sz="4" w:space="0" w:color="auto"/>
              <w:right w:val="single" w:sz="4" w:space="0" w:color="auto"/>
            </w:tcBorders>
            <w:shd w:val="clear" w:color="000000" w:fill="C0C0C0"/>
            <w:vAlign w:val="bottom"/>
            <w:hideMark/>
          </w:tcPr>
          <w:p w14:paraId="28233F89"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Indeks  4/1</w:t>
            </w:r>
          </w:p>
        </w:tc>
        <w:tc>
          <w:tcPr>
            <w:tcW w:w="980" w:type="dxa"/>
            <w:tcBorders>
              <w:top w:val="single" w:sz="4" w:space="0" w:color="auto"/>
              <w:left w:val="nil"/>
              <w:bottom w:val="single" w:sz="4" w:space="0" w:color="auto"/>
              <w:right w:val="single" w:sz="4" w:space="0" w:color="auto"/>
            </w:tcBorders>
            <w:shd w:val="clear" w:color="000000" w:fill="C0C0C0"/>
            <w:vAlign w:val="bottom"/>
            <w:hideMark/>
          </w:tcPr>
          <w:p w14:paraId="6B492AE8"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Indeks  4/3</w:t>
            </w:r>
          </w:p>
        </w:tc>
      </w:tr>
      <w:tr w:rsidR="00416D67" w:rsidRPr="00416D67" w14:paraId="6FFAEADB"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260EB6F0"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642 Prihodi od nefinancijske imovine</w:t>
            </w:r>
          </w:p>
        </w:tc>
        <w:tc>
          <w:tcPr>
            <w:tcW w:w="1520" w:type="dxa"/>
            <w:tcBorders>
              <w:top w:val="single" w:sz="4" w:space="0" w:color="auto"/>
              <w:left w:val="nil"/>
              <w:bottom w:val="single" w:sz="4" w:space="0" w:color="auto"/>
              <w:right w:val="single" w:sz="4" w:space="0" w:color="auto"/>
            </w:tcBorders>
            <w:noWrap/>
            <w:vAlign w:val="bottom"/>
            <w:hideMark/>
          </w:tcPr>
          <w:p w14:paraId="1D8CDD0C"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163.221,92</w:t>
            </w:r>
          </w:p>
        </w:tc>
        <w:tc>
          <w:tcPr>
            <w:tcW w:w="1280" w:type="dxa"/>
            <w:tcBorders>
              <w:top w:val="single" w:sz="4" w:space="0" w:color="auto"/>
              <w:left w:val="nil"/>
              <w:bottom w:val="single" w:sz="4" w:space="0" w:color="auto"/>
              <w:right w:val="single" w:sz="4" w:space="0" w:color="auto"/>
            </w:tcBorders>
            <w:noWrap/>
            <w:vAlign w:val="bottom"/>
            <w:hideMark/>
          </w:tcPr>
          <w:p w14:paraId="4008D041"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2D2A1E9D"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43E52E13"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185.520,94</w:t>
            </w:r>
          </w:p>
        </w:tc>
        <w:tc>
          <w:tcPr>
            <w:tcW w:w="1080" w:type="dxa"/>
            <w:tcBorders>
              <w:top w:val="single" w:sz="4" w:space="0" w:color="auto"/>
              <w:left w:val="nil"/>
              <w:bottom w:val="single" w:sz="4" w:space="0" w:color="auto"/>
              <w:right w:val="single" w:sz="4" w:space="0" w:color="auto"/>
            </w:tcBorders>
            <w:noWrap/>
            <w:vAlign w:val="bottom"/>
            <w:hideMark/>
          </w:tcPr>
          <w:p w14:paraId="4A255BDA"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113,66%</w:t>
            </w:r>
          </w:p>
        </w:tc>
        <w:tc>
          <w:tcPr>
            <w:tcW w:w="980" w:type="dxa"/>
            <w:tcBorders>
              <w:top w:val="single" w:sz="4" w:space="0" w:color="auto"/>
              <w:left w:val="nil"/>
              <w:bottom w:val="single" w:sz="4" w:space="0" w:color="auto"/>
              <w:right w:val="single" w:sz="4" w:space="0" w:color="auto"/>
            </w:tcBorders>
            <w:noWrap/>
            <w:vAlign w:val="bottom"/>
            <w:hideMark/>
          </w:tcPr>
          <w:p w14:paraId="1641A8F1"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74B7CDB5"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0810D470" w14:textId="77777777" w:rsidR="00416D67" w:rsidRPr="00416D67" w:rsidRDefault="00416D67" w:rsidP="00416D67">
            <w:pPr>
              <w:rPr>
                <w:rFonts w:ascii="Arial" w:hAnsi="Arial" w:cs="Arial"/>
                <w:sz w:val="16"/>
                <w:szCs w:val="16"/>
              </w:rPr>
            </w:pPr>
            <w:r w:rsidRPr="00416D67">
              <w:rPr>
                <w:rFonts w:ascii="Arial" w:hAnsi="Arial" w:cs="Arial"/>
                <w:sz w:val="16"/>
                <w:szCs w:val="16"/>
              </w:rPr>
              <w:t>6421 Naknade za koncesije</w:t>
            </w:r>
          </w:p>
        </w:tc>
        <w:tc>
          <w:tcPr>
            <w:tcW w:w="1520" w:type="dxa"/>
            <w:tcBorders>
              <w:top w:val="single" w:sz="4" w:space="0" w:color="auto"/>
              <w:left w:val="nil"/>
              <w:bottom w:val="single" w:sz="4" w:space="0" w:color="auto"/>
              <w:right w:val="single" w:sz="4" w:space="0" w:color="auto"/>
            </w:tcBorders>
            <w:noWrap/>
            <w:vAlign w:val="bottom"/>
            <w:hideMark/>
          </w:tcPr>
          <w:p w14:paraId="08B2905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24.386,51</w:t>
            </w:r>
          </w:p>
        </w:tc>
        <w:tc>
          <w:tcPr>
            <w:tcW w:w="1280" w:type="dxa"/>
            <w:tcBorders>
              <w:top w:val="single" w:sz="4" w:space="0" w:color="auto"/>
              <w:left w:val="nil"/>
              <w:bottom w:val="single" w:sz="4" w:space="0" w:color="auto"/>
              <w:right w:val="single" w:sz="4" w:space="0" w:color="auto"/>
            </w:tcBorders>
            <w:noWrap/>
            <w:vAlign w:val="bottom"/>
            <w:hideMark/>
          </w:tcPr>
          <w:p w14:paraId="455880F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6F59883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58CC383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28.636,43</w:t>
            </w:r>
          </w:p>
        </w:tc>
        <w:tc>
          <w:tcPr>
            <w:tcW w:w="1080" w:type="dxa"/>
            <w:tcBorders>
              <w:top w:val="single" w:sz="4" w:space="0" w:color="auto"/>
              <w:left w:val="nil"/>
              <w:bottom w:val="single" w:sz="4" w:space="0" w:color="auto"/>
              <w:right w:val="single" w:sz="4" w:space="0" w:color="auto"/>
            </w:tcBorders>
            <w:noWrap/>
            <w:vAlign w:val="bottom"/>
            <w:hideMark/>
          </w:tcPr>
          <w:p w14:paraId="2D958EB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117,43%</w:t>
            </w:r>
          </w:p>
        </w:tc>
        <w:tc>
          <w:tcPr>
            <w:tcW w:w="980" w:type="dxa"/>
            <w:tcBorders>
              <w:top w:val="single" w:sz="4" w:space="0" w:color="auto"/>
              <w:left w:val="nil"/>
              <w:bottom w:val="single" w:sz="4" w:space="0" w:color="auto"/>
              <w:right w:val="single" w:sz="4" w:space="0" w:color="auto"/>
            </w:tcBorders>
            <w:noWrap/>
            <w:vAlign w:val="bottom"/>
            <w:hideMark/>
          </w:tcPr>
          <w:p w14:paraId="5D8FE7A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0165BC81"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4A5B8E3E" w14:textId="77777777" w:rsidR="00416D67" w:rsidRPr="00416D67" w:rsidRDefault="00416D67" w:rsidP="00416D67">
            <w:pPr>
              <w:rPr>
                <w:rFonts w:ascii="Arial" w:hAnsi="Arial" w:cs="Arial"/>
                <w:sz w:val="16"/>
                <w:szCs w:val="16"/>
              </w:rPr>
            </w:pPr>
            <w:r w:rsidRPr="00416D67">
              <w:rPr>
                <w:rFonts w:ascii="Arial" w:hAnsi="Arial" w:cs="Arial"/>
                <w:sz w:val="16"/>
                <w:szCs w:val="16"/>
              </w:rPr>
              <w:t>6422 Prihodi od zakupa i iznajmljivanja imovine</w:t>
            </w:r>
          </w:p>
        </w:tc>
        <w:tc>
          <w:tcPr>
            <w:tcW w:w="1520" w:type="dxa"/>
            <w:tcBorders>
              <w:top w:val="single" w:sz="4" w:space="0" w:color="auto"/>
              <w:left w:val="nil"/>
              <w:bottom w:val="single" w:sz="4" w:space="0" w:color="auto"/>
              <w:right w:val="single" w:sz="4" w:space="0" w:color="auto"/>
            </w:tcBorders>
            <w:noWrap/>
            <w:vAlign w:val="bottom"/>
            <w:hideMark/>
          </w:tcPr>
          <w:p w14:paraId="356CB32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91.515,82</w:t>
            </w:r>
          </w:p>
        </w:tc>
        <w:tc>
          <w:tcPr>
            <w:tcW w:w="1280" w:type="dxa"/>
            <w:tcBorders>
              <w:top w:val="single" w:sz="4" w:space="0" w:color="auto"/>
              <w:left w:val="nil"/>
              <w:bottom w:val="single" w:sz="4" w:space="0" w:color="auto"/>
              <w:right w:val="single" w:sz="4" w:space="0" w:color="auto"/>
            </w:tcBorders>
            <w:noWrap/>
            <w:vAlign w:val="bottom"/>
            <w:hideMark/>
          </w:tcPr>
          <w:p w14:paraId="26225FE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0FC4D36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0CEE73F4"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85.560,83</w:t>
            </w:r>
          </w:p>
        </w:tc>
        <w:tc>
          <w:tcPr>
            <w:tcW w:w="1080" w:type="dxa"/>
            <w:tcBorders>
              <w:top w:val="single" w:sz="4" w:space="0" w:color="auto"/>
              <w:left w:val="nil"/>
              <w:bottom w:val="single" w:sz="4" w:space="0" w:color="auto"/>
              <w:right w:val="single" w:sz="4" w:space="0" w:color="auto"/>
            </w:tcBorders>
            <w:noWrap/>
            <w:vAlign w:val="bottom"/>
            <w:hideMark/>
          </w:tcPr>
          <w:p w14:paraId="32E31C33"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93,49%</w:t>
            </w:r>
          </w:p>
        </w:tc>
        <w:tc>
          <w:tcPr>
            <w:tcW w:w="980" w:type="dxa"/>
            <w:tcBorders>
              <w:top w:val="single" w:sz="4" w:space="0" w:color="auto"/>
              <w:left w:val="nil"/>
              <w:bottom w:val="single" w:sz="4" w:space="0" w:color="auto"/>
              <w:right w:val="single" w:sz="4" w:space="0" w:color="auto"/>
            </w:tcBorders>
            <w:noWrap/>
            <w:vAlign w:val="bottom"/>
            <w:hideMark/>
          </w:tcPr>
          <w:p w14:paraId="4DBDB21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6840001E"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36FD516B" w14:textId="77777777" w:rsidR="00416D67" w:rsidRPr="00416D67" w:rsidRDefault="00416D67" w:rsidP="00416D67">
            <w:pPr>
              <w:rPr>
                <w:rFonts w:ascii="Arial" w:hAnsi="Arial" w:cs="Arial"/>
                <w:sz w:val="16"/>
                <w:szCs w:val="16"/>
              </w:rPr>
            </w:pPr>
            <w:r w:rsidRPr="00416D67">
              <w:rPr>
                <w:rFonts w:ascii="Arial" w:hAnsi="Arial" w:cs="Arial"/>
                <w:sz w:val="16"/>
                <w:szCs w:val="16"/>
              </w:rPr>
              <w:t>6423 Naknada za korištenje nefinancijske imovine</w:t>
            </w:r>
          </w:p>
        </w:tc>
        <w:tc>
          <w:tcPr>
            <w:tcW w:w="1520" w:type="dxa"/>
            <w:tcBorders>
              <w:top w:val="single" w:sz="4" w:space="0" w:color="auto"/>
              <w:left w:val="nil"/>
              <w:bottom w:val="single" w:sz="4" w:space="0" w:color="auto"/>
              <w:right w:val="single" w:sz="4" w:space="0" w:color="auto"/>
            </w:tcBorders>
            <w:noWrap/>
            <w:vAlign w:val="bottom"/>
            <w:hideMark/>
          </w:tcPr>
          <w:p w14:paraId="2F294453"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36.806,29</w:t>
            </w:r>
          </w:p>
        </w:tc>
        <w:tc>
          <w:tcPr>
            <w:tcW w:w="1280" w:type="dxa"/>
            <w:tcBorders>
              <w:top w:val="single" w:sz="4" w:space="0" w:color="auto"/>
              <w:left w:val="nil"/>
              <w:bottom w:val="single" w:sz="4" w:space="0" w:color="auto"/>
              <w:right w:val="single" w:sz="4" w:space="0" w:color="auto"/>
            </w:tcBorders>
            <w:noWrap/>
            <w:vAlign w:val="bottom"/>
            <w:hideMark/>
          </w:tcPr>
          <w:p w14:paraId="5D2EE9E9"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6BD06D9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3609A49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65.627,02</w:t>
            </w:r>
          </w:p>
        </w:tc>
        <w:tc>
          <w:tcPr>
            <w:tcW w:w="1080" w:type="dxa"/>
            <w:tcBorders>
              <w:top w:val="single" w:sz="4" w:space="0" w:color="auto"/>
              <w:left w:val="nil"/>
              <w:bottom w:val="single" w:sz="4" w:space="0" w:color="auto"/>
              <w:right w:val="single" w:sz="4" w:space="0" w:color="auto"/>
            </w:tcBorders>
            <w:noWrap/>
            <w:vAlign w:val="bottom"/>
            <w:hideMark/>
          </w:tcPr>
          <w:p w14:paraId="2AFCAB4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178,30%</w:t>
            </w:r>
          </w:p>
        </w:tc>
        <w:tc>
          <w:tcPr>
            <w:tcW w:w="980" w:type="dxa"/>
            <w:tcBorders>
              <w:top w:val="single" w:sz="4" w:space="0" w:color="auto"/>
              <w:left w:val="nil"/>
              <w:bottom w:val="single" w:sz="4" w:space="0" w:color="auto"/>
              <w:right w:val="single" w:sz="4" w:space="0" w:color="auto"/>
            </w:tcBorders>
            <w:noWrap/>
            <w:vAlign w:val="bottom"/>
            <w:hideMark/>
          </w:tcPr>
          <w:p w14:paraId="3A44460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77899B79"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7A515CDB" w14:textId="77777777" w:rsidR="00416D67" w:rsidRPr="00416D67" w:rsidRDefault="00416D67" w:rsidP="00416D67">
            <w:pPr>
              <w:rPr>
                <w:rFonts w:ascii="Arial" w:hAnsi="Arial" w:cs="Arial"/>
                <w:sz w:val="16"/>
                <w:szCs w:val="16"/>
              </w:rPr>
            </w:pPr>
            <w:r w:rsidRPr="00416D67">
              <w:rPr>
                <w:rFonts w:ascii="Arial" w:hAnsi="Arial" w:cs="Arial"/>
                <w:sz w:val="16"/>
                <w:szCs w:val="16"/>
              </w:rPr>
              <w:t>6429 Ostali prihodi od nefinancijske imovine</w:t>
            </w:r>
          </w:p>
        </w:tc>
        <w:tc>
          <w:tcPr>
            <w:tcW w:w="1520" w:type="dxa"/>
            <w:tcBorders>
              <w:top w:val="single" w:sz="4" w:space="0" w:color="auto"/>
              <w:left w:val="nil"/>
              <w:bottom w:val="single" w:sz="4" w:space="0" w:color="auto"/>
              <w:right w:val="single" w:sz="4" w:space="0" w:color="auto"/>
            </w:tcBorders>
            <w:noWrap/>
            <w:vAlign w:val="bottom"/>
            <w:hideMark/>
          </w:tcPr>
          <w:p w14:paraId="1E643539"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10.513,30</w:t>
            </w:r>
          </w:p>
        </w:tc>
        <w:tc>
          <w:tcPr>
            <w:tcW w:w="1280" w:type="dxa"/>
            <w:tcBorders>
              <w:top w:val="single" w:sz="4" w:space="0" w:color="auto"/>
              <w:left w:val="nil"/>
              <w:bottom w:val="single" w:sz="4" w:space="0" w:color="auto"/>
              <w:right w:val="single" w:sz="4" w:space="0" w:color="auto"/>
            </w:tcBorders>
            <w:noWrap/>
            <w:vAlign w:val="bottom"/>
            <w:hideMark/>
          </w:tcPr>
          <w:p w14:paraId="055A825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7C46BA5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40667B2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5.696,66</w:t>
            </w:r>
          </w:p>
        </w:tc>
        <w:tc>
          <w:tcPr>
            <w:tcW w:w="1080" w:type="dxa"/>
            <w:tcBorders>
              <w:top w:val="single" w:sz="4" w:space="0" w:color="auto"/>
              <w:left w:val="nil"/>
              <w:bottom w:val="single" w:sz="4" w:space="0" w:color="auto"/>
              <w:right w:val="single" w:sz="4" w:space="0" w:color="auto"/>
            </w:tcBorders>
            <w:noWrap/>
            <w:vAlign w:val="bottom"/>
            <w:hideMark/>
          </w:tcPr>
          <w:p w14:paraId="3690981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54,19%</w:t>
            </w:r>
          </w:p>
        </w:tc>
        <w:tc>
          <w:tcPr>
            <w:tcW w:w="980" w:type="dxa"/>
            <w:tcBorders>
              <w:top w:val="single" w:sz="4" w:space="0" w:color="auto"/>
              <w:left w:val="nil"/>
              <w:bottom w:val="single" w:sz="4" w:space="0" w:color="auto"/>
              <w:right w:val="single" w:sz="4" w:space="0" w:color="auto"/>
            </w:tcBorders>
            <w:noWrap/>
            <w:vAlign w:val="bottom"/>
            <w:hideMark/>
          </w:tcPr>
          <w:p w14:paraId="6428426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6EE8CF10" w14:textId="77777777" w:rsidTr="00BB1392">
        <w:trPr>
          <w:trHeight w:val="313"/>
        </w:trPr>
        <w:tc>
          <w:tcPr>
            <w:tcW w:w="6780" w:type="dxa"/>
            <w:tcBorders>
              <w:top w:val="single" w:sz="4" w:space="0" w:color="auto"/>
              <w:left w:val="single" w:sz="4" w:space="0" w:color="auto"/>
              <w:bottom w:val="single" w:sz="4" w:space="0" w:color="auto"/>
              <w:right w:val="single" w:sz="4" w:space="0" w:color="auto"/>
            </w:tcBorders>
            <w:vAlign w:val="bottom"/>
            <w:hideMark/>
          </w:tcPr>
          <w:p w14:paraId="751E7A86"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65 Prihodi od upravnih i administrativnih pristojbi, pristojbi po posebnim propisima i naknada</w:t>
            </w:r>
          </w:p>
        </w:tc>
        <w:tc>
          <w:tcPr>
            <w:tcW w:w="1520" w:type="dxa"/>
            <w:tcBorders>
              <w:top w:val="single" w:sz="4" w:space="0" w:color="auto"/>
              <w:left w:val="nil"/>
              <w:bottom w:val="single" w:sz="4" w:space="0" w:color="auto"/>
              <w:right w:val="single" w:sz="4" w:space="0" w:color="auto"/>
            </w:tcBorders>
            <w:noWrap/>
            <w:vAlign w:val="bottom"/>
            <w:hideMark/>
          </w:tcPr>
          <w:p w14:paraId="2D4F5367"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1.253.878,11</w:t>
            </w:r>
          </w:p>
        </w:tc>
        <w:tc>
          <w:tcPr>
            <w:tcW w:w="1280" w:type="dxa"/>
            <w:tcBorders>
              <w:top w:val="single" w:sz="4" w:space="0" w:color="auto"/>
              <w:left w:val="nil"/>
              <w:bottom w:val="single" w:sz="4" w:space="0" w:color="auto"/>
              <w:right w:val="single" w:sz="4" w:space="0" w:color="auto"/>
            </w:tcBorders>
            <w:noWrap/>
            <w:vAlign w:val="bottom"/>
            <w:hideMark/>
          </w:tcPr>
          <w:p w14:paraId="573F5F79"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1.289.743,03</w:t>
            </w:r>
          </w:p>
        </w:tc>
        <w:tc>
          <w:tcPr>
            <w:tcW w:w="1260" w:type="dxa"/>
            <w:tcBorders>
              <w:top w:val="single" w:sz="4" w:space="0" w:color="auto"/>
              <w:left w:val="nil"/>
              <w:bottom w:val="single" w:sz="4" w:space="0" w:color="auto"/>
              <w:right w:val="single" w:sz="4" w:space="0" w:color="auto"/>
            </w:tcBorders>
            <w:noWrap/>
            <w:vAlign w:val="bottom"/>
            <w:hideMark/>
          </w:tcPr>
          <w:p w14:paraId="353E829E"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1.289.743,03</w:t>
            </w:r>
          </w:p>
        </w:tc>
        <w:tc>
          <w:tcPr>
            <w:tcW w:w="1320" w:type="dxa"/>
            <w:tcBorders>
              <w:top w:val="single" w:sz="4" w:space="0" w:color="auto"/>
              <w:left w:val="nil"/>
              <w:bottom w:val="single" w:sz="4" w:space="0" w:color="auto"/>
              <w:right w:val="single" w:sz="4" w:space="0" w:color="auto"/>
            </w:tcBorders>
            <w:noWrap/>
            <w:vAlign w:val="bottom"/>
            <w:hideMark/>
          </w:tcPr>
          <w:p w14:paraId="3A25C330"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1.292.994,97</w:t>
            </w:r>
          </w:p>
        </w:tc>
        <w:tc>
          <w:tcPr>
            <w:tcW w:w="1080" w:type="dxa"/>
            <w:tcBorders>
              <w:top w:val="single" w:sz="4" w:space="0" w:color="auto"/>
              <w:left w:val="nil"/>
              <w:bottom w:val="single" w:sz="4" w:space="0" w:color="auto"/>
              <w:right w:val="single" w:sz="4" w:space="0" w:color="auto"/>
            </w:tcBorders>
            <w:noWrap/>
            <w:vAlign w:val="bottom"/>
            <w:hideMark/>
          </w:tcPr>
          <w:p w14:paraId="55BDCF78"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103,12%</w:t>
            </w:r>
          </w:p>
        </w:tc>
        <w:tc>
          <w:tcPr>
            <w:tcW w:w="980" w:type="dxa"/>
            <w:tcBorders>
              <w:top w:val="single" w:sz="4" w:space="0" w:color="auto"/>
              <w:left w:val="nil"/>
              <w:bottom w:val="single" w:sz="4" w:space="0" w:color="auto"/>
              <w:right w:val="single" w:sz="4" w:space="0" w:color="auto"/>
            </w:tcBorders>
            <w:noWrap/>
            <w:vAlign w:val="bottom"/>
            <w:hideMark/>
          </w:tcPr>
          <w:p w14:paraId="6DCD0FEC"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100,25%</w:t>
            </w:r>
          </w:p>
        </w:tc>
      </w:tr>
      <w:tr w:rsidR="00416D67" w:rsidRPr="00416D67" w14:paraId="4AB89753"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745C7C3D"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651 Upravne i administrativne pristojbe</w:t>
            </w:r>
          </w:p>
        </w:tc>
        <w:tc>
          <w:tcPr>
            <w:tcW w:w="1520" w:type="dxa"/>
            <w:tcBorders>
              <w:top w:val="single" w:sz="4" w:space="0" w:color="auto"/>
              <w:left w:val="nil"/>
              <w:bottom w:val="single" w:sz="4" w:space="0" w:color="auto"/>
              <w:right w:val="single" w:sz="4" w:space="0" w:color="auto"/>
            </w:tcBorders>
            <w:noWrap/>
            <w:vAlign w:val="bottom"/>
            <w:hideMark/>
          </w:tcPr>
          <w:p w14:paraId="1B1731DD"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66.980,30</w:t>
            </w:r>
          </w:p>
        </w:tc>
        <w:tc>
          <w:tcPr>
            <w:tcW w:w="1280" w:type="dxa"/>
            <w:tcBorders>
              <w:top w:val="single" w:sz="4" w:space="0" w:color="auto"/>
              <w:left w:val="nil"/>
              <w:bottom w:val="single" w:sz="4" w:space="0" w:color="auto"/>
              <w:right w:val="single" w:sz="4" w:space="0" w:color="auto"/>
            </w:tcBorders>
            <w:noWrap/>
            <w:vAlign w:val="bottom"/>
            <w:hideMark/>
          </w:tcPr>
          <w:p w14:paraId="63E0AEF2"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3DA45494"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644D835C"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64.150,20</w:t>
            </w:r>
          </w:p>
        </w:tc>
        <w:tc>
          <w:tcPr>
            <w:tcW w:w="1080" w:type="dxa"/>
            <w:tcBorders>
              <w:top w:val="single" w:sz="4" w:space="0" w:color="auto"/>
              <w:left w:val="nil"/>
              <w:bottom w:val="single" w:sz="4" w:space="0" w:color="auto"/>
              <w:right w:val="single" w:sz="4" w:space="0" w:color="auto"/>
            </w:tcBorders>
            <w:noWrap/>
            <w:vAlign w:val="bottom"/>
            <w:hideMark/>
          </w:tcPr>
          <w:p w14:paraId="0CB5593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95,77%</w:t>
            </w:r>
          </w:p>
        </w:tc>
        <w:tc>
          <w:tcPr>
            <w:tcW w:w="980" w:type="dxa"/>
            <w:tcBorders>
              <w:top w:val="single" w:sz="4" w:space="0" w:color="auto"/>
              <w:left w:val="nil"/>
              <w:bottom w:val="single" w:sz="4" w:space="0" w:color="auto"/>
              <w:right w:val="single" w:sz="4" w:space="0" w:color="auto"/>
            </w:tcBorders>
            <w:noWrap/>
            <w:vAlign w:val="bottom"/>
            <w:hideMark/>
          </w:tcPr>
          <w:p w14:paraId="242C189A"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53E460DB"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26921AA7" w14:textId="77777777" w:rsidR="00416D67" w:rsidRPr="00416D67" w:rsidRDefault="00416D67" w:rsidP="00416D67">
            <w:pPr>
              <w:rPr>
                <w:rFonts w:ascii="Arial" w:hAnsi="Arial" w:cs="Arial"/>
                <w:sz w:val="16"/>
                <w:szCs w:val="16"/>
              </w:rPr>
            </w:pPr>
            <w:r w:rsidRPr="00416D67">
              <w:rPr>
                <w:rFonts w:ascii="Arial" w:hAnsi="Arial" w:cs="Arial"/>
                <w:sz w:val="16"/>
                <w:szCs w:val="16"/>
              </w:rPr>
              <w:t>6512 Županijske, gradske i općinske pristojbe i naknade</w:t>
            </w:r>
          </w:p>
        </w:tc>
        <w:tc>
          <w:tcPr>
            <w:tcW w:w="1520" w:type="dxa"/>
            <w:tcBorders>
              <w:top w:val="single" w:sz="4" w:space="0" w:color="auto"/>
              <w:left w:val="nil"/>
              <w:bottom w:val="single" w:sz="4" w:space="0" w:color="auto"/>
              <w:right w:val="single" w:sz="4" w:space="0" w:color="auto"/>
            </w:tcBorders>
            <w:noWrap/>
            <w:vAlign w:val="bottom"/>
            <w:hideMark/>
          </w:tcPr>
          <w:p w14:paraId="4E1547C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951,57</w:t>
            </w:r>
          </w:p>
        </w:tc>
        <w:tc>
          <w:tcPr>
            <w:tcW w:w="1280" w:type="dxa"/>
            <w:tcBorders>
              <w:top w:val="single" w:sz="4" w:space="0" w:color="auto"/>
              <w:left w:val="nil"/>
              <w:bottom w:val="single" w:sz="4" w:space="0" w:color="auto"/>
              <w:right w:val="single" w:sz="4" w:space="0" w:color="auto"/>
            </w:tcBorders>
            <w:noWrap/>
            <w:vAlign w:val="bottom"/>
            <w:hideMark/>
          </w:tcPr>
          <w:p w14:paraId="2170096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62252894"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46929B2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831,80</w:t>
            </w:r>
          </w:p>
        </w:tc>
        <w:tc>
          <w:tcPr>
            <w:tcW w:w="1080" w:type="dxa"/>
            <w:tcBorders>
              <w:top w:val="single" w:sz="4" w:space="0" w:color="auto"/>
              <w:left w:val="nil"/>
              <w:bottom w:val="single" w:sz="4" w:space="0" w:color="auto"/>
              <w:right w:val="single" w:sz="4" w:space="0" w:color="auto"/>
            </w:tcBorders>
            <w:noWrap/>
            <w:vAlign w:val="bottom"/>
            <w:hideMark/>
          </w:tcPr>
          <w:p w14:paraId="0156AB12"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87,41%</w:t>
            </w:r>
          </w:p>
        </w:tc>
        <w:tc>
          <w:tcPr>
            <w:tcW w:w="980" w:type="dxa"/>
            <w:tcBorders>
              <w:top w:val="single" w:sz="4" w:space="0" w:color="auto"/>
              <w:left w:val="nil"/>
              <w:bottom w:val="single" w:sz="4" w:space="0" w:color="auto"/>
              <w:right w:val="single" w:sz="4" w:space="0" w:color="auto"/>
            </w:tcBorders>
            <w:noWrap/>
            <w:vAlign w:val="bottom"/>
            <w:hideMark/>
          </w:tcPr>
          <w:p w14:paraId="74ED6FB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1BA25C96"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7B64839A" w14:textId="77777777" w:rsidR="00416D67" w:rsidRPr="00416D67" w:rsidRDefault="00416D67" w:rsidP="00416D67">
            <w:pPr>
              <w:rPr>
                <w:rFonts w:ascii="Arial" w:hAnsi="Arial" w:cs="Arial"/>
                <w:sz w:val="16"/>
                <w:szCs w:val="16"/>
              </w:rPr>
            </w:pPr>
            <w:r w:rsidRPr="00416D67">
              <w:rPr>
                <w:rFonts w:ascii="Arial" w:hAnsi="Arial" w:cs="Arial"/>
                <w:sz w:val="16"/>
                <w:szCs w:val="16"/>
              </w:rPr>
              <w:t>6514 Ostale pristojbe i naknade</w:t>
            </w:r>
          </w:p>
        </w:tc>
        <w:tc>
          <w:tcPr>
            <w:tcW w:w="1520" w:type="dxa"/>
            <w:tcBorders>
              <w:top w:val="single" w:sz="4" w:space="0" w:color="auto"/>
              <w:left w:val="nil"/>
              <w:bottom w:val="single" w:sz="4" w:space="0" w:color="auto"/>
              <w:right w:val="single" w:sz="4" w:space="0" w:color="auto"/>
            </w:tcBorders>
            <w:noWrap/>
            <w:vAlign w:val="bottom"/>
            <w:hideMark/>
          </w:tcPr>
          <w:p w14:paraId="5A19A72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66.028,73</w:t>
            </w:r>
          </w:p>
        </w:tc>
        <w:tc>
          <w:tcPr>
            <w:tcW w:w="1280" w:type="dxa"/>
            <w:tcBorders>
              <w:top w:val="single" w:sz="4" w:space="0" w:color="auto"/>
              <w:left w:val="nil"/>
              <w:bottom w:val="single" w:sz="4" w:space="0" w:color="auto"/>
              <w:right w:val="single" w:sz="4" w:space="0" w:color="auto"/>
            </w:tcBorders>
            <w:noWrap/>
            <w:vAlign w:val="bottom"/>
            <w:hideMark/>
          </w:tcPr>
          <w:p w14:paraId="252F497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2222CF4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2C757C6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63.318,40</w:t>
            </w:r>
          </w:p>
        </w:tc>
        <w:tc>
          <w:tcPr>
            <w:tcW w:w="1080" w:type="dxa"/>
            <w:tcBorders>
              <w:top w:val="single" w:sz="4" w:space="0" w:color="auto"/>
              <w:left w:val="nil"/>
              <w:bottom w:val="single" w:sz="4" w:space="0" w:color="auto"/>
              <w:right w:val="single" w:sz="4" w:space="0" w:color="auto"/>
            </w:tcBorders>
            <w:noWrap/>
            <w:vAlign w:val="bottom"/>
            <w:hideMark/>
          </w:tcPr>
          <w:p w14:paraId="32315C92"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95,90%</w:t>
            </w:r>
          </w:p>
        </w:tc>
        <w:tc>
          <w:tcPr>
            <w:tcW w:w="980" w:type="dxa"/>
            <w:tcBorders>
              <w:top w:val="single" w:sz="4" w:space="0" w:color="auto"/>
              <w:left w:val="nil"/>
              <w:bottom w:val="single" w:sz="4" w:space="0" w:color="auto"/>
              <w:right w:val="single" w:sz="4" w:space="0" w:color="auto"/>
            </w:tcBorders>
            <w:noWrap/>
            <w:vAlign w:val="bottom"/>
            <w:hideMark/>
          </w:tcPr>
          <w:p w14:paraId="2AB923E2"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4CAEF586"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3EC6A4E8"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652 Prihodi po posebnim propisima</w:t>
            </w:r>
          </w:p>
        </w:tc>
        <w:tc>
          <w:tcPr>
            <w:tcW w:w="1520" w:type="dxa"/>
            <w:tcBorders>
              <w:top w:val="single" w:sz="4" w:space="0" w:color="auto"/>
              <w:left w:val="nil"/>
              <w:bottom w:val="single" w:sz="4" w:space="0" w:color="auto"/>
              <w:right w:val="single" w:sz="4" w:space="0" w:color="auto"/>
            </w:tcBorders>
            <w:noWrap/>
            <w:vAlign w:val="bottom"/>
            <w:hideMark/>
          </w:tcPr>
          <w:p w14:paraId="65B13DE2"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158.997,56</w:t>
            </w:r>
          </w:p>
        </w:tc>
        <w:tc>
          <w:tcPr>
            <w:tcW w:w="1280" w:type="dxa"/>
            <w:tcBorders>
              <w:top w:val="single" w:sz="4" w:space="0" w:color="auto"/>
              <w:left w:val="nil"/>
              <w:bottom w:val="single" w:sz="4" w:space="0" w:color="auto"/>
              <w:right w:val="single" w:sz="4" w:space="0" w:color="auto"/>
            </w:tcBorders>
            <w:noWrap/>
            <w:vAlign w:val="bottom"/>
            <w:hideMark/>
          </w:tcPr>
          <w:p w14:paraId="5B9FECA1"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2145BB0D"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0B259E0B"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140.571,58</w:t>
            </w:r>
          </w:p>
        </w:tc>
        <w:tc>
          <w:tcPr>
            <w:tcW w:w="1080" w:type="dxa"/>
            <w:tcBorders>
              <w:top w:val="single" w:sz="4" w:space="0" w:color="auto"/>
              <w:left w:val="nil"/>
              <w:bottom w:val="single" w:sz="4" w:space="0" w:color="auto"/>
              <w:right w:val="single" w:sz="4" w:space="0" w:color="auto"/>
            </w:tcBorders>
            <w:noWrap/>
            <w:vAlign w:val="bottom"/>
            <w:hideMark/>
          </w:tcPr>
          <w:p w14:paraId="3D2CC7F0"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88,41%</w:t>
            </w:r>
          </w:p>
        </w:tc>
        <w:tc>
          <w:tcPr>
            <w:tcW w:w="980" w:type="dxa"/>
            <w:tcBorders>
              <w:top w:val="single" w:sz="4" w:space="0" w:color="auto"/>
              <w:left w:val="nil"/>
              <w:bottom w:val="single" w:sz="4" w:space="0" w:color="auto"/>
              <w:right w:val="single" w:sz="4" w:space="0" w:color="auto"/>
            </w:tcBorders>
            <w:noWrap/>
            <w:vAlign w:val="bottom"/>
            <w:hideMark/>
          </w:tcPr>
          <w:p w14:paraId="79FF2803"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112BD7D2"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6F0DE806" w14:textId="77777777" w:rsidR="00416D67" w:rsidRPr="00416D67" w:rsidRDefault="00416D67" w:rsidP="00416D67">
            <w:pPr>
              <w:rPr>
                <w:rFonts w:ascii="Arial" w:hAnsi="Arial" w:cs="Arial"/>
                <w:sz w:val="16"/>
                <w:szCs w:val="16"/>
              </w:rPr>
            </w:pPr>
            <w:r w:rsidRPr="00416D67">
              <w:rPr>
                <w:rFonts w:ascii="Arial" w:hAnsi="Arial" w:cs="Arial"/>
                <w:sz w:val="16"/>
                <w:szCs w:val="16"/>
              </w:rPr>
              <w:t>6522 Prihodi vodnog gospodarstva</w:t>
            </w:r>
          </w:p>
        </w:tc>
        <w:tc>
          <w:tcPr>
            <w:tcW w:w="1520" w:type="dxa"/>
            <w:tcBorders>
              <w:top w:val="single" w:sz="4" w:space="0" w:color="auto"/>
              <w:left w:val="nil"/>
              <w:bottom w:val="single" w:sz="4" w:space="0" w:color="auto"/>
              <w:right w:val="single" w:sz="4" w:space="0" w:color="auto"/>
            </w:tcBorders>
            <w:noWrap/>
            <w:vAlign w:val="bottom"/>
            <w:hideMark/>
          </w:tcPr>
          <w:p w14:paraId="038B1FE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2.082,99</w:t>
            </w:r>
          </w:p>
        </w:tc>
        <w:tc>
          <w:tcPr>
            <w:tcW w:w="1280" w:type="dxa"/>
            <w:tcBorders>
              <w:top w:val="single" w:sz="4" w:space="0" w:color="auto"/>
              <w:left w:val="nil"/>
              <w:bottom w:val="single" w:sz="4" w:space="0" w:color="auto"/>
              <w:right w:val="single" w:sz="4" w:space="0" w:color="auto"/>
            </w:tcBorders>
            <w:noWrap/>
            <w:vAlign w:val="bottom"/>
            <w:hideMark/>
          </w:tcPr>
          <w:p w14:paraId="0B547063"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41683CA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56EC1029"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377,27</w:t>
            </w:r>
          </w:p>
        </w:tc>
        <w:tc>
          <w:tcPr>
            <w:tcW w:w="1080" w:type="dxa"/>
            <w:tcBorders>
              <w:top w:val="single" w:sz="4" w:space="0" w:color="auto"/>
              <w:left w:val="nil"/>
              <w:bottom w:val="single" w:sz="4" w:space="0" w:color="auto"/>
              <w:right w:val="single" w:sz="4" w:space="0" w:color="auto"/>
            </w:tcBorders>
            <w:noWrap/>
            <w:vAlign w:val="bottom"/>
            <w:hideMark/>
          </w:tcPr>
          <w:p w14:paraId="3934DCE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18,11%</w:t>
            </w:r>
          </w:p>
        </w:tc>
        <w:tc>
          <w:tcPr>
            <w:tcW w:w="980" w:type="dxa"/>
            <w:tcBorders>
              <w:top w:val="single" w:sz="4" w:space="0" w:color="auto"/>
              <w:left w:val="nil"/>
              <w:bottom w:val="single" w:sz="4" w:space="0" w:color="auto"/>
              <w:right w:val="single" w:sz="4" w:space="0" w:color="auto"/>
            </w:tcBorders>
            <w:noWrap/>
            <w:vAlign w:val="bottom"/>
            <w:hideMark/>
          </w:tcPr>
          <w:p w14:paraId="3C0B1B8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0811401C"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5A035B98" w14:textId="77777777" w:rsidR="00416D67" w:rsidRPr="00416D67" w:rsidRDefault="00416D67" w:rsidP="00416D67">
            <w:pPr>
              <w:rPr>
                <w:rFonts w:ascii="Arial" w:hAnsi="Arial" w:cs="Arial"/>
                <w:sz w:val="16"/>
                <w:szCs w:val="16"/>
              </w:rPr>
            </w:pPr>
            <w:r w:rsidRPr="00416D67">
              <w:rPr>
                <w:rFonts w:ascii="Arial" w:hAnsi="Arial" w:cs="Arial"/>
                <w:sz w:val="16"/>
                <w:szCs w:val="16"/>
              </w:rPr>
              <w:t>6524 Doprinosi za šume</w:t>
            </w:r>
          </w:p>
        </w:tc>
        <w:tc>
          <w:tcPr>
            <w:tcW w:w="1520" w:type="dxa"/>
            <w:tcBorders>
              <w:top w:val="single" w:sz="4" w:space="0" w:color="auto"/>
              <w:left w:val="nil"/>
              <w:bottom w:val="single" w:sz="4" w:space="0" w:color="auto"/>
              <w:right w:val="single" w:sz="4" w:space="0" w:color="auto"/>
            </w:tcBorders>
            <w:noWrap/>
            <w:vAlign w:val="bottom"/>
            <w:hideMark/>
          </w:tcPr>
          <w:p w14:paraId="4DDDBAE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123,39</w:t>
            </w:r>
          </w:p>
        </w:tc>
        <w:tc>
          <w:tcPr>
            <w:tcW w:w="1280" w:type="dxa"/>
            <w:tcBorders>
              <w:top w:val="single" w:sz="4" w:space="0" w:color="auto"/>
              <w:left w:val="nil"/>
              <w:bottom w:val="single" w:sz="4" w:space="0" w:color="auto"/>
              <w:right w:val="single" w:sz="4" w:space="0" w:color="auto"/>
            </w:tcBorders>
            <w:noWrap/>
            <w:vAlign w:val="bottom"/>
            <w:hideMark/>
          </w:tcPr>
          <w:p w14:paraId="4E58CE5E"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3FF1D5C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3BA3D14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531,61</w:t>
            </w:r>
          </w:p>
        </w:tc>
        <w:tc>
          <w:tcPr>
            <w:tcW w:w="1080" w:type="dxa"/>
            <w:tcBorders>
              <w:top w:val="single" w:sz="4" w:space="0" w:color="auto"/>
              <w:left w:val="nil"/>
              <w:bottom w:val="single" w:sz="4" w:space="0" w:color="auto"/>
              <w:right w:val="single" w:sz="4" w:space="0" w:color="auto"/>
            </w:tcBorders>
            <w:noWrap/>
            <w:vAlign w:val="bottom"/>
            <w:hideMark/>
          </w:tcPr>
          <w:p w14:paraId="16A11073"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430,84%</w:t>
            </w:r>
          </w:p>
        </w:tc>
        <w:tc>
          <w:tcPr>
            <w:tcW w:w="980" w:type="dxa"/>
            <w:tcBorders>
              <w:top w:val="single" w:sz="4" w:space="0" w:color="auto"/>
              <w:left w:val="nil"/>
              <w:bottom w:val="single" w:sz="4" w:space="0" w:color="auto"/>
              <w:right w:val="single" w:sz="4" w:space="0" w:color="auto"/>
            </w:tcBorders>
            <w:noWrap/>
            <w:vAlign w:val="bottom"/>
            <w:hideMark/>
          </w:tcPr>
          <w:p w14:paraId="3C00DC53"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66B737DF"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18D5317D" w14:textId="77777777" w:rsidR="00416D67" w:rsidRPr="00416D67" w:rsidRDefault="00416D67" w:rsidP="00416D67">
            <w:pPr>
              <w:rPr>
                <w:rFonts w:ascii="Arial" w:hAnsi="Arial" w:cs="Arial"/>
                <w:sz w:val="16"/>
                <w:szCs w:val="16"/>
              </w:rPr>
            </w:pPr>
            <w:r w:rsidRPr="00416D67">
              <w:rPr>
                <w:rFonts w:ascii="Arial" w:hAnsi="Arial" w:cs="Arial"/>
                <w:sz w:val="16"/>
                <w:szCs w:val="16"/>
              </w:rPr>
              <w:t>6526 Ostali nespomenuti prihodi</w:t>
            </w:r>
          </w:p>
        </w:tc>
        <w:tc>
          <w:tcPr>
            <w:tcW w:w="1520" w:type="dxa"/>
            <w:tcBorders>
              <w:top w:val="single" w:sz="4" w:space="0" w:color="auto"/>
              <w:left w:val="nil"/>
              <w:bottom w:val="single" w:sz="4" w:space="0" w:color="auto"/>
              <w:right w:val="single" w:sz="4" w:space="0" w:color="auto"/>
            </w:tcBorders>
            <w:noWrap/>
            <w:vAlign w:val="bottom"/>
            <w:hideMark/>
          </w:tcPr>
          <w:p w14:paraId="45D84E8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156.791,18</w:t>
            </w:r>
          </w:p>
        </w:tc>
        <w:tc>
          <w:tcPr>
            <w:tcW w:w="1280" w:type="dxa"/>
            <w:tcBorders>
              <w:top w:val="single" w:sz="4" w:space="0" w:color="auto"/>
              <w:left w:val="nil"/>
              <w:bottom w:val="single" w:sz="4" w:space="0" w:color="auto"/>
              <w:right w:val="single" w:sz="4" w:space="0" w:color="auto"/>
            </w:tcBorders>
            <w:noWrap/>
            <w:vAlign w:val="bottom"/>
            <w:hideMark/>
          </w:tcPr>
          <w:p w14:paraId="164A04F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30AC27E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5782C18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139.662,70</w:t>
            </w:r>
          </w:p>
        </w:tc>
        <w:tc>
          <w:tcPr>
            <w:tcW w:w="1080" w:type="dxa"/>
            <w:tcBorders>
              <w:top w:val="single" w:sz="4" w:space="0" w:color="auto"/>
              <w:left w:val="nil"/>
              <w:bottom w:val="single" w:sz="4" w:space="0" w:color="auto"/>
              <w:right w:val="single" w:sz="4" w:space="0" w:color="auto"/>
            </w:tcBorders>
            <w:noWrap/>
            <w:vAlign w:val="bottom"/>
            <w:hideMark/>
          </w:tcPr>
          <w:p w14:paraId="4E4702E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89,08%</w:t>
            </w:r>
          </w:p>
        </w:tc>
        <w:tc>
          <w:tcPr>
            <w:tcW w:w="980" w:type="dxa"/>
            <w:tcBorders>
              <w:top w:val="single" w:sz="4" w:space="0" w:color="auto"/>
              <w:left w:val="nil"/>
              <w:bottom w:val="single" w:sz="4" w:space="0" w:color="auto"/>
              <w:right w:val="single" w:sz="4" w:space="0" w:color="auto"/>
            </w:tcBorders>
            <w:noWrap/>
            <w:vAlign w:val="bottom"/>
            <w:hideMark/>
          </w:tcPr>
          <w:p w14:paraId="15472DD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359D47AF"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1DE755E2"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653 Komunalni doprinosi i naknade</w:t>
            </w:r>
          </w:p>
        </w:tc>
        <w:tc>
          <w:tcPr>
            <w:tcW w:w="1520" w:type="dxa"/>
            <w:tcBorders>
              <w:top w:val="single" w:sz="4" w:space="0" w:color="auto"/>
              <w:left w:val="nil"/>
              <w:bottom w:val="single" w:sz="4" w:space="0" w:color="auto"/>
              <w:right w:val="single" w:sz="4" w:space="0" w:color="auto"/>
            </w:tcBorders>
            <w:noWrap/>
            <w:vAlign w:val="bottom"/>
            <w:hideMark/>
          </w:tcPr>
          <w:p w14:paraId="4ED679D8"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1.027.900,25</w:t>
            </w:r>
          </w:p>
        </w:tc>
        <w:tc>
          <w:tcPr>
            <w:tcW w:w="1280" w:type="dxa"/>
            <w:tcBorders>
              <w:top w:val="single" w:sz="4" w:space="0" w:color="auto"/>
              <w:left w:val="nil"/>
              <w:bottom w:val="single" w:sz="4" w:space="0" w:color="auto"/>
              <w:right w:val="single" w:sz="4" w:space="0" w:color="auto"/>
            </w:tcBorders>
            <w:noWrap/>
            <w:vAlign w:val="bottom"/>
            <w:hideMark/>
          </w:tcPr>
          <w:p w14:paraId="150D3CE5"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37E5E679"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09C77C2A"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1.088.273,19</w:t>
            </w:r>
          </w:p>
        </w:tc>
        <w:tc>
          <w:tcPr>
            <w:tcW w:w="1080" w:type="dxa"/>
            <w:tcBorders>
              <w:top w:val="single" w:sz="4" w:space="0" w:color="auto"/>
              <w:left w:val="nil"/>
              <w:bottom w:val="single" w:sz="4" w:space="0" w:color="auto"/>
              <w:right w:val="single" w:sz="4" w:space="0" w:color="auto"/>
            </w:tcBorders>
            <w:noWrap/>
            <w:vAlign w:val="bottom"/>
            <w:hideMark/>
          </w:tcPr>
          <w:p w14:paraId="44F30052"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105,87%</w:t>
            </w:r>
          </w:p>
        </w:tc>
        <w:tc>
          <w:tcPr>
            <w:tcW w:w="980" w:type="dxa"/>
            <w:tcBorders>
              <w:top w:val="single" w:sz="4" w:space="0" w:color="auto"/>
              <w:left w:val="nil"/>
              <w:bottom w:val="single" w:sz="4" w:space="0" w:color="auto"/>
              <w:right w:val="single" w:sz="4" w:space="0" w:color="auto"/>
            </w:tcBorders>
            <w:noWrap/>
            <w:vAlign w:val="bottom"/>
            <w:hideMark/>
          </w:tcPr>
          <w:p w14:paraId="396011F2"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356F7D3E"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6DD3C516" w14:textId="77777777" w:rsidR="00416D67" w:rsidRPr="00416D67" w:rsidRDefault="00416D67" w:rsidP="00416D67">
            <w:pPr>
              <w:rPr>
                <w:rFonts w:ascii="Arial" w:hAnsi="Arial" w:cs="Arial"/>
                <w:sz w:val="16"/>
                <w:szCs w:val="16"/>
              </w:rPr>
            </w:pPr>
            <w:r w:rsidRPr="00416D67">
              <w:rPr>
                <w:rFonts w:ascii="Arial" w:hAnsi="Arial" w:cs="Arial"/>
                <w:sz w:val="16"/>
                <w:szCs w:val="16"/>
              </w:rPr>
              <w:t>6531 Komunalni doprinosi</w:t>
            </w:r>
          </w:p>
        </w:tc>
        <w:tc>
          <w:tcPr>
            <w:tcW w:w="1520" w:type="dxa"/>
            <w:tcBorders>
              <w:top w:val="single" w:sz="4" w:space="0" w:color="auto"/>
              <w:left w:val="nil"/>
              <w:bottom w:val="single" w:sz="4" w:space="0" w:color="auto"/>
              <w:right w:val="single" w:sz="4" w:space="0" w:color="auto"/>
            </w:tcBorders>
            <w:noWrap/>
            <w:vAlign w:val="bottom"/>
            <w:hideMark/>
          </w:tcPr>
          <w:p w14:paraId="703CC5E4"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836.800,70</w:t>
            </w:r>
          </w:p>
        </w:tc>
        <w:tc>
          <w:tcPr>
            <w:tcW w:w="1280" w:type="dxa"/>
            <w:tcBorders>
              <w:top w:val="single" w:sz="4" w:space="0" w:color="auto"/>
              <w:left w:val="nil"/>
              <w:bottom w:val="single" w:sz="4" w:space="0" w:color="auto"/>
              <w:right w:val="single" w:sz="4" w:space="0" w:color="auto"/>
            </w:tcBorders>
            <w:noWrap/>
            <w:vAlign w:val="bottom"/>
            <w:hideMark/>
          </w:tcPr>
          <w:p w14:paraId="6680A10E"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6FAF7F3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3AB00E63"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892.583,16</w:t>
            </w:r>
          </w:p>
        </w:tc>
        <w:tc>
          <w:tcPr>
            <w:tcW w:w="1080" w:type="dxa"/>
            <w:tcBorders>
              <w:top w:val="single" w:sz="4" w:space="0" w:color="auto"/>
              <w:left w:val="nil"/>
              <w:bottom w:val="single" w:sz="4" w:space="0" w:color="auto"/>
              <w:right w:val="single" w:sz="4" w:space="0" w:color="auto"/>
            </w:tcBorders>
            <w:noWrap/>
            <w:vAlign w:val="bottom"/>
            <w:hideMark/>
          </w:tcPr>
          <w:p w14:paraId="0F24C8CE"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106,67%</w:t>
            </w:r>
          </w:p>
        </w:tc>
        <w:tc>
          <w:tcPr>
            <w:tcW w:w="980" w:type="dxa"/>
            <w:tcBorders>
              <w:top w:val="single" w:sz="4" w:space="0" w:color="auto"/>
              <w:left w:val="nil"/>
              <w:bottom w:val="single" w:sz="4" w:space="0" w:color="auto"/>
              <w:right w:val="single" w:sz="4" w:space="0" w:color="auto"/>
            </w:tcBorders>
            <w:noWrap/>
            <w:vAlign w:val="bottom"/>
            <w:hideMark/>
          </w:tcPr>
          <w:p w14:paraId="11383C5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521D2EC7"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112490BD" w14:textId="77777777" w:rsidR="00416D67" w:rsidRPr="00416D67" w:rsidRDefault="00416D67" w:rsidP="00416D67">
            <w:pPr>
              <w:rPr>
                <w:rFonts w:ascii="Arial" w:hAnsi="Arial" w:cs="Arial"/>
                <w:sz w:val="16"/>
                <w:szCs w:val="16"/>
              </w:rPr>
            </w:pPr>
            <w:r w:rsidRPr="00416D67">
              <w:rPr>
                <w:rFonts w:ascii="Arial" w:hAnsi="Arial" w:cs="Arial"/>
                <w:sz w:val="16"/>
                <w:szCs w:val="16"/>
              </w:rPr>
              <w:t>6532 Komunalne naknade</w:t>
            </w:r>
          </w:p>
        </w:tc>
        <w:tc>
          <w:tcPr>
            <w:tcW w:w="1520" w:type="dxa"/>
            <w:tcBorders>
              <w:top w:val="single" w:sz="4" w:space="0" w:color="auto"/>
              <w:left w:val="nil"/>
              <w:bottom w:val="single" w:sz="4" w:space="0" w:color="auto"/>
              <w:right w:val="single" w:sz="4" w:space="0" w:color="auto"/>
            </w:tcBorders>
            <w:noWrap/>
            <w:vAlign w:val="bottom"/>
            <w:hideMark/>
          </w:tcPr>
          <w:p w14:paraId="42D154A3"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191.099,55</w:t>
            </w:r>
          </w:p>
        </w:tc>
        <w:tc>
          <w:tcPr>
            <w:tcW w:w="1280" w:type="dxa"/>
            <w:tcBorders>
              <w:top w:val="single" w:sz="4" w:space="0" w:color="auto"/>
              <w:left w:val="nil"/>
              <w:bottom w:val="single" w:sz="4" w:space="0" w:color="auto"/>
              <w:right w:val="single" w:sz="4" w:space="0" w:color="auto"/>
            </w:tcBorders>
            <w:noWrap/>
            <w:vAlign w:val="bottom"/>
            <w:hideMark/>
          </w:tcPr>
          <w:p w14:paraId="73A8D0F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2E65BF8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1071FE4E"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195.690,03</w:t>
            </w:r>
          </w:p>
        </w:tc>
        <w:tc>
          <w:tcPr>
            <w:tcW w:w="1080" w:type="dxa"/>
            <w:tcBorders>
              <w:top w:val="single" w:sz="4" w:space="0" w:color="auto"/>
              <w:left w:val="nil"/>
              <w:bottom w:val="single" w:sz="4" w:space="0" w:color="auto"/>
              <w:right w:val="single" w:sz="4" w:space="0" w:color="auto"/>
            </w:tcBorders>
            <w:noWrap/>
            <w:vAlign w:val="bottom"/>
            <w:hideMark/>
          </w:tcPr>
          <w:p w14:paraId="0035C2C4"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102,40%</w:t>
            </w:r>
          </w:p>
        </w:tc>
        <w:tc>
          <w:tcPr>
            <w:tcW w:w="980" w:type="dxa"/>
            <w:tcBorders>
              <w:top w:val="single" w:sz="4" w:space="0" w:color="auto"/>
              <w:left w:val="nil"/>
              <w:bottom w:val="single" w:sz="4" w:space="0" w:color="auto"/>
              <w:right w:val="single" w:sz="4" w:space="0" w:color="auto"/>
            </w:tcBorders>
            <w:noWrap/>
            <w:vAlign w:val="bottom"/>
            <w:hideMark/>
          </w:tcPr>
          <w:p w14:paraId="297D972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2FE2D96E"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vAlign w:val="bottom"/>
            <w:hideMark/>
          </w:tcPr>
          <w:p w14:paraId="44986E92"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66 Prihodi od prodaje proizvoda i robe te pruženih usluga, prihodi od donacija te povrati po protestira</w:t>
            </w:r>
          </w:p>
        </w:tc>
        <w:tc>
          <w:tcPr>
            <w:tcW w:w="1520" w:type="dxa"/>
            <w:tcBorders>
              <w:top w:val="single" w:sz="4" w:space="0" w:color="auto"/>
              <w:left w:val="nil"/>
              <w:bottom w:val="single" w:sz="4" w:space="0" w:color="auto"/>
              <w:right w:val="single" w:sz="4" w:space="0" w:color="auto"/>
            </w:tcBorders>
            <w:noWrap/>
            <w:vAlign w:val="bottom"/>
            <w:hideMark/>
          </w:tcPr>
          <w:p w14:paraId="26D6AE8F"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46.294,05</w:t>
            </w:r>
          </w:p>
        </w:tc>
        <w:tc>
          <w:tcPr>
            <w:tcW w:w="1280" w:type="dxa"/>
            <w:tcBorders>
              <w:top w:val="single" w:sz="4" w:space="0" w:color="auto"/>
              <w:left w:val="nil"/>
              <w:bottom w:val="single" w:sz="4" w:space="0" w:color="auto"/>
              <w:right w:val="single" w:sz="4" w:space="0" w:color="auto"/>
            </w:tcBorders>
            <w:noWrap/>
            <w:vAlign w:val="bottom"/>
            <w:hideMark/>
          </w:tcPr>
          <w:p w14:paraId="14F35D6C"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42.900,20</w:t>
            </w:r>
          </w:p>
        </w:tc>
        <w:tc>
          <w:tcPr>
            <w:tcW w:w="1260" w:type="dxa"/>
            <w:tcBorders>
              <w:top w:val="single" w:sz="4" w:space="0" w:color="auto"/>
              <w:left w:val="nil"/>
              <w:bottom w:val="single" w:sz="4" w:space="0" w:color="auto"/>
              <w:right w:val="single" w:sz="4" w:space="0" w:color="auto"/>
            </w:tcBorders>
            <w:noWrap/>
            <w:vAlign w:val="bottom"/>
            <w:hideMark/>
          </w:tcPr>
          <w:p w14:paraId="5753B7EC"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42.900,20</w:t>
            </w:r>
          </w:p>
        </w:tc>
        <w:tc>
          <w:tcPr>
            <w:tcW w:w="1320" w:type="dxa"/>
            <w:tcBorders>
              <w:top w:val="single" w:sz="4" w:space="0" w:color="auto"/>
              <w:left w:val="nil"/>
              <w:bottom w:val="single" w:sz="4" w:space="0" w:color="auto"/>
              <w:right w:val="single" w:sz="4" w:space="0" w:color="auto"/>
            </w:tcBorders>
            <w:noWrap/>
            <w:vAlign w:val="bottom"/>
            <w:hideMark/>
          </w:tcPr>
          <w:p w14:paraId="41C3C1B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40.914,92</w:t>
            </w:r>
          </w:p>
        </w:tc>
        <w:tc>
          <w:tcPr>
            <w:tcW w:w="1080" w:type="dxa"/>
            <w:tcBorders>
              <w:top w:val="single" w:sz="4" w:space="0" w:color="auto"/>
              <w:left w:val="nil"/>
              <w:bottom w:val="single" w:sz="4" w:space="0" w:color="auto"/>
              <w:right w:val="single" w:sz="4" w:space="0" w:color="auto"/>
            </w:tcBorders>
            <w:noWrap/>
            <w:vAlign w:val="bottom"/>
            <w:hideMark/>
          </w:tcPr>
          <w:p w14:paraId="0DEB28F4"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88,38%</w:t>
            </w:r>
          </w:p>
        </w:tc>
        <w:tc>
          <w:tcPr>
            <w:tcW w:w="980" w:type="dxa"/>
            <w:tcBorders>
              <w:top w:val="single" w:sz="4" w:space="0" w:color="auto"/>
              <w:left w:val="nil"/>
              <w:bottom w:val="single" w:sz="4" w:space="0" w:color="auto"/>
              <w:right w:val="single" w:sz="4" w:space="0" w:color="auto"/>
            </w:tcBorders>
            <w:noWrap/>
            <w:vAlign w:val="bottom"/>
            <w:hideMark/>
          </w:tcPr>
          <w:p w14:paraId="118ED735"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95,37%</w:t>
            </w:r>
          </w:p>
        </w:tc>
      </w:tr>
      <w:tr w:rsidR="00416D67" w:rsidRPr="00416D67" w14:paraId="4EE605AF"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2CBC2E40"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661 Prihodi od prodaje proizvoda i robe te pruženih usluga</w:t>
            </w:r>
          </w:p>
        </w:tc>
        <w:tc>
          <w:tcPr>
            <w:tcW w:w="1520" w:type="dxa"/>
            <w:tcBorders>
              <w:top w:val="single" w:sz="4" w:space="0" w:color="auto"/>
              <w:left w:val="nil"/>
              <w:bottom w:val="single" w:sz="4" w:space="0" w:color="auto"/>
              <w:right w:val="single" w:sz="4" w:space="0" w:color="auto"/>
            </w:tcBorders>
            <w:noWrap/>
            <w:vAlign w:val="bottom"/>
            <w:hideMark/>
          </w:tcPr>
          <w:p w14:paraId="4A470632"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41.578,47</w:t>
            </w:r>
          </w:p>
        </w:tc>
        <w:tc>
          <w:tcPr>
            <w:tcW w:w="1280" w:type="dxa"/>
            <w:tcBorders>
              <w:top w:val="single" w:sz="4" w:space="0" w:color="auto"/>
              <w:left w:val="nil"/>
              <w:bottom w:val="single" w:sz="4" w:space="0" w:color="auto"/>
              <w:right w:val="single" w:sz="4" w:space="0" w:color="auto"/>
            </w:tcBorders>
            <w:noWrap/>
            <w:vAlign w:val="bottom"/>
            <w:hideMark/>
          </w:tcPr>
          <w:p w14:paraId="21C587CE"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31F7A2EF"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04326E0A"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40.914,92</w:t>
            </w:r>
          </w:p>
        </w:tc>
        <w:tc>
          <w:tcPr>
            <w:tcW w:w="1080" w:type="dxa"/>
            <w:tcBorders>
              <w:top w:val="single" w:sz="4" w:space="0" w:color="auto"/>
              <w:left w:val="nil"/>
              <w:bottom w:val="single" w:sz="4" w:space="0" w:color="auto"/>
              <w:right w:val="single" w:sz="4" w:space="0" w:color="auto"/>
            </w:tcBorders>
            <w:noWrap/>
            <w:vAlign w:val="bottom"/>
            <w:hideMark/>
          </w:tcPr>
          <w:p w14:paraId="1DB4267D"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98,40%</w:t>
            </w:r>
          </w:p>
        </w:tc>
        <w:tc>
          <w:tcPr>
            <w:tcW w:w="980" w:type="dxa"/>
            <w:tcBorders>
              <w:top w:val="single" w:sz="4" w:space="0" w:color="auto"/>
              <w:left w:val="nil"/>
              <w:bottom w:val="single" w:sz="4" w:space="0" w:color="auto"/>
              <w:right w:val="single" w:sz="4" w:space="0" w:color="auto"/>
            </w:tcBorders>
            <w:noWrap/>
            <w:vAlign w:val="bottom"/>
            <w:hideMark/>
          </w:tcPr>
          <w:p w14:paraId="23354D5F"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1F28902F"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6974F20C" w14:textId="77777777" w:rsidR="00416D67" w:rsidRPr="00416D67" w:rsidRDefault="00416D67" w:rsidP="00416D67">
            <w:pPr>
              <w:rPr>
                <w:rFonts w:ascii="Arial" w:hAnsi="Arial" w:cs="Arial"/>
                <w:sz w:val="16"/>
                <w:szCs w:val="16"/>
              </w:rPr>
            </w:pPr>
            <w:r w:rsidRPr="00416D67">
              <w:rPr>
                <w:rFonts w:ascii="Arial" w:hAnsi="Arial" w:cs="Arial"/>
                <w:sz w:val="16"/>
                <w:szCs w:val="16"/>
              </w:rPr>
              <w:t>6615 Prihodi od pruženih usluga</w:t>
            </w:r>
          </w:p>
        </w:tc>
        <w:tc>
          <w:tcPr>
            <w:tcW w:w="1520" w:type="dxa"/>
            <w:tcBorders>
              <w:top w:val="single" w:sz="4" w:space="0" w:color="auto"/>
              <w:left w:val="nil"/>
              <w:bottom w:val="single" w:sz="4" w:space="0" w:color="auto"/>
              <w:right w:val="single" w:sz="4" w:space="0" w:color="auto"/>
            </w:tcBorders>
            <w:noWrap/>
            <w:vAlign w:val="bottom"/>
            <w:hideMark/>
          </w:tcPr>
          <w:p w14:paraId="4676B0A4"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41.578,47</w:t>
            </w:r>
          </w:p>
        </w:tc>
        <w:tc>
          <w:tcPr>
            <w:tcW w:w="1280" w:type="dxa"/>
            <w:tcBorders>
              <w:top w:val="single" w:sz="4" w:space="0" w:color="auto"/>
              <w:left w:val="nil"/>
              <w:bottom w:val="single" w:sz="4" w:space="0" w:color="auto"/>
              <w:right w:val="single" w:sz="4" w:space="0" w:color="auto"/>
            </w:tcBorders>
            <w:noWrap/>
            <w:vAlign w:val="bottom"/>
            <w:hideMark/>
          </w:tcPr>
          <w:p w14:paraId="52636E33"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4B878693"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29428C6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40.914,92</w:t>
            </w:r>
          </w:p>
        </w:tc>
        <w:tc>
          <w:tcPr>
            <w:tcW w:w="1080" w:type="dxa"/>
            <w:tcBorders>
              <w:top w:val="single" w:sz="4" w:space="0" w:color="auto"/>
              <w:left w:val="nil"/>
              <w:bottom w:val="single" w:sz="4" w:space="0" w:color="auto"/>
              <w:right w:val="single" w:sz="4" w:space="0" w:color="auto"/>
            </w:tcBorders>
            <w:noWrap/>
            <w:vAlign w:val="bottom"/>
            <w:hideMark/>
          </w:tcPr>
          <w:p w14:paraId="7910D41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98,40%</w:t>
            </w:r>
          </w:p>
        </w:tc>
        <w:tc>
          <w:tcPr>
            <w:tcW w:w="980" w:type="dxa"/>
            <w:tcBorders>
              <w:top w:val="single" w:sz="4" w:space="0" w:color="auto"/>
              <w:left w:val="nil"/>
              <w:bottom w:val="single" w:sz="4" w:space="0" w:color="auto"/>
              <w:right w:val="single" w:sz="4" w:space="0" w:color="auto"/>
            </w:tcBorders>
            <w:noWrap/>
            <w:vAlign w:val="bottom"/>
            <w:hideMark/>
          </w:tcPr>
          <w:p w14:paraId="15A612B6"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22C897B4"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vAlign w:val="bottom"/>
            <w:hideMark/>
          </w:tcPr>
          <w:p w14:paraId="72301A29"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663 Donacije od pravnih i fizičkih osoba izvan općeg proračuna te povrat donacija i kapitalnih pomoći po</w:t>
            </w:r>
          </w:p>
        </w:tc>
        <w:tc>
          <w:tcPr>
            <w:tcW w:w="1520" w:type="dxa"/>
            <w:tcBorders>
              <w:top w:val="single" w:sz="4" w:space="0" w:color="auto"/>
              <w:left w:val="nil"/>
              <w:bottom w:val="single" w:sz="4" w:space="0" w:color="auto"/>
              <w:right w:val="single" w:sz="4" w:space="0" w:color="auto"/>
            </w:tcBorders>
            <w:noWrap/>
            <w:vAlign w:val="bottom"/>
            <w:hideMark/>
          </w:tcPr>
          <w:p w14:paraId="3A6894DA"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4.715,58</w:t>
            </w:r>
          </w:p>
        </w:tc>
        <w:tc>
          <w:tcPr>
            <w:tcW w:w="1280" w:type="dxa"/>
            <w:tcBorders>
              <w:top w:val="single" w:sz="4" w:space="0" w:color="auto"/>
              <w:left w:val="nil"/>
              <w:bottom w:val="single" w:sz="4" w:space="0" w:color="auto"/>
              <w:right w:val="single" w:sz="4" w:space="0" w:color="auto"/>
            </w:tcBorders>
            <w:noWrap/>
            <w:vAlign w:val="bottom"/>
            <w:hideMark/>
          </w:tcPr>
          <w:p w14:paraId="59232FB5"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35EA1BA8"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7133BAE5"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080" w:type="dxa"/>
            <w:tcBorders>
              <w:top w:val="single" w:sz="4" w:space="0" w:color="auto"/>
              <w:left w:val="nil"/>
              <w:bottom w:val="single" w:sz="4" w:space="0" w:color="auto"/>
              <w:right w:val="single" w:sz="4" w:space="0" w:color="auto"/>
            </w:tcBorders>
            <w:noWrap/>
            <w:vAlign w:val="bottom"/>
            <w:hideMark/>
          </w:tcPr>
          <w:p w14:paraId="6895CC3D"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0,00%</w:t>
            </w:r>
          </w:p>
        </w:tc>
        <w:tc>
          <w:tcPr>
            <w:tcW w:w="980" w:type="dxa"/>
            <w:tcBorders>
              <w:top w:val="single" w:sz="4" w:space="0" w:color="auto"/>
              <w:left w:val="nil"/>
              <w:bottom w:val="single" w:sz="4" w:space="0" w:color="auto"/>
              <w:right w:val="single" w:sz="4" w:space="0" w:color="auto"/>
            </w:tcBorders>
            <w:noWrap/>
            <w:vAlign w:val="bottom"/>
            <w:hideMark/>
          </w:tcPr>
          <w:p w14:paraId="55C93379"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3D4F4F8E"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047099B4" w14:textId="77777777" w:rsidR="00416D67" w:rsidRPr="00416D67" w:rsidRDefault="00416D67" w:rsidP="00416D67">
            <w:pPr>
              <w:rPr>
                <w:rFonts w:ascii="Arial" w:hAnsi="Arial" w:cs="Arial"/>
                <w:sz w:val="16"/>
                <w:szCs w:val="16"/>
              </w:rPr>
            </w:pPr>
            <w:r w:rsidRPr="00416D67">
              <w:rPr>
                <w:rFonts w:ascii="Arial" w:hAnsi="Arial" w:cs="Arial"/>
                <w:sz w:val="16"/>
                <w:szCs w:val="16"/>
              </w:rPr>
              <w:t>6631 Tekuće donacije</w:t>
            </w:r>
          </w:p>
        </w:tc>
        <w:tc>
          <w:tcPr>
            <w:tcW w:w="1520" w:type="dxa"/>
            <w:tcBorders>
              <w:top w:val="single" w:sz="4" w:space="0" w:color="auto"/>
              <w:left w:val="nil"/>
              <w:bottom w:val="single" w:sz="4" w:space="0" w:color="auto"/>
              <w:right w:val="single" w:sz="4" w:space="0" w:color="auto"/>
            </w:tcBorders>
            <w:noWrap/>
            <w:vAlign w:val="bottom"/>
            <w:hideMark/>
          </w:tcPr>
          <w:p w14:paraId="6EC5428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4.715,58</w:t>
            </w:r>
          </w:p>
        </w:tc>
        <w:tc>
          <w:tcPr>
            <w:tcW w:w="1280" w:type="dxa"/>
            <w:tcBorders>
              <w:top w:val="single" w:sz="4" w:space="0" w:color="auto"/>
              <w:left w:val="nil"/>
              <w:bottom w:val="single" w:sz="4" w:space="0" w:color="auto"/>
              <w:right w:val="single" w:sz="4" w:space="0" w:color="auto"/>
            </w:tcBorders>
            <w:noWrap/>
            <w:vAlign w:val="bottom"/>
            <w:hideMark/>
          </w:tcPr>
          <w:p w14:paraId="20969229"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4B71E34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6B28A6A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080" w:type="dxa"/>
            <w:tcBorders>
              <w:top w:val="single" w:sz="4" w:space="0" w:color="auto"/>
              <w:left w:val="nil"/>
              <w:bottom w:val="single" w:sz="4" w:space="0" w:color="auto"/>
              <w:right w:val="single" w:sz="4" w:space="0" w:color="auto"/>
            </w:tcBorders>
            <w:noWrap/>
            <w:vAlign w:val="bottom"/>
            <w:hideMark/>
          </w:tcPr>
          <w:p w14:paraId="118D632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0,00%</w:t>
            </w:r>
          </w:p>
        </w:tc>
        <w:tc>
          <w:tcPr>
            <w:tcW w:w="980" w:type="dxa"/>
            <w:tcBorders>
              <w:top w:val="single" w:sz="4" w:space="0" w:color="auto"/>
              <w:left w:val="nil"/>
              <w:bottom w:val="single" w:sz="4" w:space="0" w:color="auto"/>
              <w:right w:val="single" w:sz="4" w:space="0" w:color="auto"/>
            </w:tcBorders>
            <w:noWrap/>
            <w:vAlign w:val="bottom"/>
            <w:hideMark/>
          </w:tcPr>
          <w:p w14:paraId="7821A1F6"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1ECDB5B5"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26ABD7B9"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68 Kazne, upravne mjere i ostali prihodi</w:t>
            </w:r>
          </w:p>
        </w:tc>
        <w:tc>
          <w:tcPr>
            <w:tcW w:w="1520" w:type="dxa"/>
            <w:tcBorders>
              <w:top w:val="single" w:sz="4" w:space="0" w:color="auto"/>
              <w:left w:val="nil"/>
              <w:bottom w:val="single" w:sz="4" w:space="0" w:color="auto"/>
              <w:right w:val="single" w:sz="4" w:space="0" w:color="auto"/>
            </w:tcBorders>
            <w:noWrap/>
            <w:vAlign w:val="bottom"/>
            <w:hideMark/>
          </w:tcPr>
          <w:p w14:paraId="297FA595"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555,00</w:t>
            </w:r>
          </w:p>
        </w:tc>
        <w:tc>
          <w:tcPr>
            <w:tcW w:w="1280" w:type="dxa"/>
            <w:tcBorders>
              <w:top w:val="single" w:sz="4" w:space="0" w:color="auto"/>
              <w:left w:val="nil"/>
              <w:bottom w:val="single" w:sz="4" w:space="0" w:color="auto"/>
              <w:right w:val="single" w:sz="4" w:space="0" w:color="auto"/>
            </w:tcBorders>
            <w:noWrap/>
            <w:vAlign w:val="bottom"/>
            <w:hideMark/>
          </w:tcPr>
          <w:p w14:paraId="210002A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1.230,00</w:t>
            </w:r>
          </w:p>
        </w:tc>
        <w:tc>
          <w:tcPr>
            <w:tcW w:w="1260" w:type="dxa"/>
            <w:tcBorders>
              <w:top w:val="single" w:sz="4" w:space="0" w:color="auto"/>
              <w:left w:val="nil"/>
              <w:bottom w:val="single" w:sz="4" w:space="0" w:color="auto"/>
              <w:right w:val="single" w:sz="4" w:space="0" w:color="auto"/>
            </w:tcBorders>
            <w:noWrap/>
            <w:vAlign w:val="bottom"/>
            <w:hideMark/>
          </w:tcPr>
          <w:p w14:paraId="187252A7"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1.230,00</w:t>
            </w:r>
          </w:p>
        </w:tc>
        <w:tc>
          <w:tcPr>
            <w:tcW w:w="1320" w:type="dxa"/>
            <w:tcBorders>
              <w:top w:val="single" w:sz="4" w:space="0" w:color="auto"/>
              <w:left w:val="nil"/>
              <w:bottom w:val="single" w:sz="4" w:space="0" w:color="auto"/>
              <w:right w:val="single" w:sz="4" w:space="0" w:color="auto"/>
            </w:tcBorders>
            <w:noWrap/>
            <w:vAlign w:val="bottom"/>
            <w:hideMark/>
          </w:tcPr>
          <w:p w14:paraId="74D99AEB"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1.260,00</w:t>
            </w:r>
          </w:p>
        </w:tc>
        <w:tc>
          <w:tcPr>
            <w:tcW w:w="1080" w:type="dxa"/>
            <w:tcBorders>
              <w:top w:val="single" w:sz="4" w:space="0" w:color="auto"/>
              <w:left w:val="nil"/>
              <w:bottom w:val="single" w:sz="4" w:space="0" w:color="auto"/>
              <w:right w:val="single" w:sz="4" w:space="0" w:color="auto"/>
            </w:tcBorders>
            <w:noWrap/>
            <w:vAlign w:val="bottom"/>
            <w:hideMark/>
          </w:tcPr>
          <w:p w14:paraId="5B1929CC"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227,03%</w:t>
            </w:r>
          </w:p>
        </w:tc>
        <w:tc>
          <w:tcPr>
            <w:tcW w:w="980" w:type="dxa"/>
            <w:tcBorders>
              <w:top w:val="single" w:sz="4" w:space="0" w:color="auto"/>
              <w:left w:val="nil"/>
              <w:bottom w:val="single" w:sz="4" w:space="0" w:color="auto"/>
              <w:right w:val="single" w:sz="4" w:space="0" w:color="auto"/>
            </w:tcBorders>
            <w:noWrap/>
            <w:vAlign w:val="bottom"/>
            <w:hideMark/>
          </w:tcPr>
          <w:p w14:paraId="6F655DD5"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102,44%</w:t>
            </w:r>
          </w:p>
        </w:tc>
      </w:tr>
      <w:tr w:rsidR="00416D67" w:rsidRPr="00416D67" w14:paraId="3AC5B651"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54C0A803"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681 Kazne i upravne mjere</w:t>
            </w:r>
          </w:p>
        </w:tc>
        <w:tc>
          <w:tcPr>
            <w:tcW w:w="1520" w:type="dxa"/>
            <w:tcBorders>
              <w:top w:val="single" w:sz="4" w:space="0" w:color="auto"/>
              <w:left w:val="nil"/>
              <w:bottom w:val="single" w:sz="4" w:space="0" w:color="auto"/>
              <w:right w:val="single" w:sz="4" w:space="0" w:color="auto"/>
            </w:tcBorders>
            <w:noWrap/>
            <w:vAlign w:val="bottom"/>
            <w:hideMark/>
          </w:tcPr>
          <w:p w14:paraId="7DFA4AF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555,00</w:t>
            </w:r>
          </w:p>
        </w:tc>
        <w:tc>
          <w:tcPr>
            <w:tcW w:w="1280" w:type="dxa"/>
            <w:tcBorders>
              <w:top w:val="single" w:sz="4" w:space="0" w:color="auto"/>
              <w:left w:val="nil"/>
              <w:bottom w:val="single" w:sz="4" w:space="0" w:color="auto"/>
              <w:right w:val="single" w:sz="4" w:space="0" w:color="auto"/>
            </w:tcBorders>
            <w:noWrap/>
            <w:vAlign w:val="bottom"/>
            <w:hideMark/>
          </w:tcPr>
          <w:p w14:paraId="061AB15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4911EE5C"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4FF20927"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1.260,00</w:t>
            </w:r>
          </w:p>
        </w:tc>
        <w:tc>
          <w:tcPr>
            <w:tcW w:w="1080" w:type="dxa"/>
            <w:tcBorders>
              <w:top w:val="single" w:sz="4" w:space="0" w:color="auto"/>
              <w:left w:val="nil"/>
              <w:bottom w:val="single" w:sz="4" w:space="0" w:color="auto"/>
              <w:right w:val="single" w:sz="4" w:space="0" w:color="auto"/>
            </w:tcBorders>
            <w:noWrap/>
            <w:vAlign w:val="bottom"/>
            <w:hideMark/>
          </w:tcPr>
          <w:p w14:paraId="1355ECD2"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227,03%</w:t>
            </w:r>
          </w:p>
        </w:tc>
        <w:tc>
          <w:tcPr>
            <w:tcW w:w="980" w:type="dxa"/>
            <w:tcBorders>
              <w:top w:val="single" w:sz="4" w:space="0" w:color="auto"/>
              <w:left w:val="nil"/>
              <w:bottom w:val="single" w:sz="4" w:space="0" w:color="auto"/>
              <w:right w:val="single" w:sz="4" w:space="0" w:color="auto"/>
            </w:tcBorders>
            <w:noWrap/>
            <w:vAlign w:val="bottom"/>
            <w:hideMark/>
          </w:tcPr>
          <w:p w14:paraId="626AEAFC"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284537D3"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4DF00310" w14:textId="77777777" w:rsidR="00416D67" w:rsidRPr="00416D67" w:rsidRDefault="00416D67" w:rsidP="00416D67">
            <w:pPr>
              <w:rPr>
                <w:rFonts w:ascii="Arial" w:hAnsi="Arial" w:cs="Arial"/>
                <w:sz w:val="16"/>
                <w:szCs w:val="16"/>
              </w:rPr>
            </w:pPr>
            <w:r w:rsidRPr="00416D67">
              <w:rPr>
                <w:rFonts w:ascii="Arial" w:hAnsi="Arial" w:cs="Arial"/>
                <w:sz w:val="16"/>
                <w:szCs w:val="16"/>
              </w:rPr>
              <w:t>6819 Ostale kazne</w:t>
            </w:r>
          </w:p>
        </w:tc>
        <w:tc>
          <w:tcPr>
            <w:tcW w:w="1520" w:type="dxa"/>
            <w:tcBorders>
              <w:top w:val="single" w:sz="4" w:space="0" w:color="auto"/>
              <w:left w:val="nil"/>
              <w:bottom w:val="single" w:sz="4" w:space="0" w:color="auto"/>
              <w:right w:val="single" w:sz="4" w:space="0" w:color="auto"/>
            </w:tcBorders>
            <w:noWrap/>
            <w:vAlign w:val="bottom"/>
            <w:hideMark/>
          </w:tcPr>
          <w:p w14:paraId="0BB25B2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555,00</w:t>
            </w:r>
          </w:p>
        </w:tc>
        <w:tc>
          <w:tcPr>
            <w:tcW w:w="1280" w:type="dxa"/>
            <w:tcBorders>
              <w:top w:val="single" w:sz="4" w:space="0" w:color="auto"/>
              <w:left w:val="nil"/>
              <w:bottom w:val="single" w:sz="4" w:space="0" w:color="auto"/>
              <w:right w:val="single" w:sz="4" w:space="0" w:color="auto"/>
            </w:tcBorders>
            <w:noWrap/>
            <w:vAlign w:val="bottom"/>
            <w:hideMark/>
          </w:tcPr>
          <w:p w14:paraId="545F8E94"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70EDB26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69E3310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1.260,00</w:t>
            </w:r>
          </w:p>
        </w:tc>
        <w:tc>
          <w:tcPr>
            <w:tcW w:w="1080" w:type="dxa"/>
            <w:tcBorders>
              <w:top w:val="single" w:sz="4" w:space="0" w:color="auto"/>
              <w:left w:val="nil"/>
              <w:bottom w:val="single" w:sz="4" w:space="0" w:color="auto"/>
              <w:right w:val="single" w:sz="4" w:space="0" w:color="auto"/>
            </w:tcBorders>
            <w:noWrap/>
            <w:vAlign w:val="bottom"/>
            <w:hideMark/>
          </w:tcPr>
          <w:p w14:paraId="4BDCB82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227,03%</w:t>
            </w:r>
          </w:p>
        </w:tc>
        <w:tc>
          <w:tcPr>
            <w:tcW w:w="980" w:type="dxa"/>
            <w:tcBorders>
              <w:top w:val="single" w:sz="4" w:space="0" w:color="auto"/>
              <w:left w:val="nil"/>
              <w:bottom w:val="single" w:sz="4" w:space="0" w:color="auto"/>
              <w:right w:val="single" w:sz="4" w:space="0" w:color="auto"/>
            </w:tcBorders>
            <w:noWrap/>
            <w:vAlign w:val="bottom"/>
            <w:hideMark/>
          </w:tcPr>
          <w:p w14:paraId="6D927FFE"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401E7DF4"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027B5992"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7 Prihodi od prodaje nefinancijske imovine</w:t>
            </w:r>
          </w:p>
        </w:tc>
        <w:tc>
          <w:tcPr>
            <w:tcW w:w="1520" w:type="dxa"/>
            <w:tcBorders>
              <w:top w:val="single" w:sz="4" w:space="0" w:color="auto"/>
              <w:left w:val="nil"/>
              <w:bottom w:val="single" w:sz="4" w:space="0" w:color="auto"/>
              <w:right w:val="single" w:sz="4" w:space="0" w:color="auto"/>
            </w:tcBorders>
            <w:noWrap/>
            <w:vAlign w:val="bottom"/>
            <w:hideMark/>
          </w:tcPr>
          <w:p w14:paraId="5127E731"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8.886,01</w:t>
            </w:r>
          </w:p>
        </w:tc>
        <w:tc>
          <w:tcPr>
            <w:tcW w:w="1280" w:type="dxa"/>
            <w:tcBorders>
              <w:top w:val="single" w:sz="4" w:space="0" w:color="auto"/>
              <w:left w:val="nil"/>
              <w:bottom w:val="single" w:sz="4" w:space="0" w:color="auto"/>
              <w:right w:val="single" w:sz="4" w:space="0" w:color="auto"/>
            </w:tcBorders>
            <w:noWrap/>
            <w:vAlign w:val="bottom"/>
            <w:hideMark/>
          </w:tcPr>
          <w:p w14:paraId="02DD22A4"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1.683.370,00</w:t>
            </w:r>
          </w:p>
        </w:tc>
        <w:tc>
          <w:tcPr>
            <w:tcW w:w="1260" w:type="dxa"/>
            <w:tcBorders>
              <w:top w:val="single" w:sz="4" w:space="0" w:color="auto"/>
              <w:left w:val="nil"/>
              <w:bottom w:val="single" w:sz="4" w:space="0" w:color="auto"/>
              <w:right w:val="single" w:sz="4" w:space="0" w:color="auto"/>
            </w:tcBorders>
            <w:noWrap/>
            <w:vAlign w:val="bottom"/>
            <w:hideMark/>
          </w:tcPr>
          <w:p w14:paraId="78869DE7"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1.683.370,00</w:t>
            </w:r>
          </w:p>
        </w:tc>
        <w:tc>
          <w:tcPr>
            <w:tcW w:w="1320" w:type="dxa"/>
            <w:tcBorders>
              <w:top w:val="single" w:sz="4" w:space="0" w:color="auto"/>
              <w:left w:val="nil"/>
              <w:bottom w:val="single" w:sz="4" w:space="0" w:color="auto"/>
              <w:right w:val="single" w:sz="4" w:space="0" w:color="auto"/>
            </w:tcBorders>
            <w:noWrap/>
            <w:vAlign w:val="bottom"/>
            <w:hideMark/>
          </w:tcPr>
          <w:p w14:paraId="5F64AD31"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1.632.646,65</w:t>
            </w:r>
          </w:p>
        </w:tc>
        <w:tc>
          <w:tcPr>
            <w:tcW w:w="1080" w:type="dxa"/>
            <w:tcBorders>
              <w:top w:val="single" w:sz="4" w:space="0" w:color="auto"/>
              <w:left w:val="nil"/>
              <w:bottom w:val="single" w:sz="4" w:space="0" w:color="auto"/>
              <w:right w:val="single" w:sz="4" w:space="0" w:color="auto"/>
            </w:tcBorders>
            <w:noWrap/>
            <w:vAlign w:val="bottom"/>
            <w:hideMark/>
          </w:tcPr>
          <w:p w14:paraId="34550E8A"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18373,23%</w:t>
            </w:r>
          </w:p>
        </w:tc>
        <w:tc>
          <w:tcPr>
            <w:tcW w:w="980" w:type="dxa"/>
            <w:tcBorders>
              <w:top w:val="single" w:sz="4" w:space="0" w:color="auto"/>
              <w:left w:val="nil"/>
              <w:bottom w:val="single" w:sz="4" w:space="0" w:color="auto"/>
              <w:right w:val="single" w:sz="4" w:space="0" w:color="auto"/>
            </w:tcBorders>
            <w:noWrap/>
            <w:vAlign w:val="bottom"/>
            <w:hideMark/>
          </w:tcPr>
          <w:p w14:paraId="3E1B8087"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96,99%</w:t>
            </w:r>
          </w:p>
        </w:tc>
      </w:tr>
      <w:tr w:rsidR="00416D67" w:rsidRPr="00416D67" w14:paraId="5F7382B2"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6CD2DB58"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 xml:space="preserve">71 Prihodi od prodaje </w:t>
            </w:r>
            <w:proofErr w:type="spellStart"/>
            <w:r w:rsidRPr="00416D67">
              <w:rPr>
                <w:rFonts w:ascii="Arial" w:hAnsi="Arial" w:cs="Arial"/>
                <w:b/>
                <w:bCs/>
                <w:sz w:val="16"/>
                <w:szCs w:val="16"/>
              </w:rPr>
              <w:t>neproizvedene</w:t>
            </w:r>
            <w:proofErr w:type="spellEnd"/>
            <w:r w:rsidRPr="00416D67">
              <w:rPr>
                <w:rFonts w:ascii="Arial" w:hAnsi="Arial" w:cs="Arial"/>
                <w:b/>
                <w:bCs/>
                <w:sz w:val="16"/>
                <w:szCs w:val="16"/>
              </w:rPr>
              <w:t xml:space="preserve"> dugotrajne imovine</w:t>
            </w:r>
          </w:p>
        </w:tc>
        <w:tc>
          <w:tcPr>
            <w:tcW w:w="1520" w:type="dxa"/>
            <w:tcBorders>
              <w:top w:val="single" w:sz="4" w:space="0" w:color="auto"/>
              <w:left w:val="nil"/>
              <w:bottom w:val="single" w:sz="4" w:space="0" w:color="auto"/>
              <w:right w:val="single" w:sz="4" w:space="0" w:color="auto"/>
            </w:tcBorders>
            <w:noWrap/>
            <w:vAlign w:val="bottom"/>
            <w:hideMark/>
          </w:tcPr>
          <w:p w14:paraId="7035B9C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8.886,01</w:t>
            </w:r>
          </w:p>
        </w:tc>
        <w:tc>
          <w:tcPr>
            <w:tcW w:w="1280" w:type="dxa"/>
            <w:tcBorders>
              <w:top w:val="single" w:sz="4" w:space="0" w:color="auto"/>
              <w:left w:val="nil"/>
              <w:bottom w:val="single" w:sz="4" w:space="0" w:color="auto"/>
              <w:right w:val="single" w:sz="4" w:space="0" w:color="auto"/>
            </w:tcBorders>
            <w:noWrap/>
            <w:vAlign w:val="bottom"/>
            <w:hideMark/>
          </w:tcPr>
          <w:p w14:paraId="5824D60B"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1.683.370,00</w:t>
            </w:r>
          </w:p>
        </w:tc>
        <w:tc>
          <w:tcPr>
            <w:tcW w:w="1260" w:type="dxa"/>
            <w:tcBorders>
              <w:top w:val="single" w:sz="4" w:space="0" w:color="auto"/>
              <w:left w:val="nil"/>
              <w:bottom w:val="single" w:sz="4" w:space="0" w:color="auto"/>
              <w:right w:val="single" w:sz="4" w:space="0" w:color="auto"/>
            </w:tcBorders>
            <w:noWrap/>
            <w:vAlign w:val="bottom"/>
            <w:hideMark/>
          </w:tcPr>
          <w:p w14:paraId="18343A3E"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1.683.370,00</w:t>
            </w:r>
          </w:p>
        </w:tc>
        <w:tc>
          <w:tcPr>
            <w:tcW w:w="1320" w:type="dxa"/>
            <w:tcBorders>
              <w:top w:val="single" w:sz="4" w:space="0" w:color="auto"/>
              <w:left w:val="nil"/>
              <w:bottom w:val="single" w:sz="4" w:space="0" w:color="auto"/>
              <w:right w:val="single" w:sz="4" w:space="0" w:color="auto"/>
            </w:tcBorders>
            <w:noWrap/>
            <w:vAlign w:val="bottom"/>
            <w:hideMark/>
          </w:tcPr>
          <w:p w14:paraId="26AB12A0"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1.632.646,65</w:t>
            </w:r>
          </w:p>
        </w:tc>
        <w:tc>
          <w:tcPr>
            <w:tcW w:w="1080" w:type="dxa"/>
            <w:tcBorders>
              <w:top w:val="single" w:sz="4" w:space="0" w:color="auto"/>
              <w:left w:val="nil"/>
              <w:bottom w:val="single" w:sz="4" w:space="0" w:color="auto"/>
              <w:right w:val="single" w:sz="4" w:space="0" w:color="auto"/>
            </w:tcBorders>
            <w:noWrap/>
            <w:vAlign w:val="bottom"/>
            <w:hideMark/>
          </w:tcPr>
          <w:p w14:paraId="0BF63D2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18373,23%</w:t>
            </w:r>
          </w:p>
        </w:tc>
        <w:tc>
          <w:tcPr>
            <w:tcW w:w="980" w:type="dxa"/>
            <w:tcBorders>
              <w:top w:val="single" w:sz="4" w:space="0" w:color="auto"/>
              <w:left w:val="nil"/>
              <w:bottom w:val="single" w:sz="4" w:space="0" w:color="auto"/>
              <w:right w:val="single" w:sz="4" w:space="0" w:color="auto"/>
            </w:tcBorders>
            <w:noWrap/>
            <w:vAlign w:val="bottom"/>
            <w:hideMark/>
          </w:tcPr>
          <w:p w14:paraId="0094970D"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96,99%</w:t>
            </w:r>
          </w:p>
        </w:tc>
      </w:tr>
      <w:tr w:rsidR="00416D67" w:rsidRPr="00416D67" w14:paraId="7828C8CA"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6D69D09D"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711 Prihodi od prodaje materijalne imovine - prirodnih bogatstava</w:t>
            </w:r>
          </w:p>
        </w:tc>
        <w:tc>
          <w:tcPr>
            <w:tcW w:w="1520" w:type="dxa"/>
            <w:tcBorders>
              <w:top w:val="single" w:sz="4" w:space="0" w:color="auto"/>
              <w:left w:val="nil"/>
              <w:bottom w:val="single" w:sz="4" w:space="0" w:color="auto"/>
              <w:right w:val="single" w:sz="4" w:space="0" w:color="auto"/>
            </w:tcBorders>
            <w:noWrap/>
            <w:vAlign w:val="bottom"/>
            <w:hideMark/>
          </w:tcPr>
          <w:p w14:paraId="0F74F633"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8.886,01</w:t>
            </w:r>
          </w:p>
        </w:tc>
        <w:tc>
          <w:tcPr>
            <w:tcW w:w="1280" w:type="dxa"/>
            <w:tcBorders>
              <w:top w:val="single" w:sz="4" w:space="0" w:color="auto"/>
              <w:left w:val="nil"/>
              <w:bottom w:val="single" w:sz="4" w:space="0" w:color="auto"/>
              <w:right w:val="single" w:sz="4" w:space="0" w:color="auto"/>
            </w:tcBorders>
            <w:noWrap/>
            <w:vAlign w:val="bottom"/>
            <w:hideMark/>
          </w:tcPr>
          <w:p w14:paraId="1515AA04"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7B282AB9"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4EFC0227"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1.632.646,65</w:t>
            </w:r>
          </w:p>
        </w:tc>
        <w:tc>
          <w:tcPr>
            <w:tcW w:w="1080" w:type="dxa"/>
            <w:tcBorders>
              <w:top w:val="single" w:sz="4" w:space="0" w:color="auto"/>
              <w:left w:val="nil"/>
              <w:bottom w:val="single" w:sz="4" w:space="0" w:color="auto"/>
              <w:right w:val="single" w:sz="4" w:space="0" w:color="auto"/>
            </w:tcBorders>
            <w:noWrap/>
            <w:vAlign w:val="bottom"/>
            <w:hideMark/>
          </w:tcPr>
          <w:p w14:paraId="34EB7141"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18373,23%</w:t>
            </w:r>
          </w:p>
        </w:tc>
        <w:tc>
          <w:tcPr>
            <w:tcW w:w="980" w:type="dxa"/>
            <w:tcBorders>
              <w:top w:val="single" w:sz="4" w:space="0" w:color="auto"/>
              <w:left w:val="nil"/>
              <w:bottom w:val="single" w:sz="4" w:space="0" w:color="auto"/>
              <w:right w:val="single" w:sz="4" w:space="0" w:color="auto"/>
            </w:tcBorders>
            <w:noWrap/>
            <w:vAlign w:val="bottom"/>
            <w:hideMark/>
          </w:tcPr>
          <w:p w14:paraId="47649158"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4968A499"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4FABD5D5" w14:textId="77777777" w:rsidR="00416D67" w:rsidRPr="00416D67" w:rsidRDefault="00416D67" w:rsidP="00416D67">
            <w:pPr>
              <w:rPr>
                <w:rFonts w:ascii="Arial" w:hAnsi="Arial" w:cs="Arial"/>
                <w:sz w:val="16"/>
                <w:szCs w:val="16"/>
              </w:rPr>
            </w:pPr>
            <w:r w:rsidRPr="00416D67">
              <w:rPr>
                <w:rFonts w:ascii="Arial" w:hAnsi="Arial" w:cs="Arial"/>
                <w:sz w:val="16"/>
                <w:szCs w:val="16"/>
              </w:rPr>
              <w:t>7111 Zemljište</w:t>
            </w:r>
          </w:p>
        </w:tc>
        <w:tc>
          <w:tcPr>
            <w:tcW w:w="1520" w:type="dxa"/>
            <w:tcBorders>
              <w:top w:val="single" w:sz="4" w:space="0" w:color="auto"/>
              <w:left w:val="nil"/>
              <w:bottom w:val="single" w:sz="4" w:space="0" w:color="auto"/>
              <w:right w:val="single" w:sz="4" w:space="0" w:color="auto"/>
            </w:tcBorders>
            <w:noWrap/>
            <w:vAlign w:val="bottom"/>
            <w:hideMark/>
          </w:tcPr>
          <w:p w14:paraId="0E372E5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8.886,01</w:t>
            </w:r>
          </w:p>
        </w:tc>
        <w:tc>
          <w:tcPr>
            <w:tcW w:w="1280" w:type="dxa"/>
            <w:tcBorders>
              <w:top w:val="single" w:sz="4" w:space="0" w:color="auto"/>
              <w:left w:val="nil"/>
              <w:bottom w:val="single" w:sz="4" w:space="0" w:color="auto"/>
              <w:right w:val="single" w:sz="4" w:space="0" w:color="auto"/>
            </w:tcBorders>
            <w:noWrap/>
            <w:vAlign w:val="bottom"/>
            <w:hideMark/>
          </w:tcPr>
          <w:p w14:paraId="75F8760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57D5930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377690A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1.632.646,65</w:t>
            </w:r>
          </w:p>
        </w:tc>
        <w:tc>
          <w:tcPr>
            <w:tcW w:w="1080" w:type="dxa"/>
            <w:tcBorders>
              <w:top w:val="single" w:sz="4" w:space="0" w:color="auto"/>
              <w:left w:val="nil"/>
              <w:bottom w:val="single" w:sz="4" w:space="0" w:color="auto"/>
              <w:right w:val="single" w:sz="4" w:space="0" w:color="auto"/>
            </w:tcBorders>
            <w:noWrap/>
            <w:vAlign w:val="bottom"/>
            <w:hideMark/>
          </w:tcPr>
          <w:p w14:paraId="5A98C623"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18373,23%</w:t>
            </w:r>
          </w:p>
        </w:tc>
        <w:tc>
          <w:tcPr>
            <w:tcW w:w="980" w:type="dxa"/>
            <w:tcBorders>
              <w:top w:val="single" w:sz="4" w:space="0" w:color="auto"/>
              <w:left w:val="nil"/>
              <w:bottom w:val="single" w:sz="4" w:space="0" w:color="auto"/>
              <w:right w:val="single" w:sz="4" w:space="0" w:color="auto"/>
            </w:tcBorders>
            <w:noWrap/>
            <w:vAlign w:val="bottom"/>
            <w:hideMark/>
          </w:tcPr>
          <w:p w14:paraId="31F61AA3"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bl>
    <w:p w14:paraId="4E7F6310" w14:textId="77777777" w:rsidR="00416D67" w:rsidRPr="00416D67" w:rsidRDefault="00416D67" w:rsidP="00416D67">
      <w:pPr>
        <w:jc w:val="both"/>
        <w:rPr>
          <w:b/>
        </w:rPr>
      </w:pPr>
    </w:p>
    <w:p w14:paraId="080842B8" w14:textId="77777777" w:rsidR="00416D67" w:rsidRPr="00416D67" w:rsidRDefault="00416D67" w:rsidP="00416D67">
      <w:pPr>
        <w:jc w:val="both"/>
        <w:rPr>
          <w:b/>
        </w:rPr>
      </w:pPr>
    </w:p>
    <w:p w14:paraId="3FF44185" w14:textId="77777777" w:rsidR="00416D67" w:rsidRPr="00416D67" w:rsidRDefault="00416D67" w:rsidP="00416D67">
      <w:pPr>
        <w:jc w:val="both"/>
        <w:rPr>
          <w:b/>
        </w:rPr>
      </w:pPr>
    </w:p>
    <w:p w14:paraId="18825965" w14:textId="77777777" w:rsidR="00416D67" w:rsidRPr="00416D67" w:rsidRDefault="00416D67" w:rsidP="00416D67">
      <w:pPr>
        <w:jc w:val="both"/>
        <w:rPr>
          <w:b/>
        </w:rPr>
      </w:pPr>
    </w:p>
    <w:tbl>
      <w:tblPr>
        <w:tblW w:w="14220" w:type="dxa"/>
        <w:tblInd w:w="93" w:type="dxa"/>
        <w:tblLook w:val="04A0" w:firstRow="1" w:lastRow="0" w:firstColumn="1" w:lastColumn="0" w:noHBand="0" w:noVBand="1"/>
      </w:tblPr>
      <w:tblGrid>
        <w:gridCol w:w="6780"/>
        <w:gridCol w:w="1520"/>
        <w:gridCol w:w="1280"/>
        <w:gridCol w:w="1260"/>
        <w:gridCol w:w="1320"/>
        <w:gridCol w:w="1080"/>
        <w:gridCol w:w="980"/>
      </w:tblGrid>
      <w:tr w:rsidR="00416D67" w:rsidRPr="00416D67" w14:paraId="796883FC" w14:textId="77777777" w:rsidTr="00BB1392">
        <w:trPr>
          <w:trHeight w:val="765"/>
        </w:trPr>
        <w:tc>
          <w:tcPr>
            <w:tcW w:w="678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BAC3582"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lastRenderedPageBreak/>
              <w:t>Račun / opis</w:t>
            </w:r>
          </w:p>
        </w:tc>
        <w:tc>
          <w:tcPr>
            <w:tcW w:w="1520" w:type="dxa"/>
            <w:tcBorders>
              <w:top w:val="single" w:sz="4" w:space="0" w:color="auto"/>
              <w:left w:val="nil"/>
              <w:bottom w:val="single" w:sz="4" w:space="0" w:color="auto"/>
              <w:right w:val="single" w:sz="4" w:space="0" w:color="auto"/>
            </w:tcBorders>
            <w:shd w:val="clear" w:color="000000" w:fill="C0C0C0"/>
            <w:vAlign w:val="bottom"/>
            <w:hideMark/>
          </w:tcPr>
          <w:p w14:paraId="788D9071"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Izvršenje proračuna 2024. godina</w:t>
            </w:r>
          </w:p>
        </w:tc>
        <w:tc>
          <w:tcPr>
            <w:tcW w:w="1280" w:type="dxa"/>
            <w:tcBorders>
              <w:top w:val="single" w:sz="4" w:space="0" w:color="auto"/>
              <w:left w:val="nil"/>
              <w:bottom w:val="single" w:sz="4" w:space="0" w:color="auto"/>
              <w:right w:val="single" w:sz="4" w:space="0" w:color="auto"/>
            </w:tcBorders>
            <w:shd w:val="clear" w:color="000000" w:fill="C0C0C0"/>
            <w:vAlign w:val="bottom"/>
            <w:hideMark/>
          </w:tcPr>
          <w:p w14:paraId="69EB458B"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Izvorni plan proračuna 2025. godina</w:t>
            </w:r>
          </w:p>
        </w:tc>
        <w:tc>
          <w:tcPr>
            <w:tcW w:w="1260" w:type="dxa"/>
            <w:tcBorders>
              <w:top w:val="single" w:sz="4" w:space="0" w:color="auto"/>
              <w:left w:val="nil"/>
              <w:bottom w:val="single" w:sz="4" w:space="0" w:color="auto"/>
              <w:right w:val="single" w:sz="4" w:space="0" w:color="auto"/>
            </w:tcBorders>
            <w:shd w:val="clear" w:color="000000" w:fill="C0C0C0"/>
            <w:vAlign w:val="bottom"/>
            <w:hideMark/>
          </w:tcPr>
          <w:p w14:paraId="01D7E780"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Tekući plan proračuna 2025. godina</w:t>
            </w:r>
          </w:p>
        </w:tc>
        <w:tc>
          <w:tcPr>
            <w:tcW w:w="1320" w:type="dxa"/>
            <w:tcBorders>
              <w:top w:val="single" w:sz="4" w:space="0" w:color="auto"/>
              <w:left w:val="nil"/>
              <w:bottom w:val="single" w:sz="4" w:space="0" w:color="auto"/>
              <w:right w:val="single" w:sz="4" w:space="0" w:color="auto"/>
            </w:tcBorders>
            <w:shd w:val="clear" w:color="000000" w:fill="C0C0C0"/>
            <w:vAlign w:val="bottom"/>
            <w:hideMark/>
          </w:tcPr>
          <w:p w14:paraId="52D8D298"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Izvršenje proračuna 2025. godina</w:t>
            </w:r>
          </w:p>
        </w:tc>
        <w:tc>
          <w:tcPr>
            <w:tcW w:w="1080" w:type="dxa"/>
            <w:tcBorders>
              <w:top w:val="single" w:sz="4" w:space="0" w:color="auto"/>
              <w:left w:val="nil"/>
              <w:bottom w:val="single" w:sz="4" w:space="0" w:color="auto"/>
              <w:right w:val="single" w:sz="4" w:space="0" w:color="auto"/>
            </w:tcBorders>
            <w:shd w:val="clear" w:color="000000" w:fill="C0C0C0"/>
            <w:vAlign w:val="bottom"/>
            <w:hideMark/>
          </w:tcPr>
          <w:p w14:paraId="6313FACB"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Indeks  4/1</w:t>
            </w:r>
          </w:p>
        </w:tc>
        <w:tc>
          <w:tcPr>
            <w:tcW w:w="980" w:type="dxa"/>
            <w:tcBorders>
              <w:top w:val="single" w:sz="4" w:space="0" w:color="auto"/>
              <w:left w:val="nil"/>
              <w:bottom w:val="single" w:sz="4" w:space="0" w:color="auto"/>
              <w:right w:val="single" w:sz="4" w:space="0" w:color="auto"/>
            </w:tcBorders>
            <w:shd w:val="clear" w:color="000000" w:fill="C0C0C0"/>
            <w:vAlign w:val="bottom"/>
            <w:hideMark/>
          </w:tcPr>
          <w:p w14:paraId="10892BF8"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Indeks  4/3</w:t>
            </w:r>
          </w:p>
        </w:tc>
      </w:tr>
      <w:tr w:rsidR="00416D67" w:rsidRPr="00416D67" w14:paraId="559FEA62"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399C51E9"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3 Rashodi poslovanja</w:t>
            </w:r>
          </w:p>
        </w:tc>
        <w:tc>
          <w:tcPr>
            <w:tcW w:w="1520" w:type="dxa"/>
            <w:tcBorders>
              <w:top w:val="single" w:sz="4" w:space="0" w:color="auto"/>
              <w:left w:val="nil"/>
              <w:bottom w:val="single" w:sz="4" w:space="0" w:color="auto"/>
              <w:right w:val="single" w:sz="4" w:space="0" w:color="auto"/>
            </w:tcBorders>
            <w:noWrap/>
            <w:vAlign w:val="bottom"/>
            <w:hideMark/>
          </w:tcPr>
          <w:p w14:paraId="3CFF18C2"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3.423.197,81</w:t>
            </w:r>
          </w:p>
        </w:tc>
        <w:tc>
          <w:tcPr>
            <w:tcW w:w="1280" w:type="dxa"/>
            <w:tcBorders>
              <w:top w:val="single" w:sz="4" w:space="0" w:color="auto"/>
              <w:left w:val="nil"/>
              <w:bottom w:val="single" w:sz="4" w:space="0" w:color="auto"/>
              <w:right w:val="single" w:sz="4" w:space="0" w:color="auto"/>
            </w:tcBorders>
            <w:noWrap/>
            <w:vAlign w:val="bottom"/>
            <w:hideMark/>
          </w:tcPr>
          <w:p w14:paraId="21659E6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5.822.901,47</w:t>
            </w:r>
          </w:p>
        </w:tc>
        <w:tc>
          <w:tcPr>
            <w:tcW w:w="1260" w:type="dxa"/>
            <w:tcBorders>
              <w:top w:val="single" w:sz="4" w:space="0" w:color="auto"/>
              <w:left w:val="nil"/>
              <w:bottom w:val="single" w:sz="4" w:space="0" w:color="auto"/>
              <w:right w:val="single" w:sz="4" w:space="0" w:color="auto"/>
            </w:tcBorders>
            <w:noWrap/>
            <w:vAlign w:val="bottom"/>
            <w:hideMark/>
          </w:tcPr>
          <w:p w14:paraId="527A7350"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5.785.441,47</w:t>
            </w:r>
          </w:p>
        </w:tc>
        <w:tc>
          <w:tcPr>
            <w:tcW w:w="1320" w:type="dxa"/>
            <w:tcBorders>
              <w:top w:val="single" w:sz="4" w:space="0" w:color="auto"/>
              <w:left w:val="nil"/>
              <w:bottom w:val="single" w:sz="4" w:space="0" w:color="auto"/>
              <w:right w:val="single" w:sz="4" w:space="0" w:color="auto"/>
            </w:tcBorders>
            <w:noWrap/>
            <w:vAlign w:val="bottom"/>
            <w:hideMark/>
          </w:tcPr>
          <w:p w14:paraId="3EA6B01C"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4.187.956,59</w:t>
            </w:r>
          </w:p>
        </w:tc>
        <w:tc>
          <w:tcPr>
            <w:tcW w:w="1080" w:type="dxa"/>
            <w:tcBorders>
              <w:top w:val="single" w:sz="4" w:space="0" w:color="auto"/>
              <w:left w:val="nil"/>
              <w:bottom w:val="single" w:sz="4" w:space="0" w:color="auto"/>
              <w:right w:val="single" w:sz="4" w:space="0" w:color="auto"/>
            </w:tcBorders>
            <w:noWrap/>
            <w:vAlign w:val="bottom"/>
            <w:hideMark/>
          </w:tcPr>
          <w:p w14:paraId="1BBEF92B"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122,34%</w:t>
            </w:r>
          </w:p>
        </w:tc>
        <w:tc>
          <w:tcPr>
            <w:tcW w:w="980" w:type="dxa"/>
            <w:tcBorders>
              <w:top w:val="single" w:sz="4" w:space="0" w:color="auto"/>
              <w:left w:val="nil"/>
              <w:bottom w:val="single" w:sz="4" w:space="0" w:color="auto"/>
              <w:right w:val="single" w:sz="4" w:space="0" w:color="auto"/>
            </w:tcBorders>
            <w:noWrap/>
            <w:vAlign w:val="bottom"/>
            <w:hideMark/>
          </w:tcPr>
          <w:p w14:paraId="086995AE"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72,39%</w:t>
            </w:r>
          </w:p>
        </w:tc>
      </w:tr>
      <w:tr w:rsidR="00416D67" w:rsidRPr="00416D67" w14:paraId="4B5F651C"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72EF97F3"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31 Rashodi za zaposlene</w:t>
            </w:r>
          </w:p>
        </w:tc>
        <w:tc>
          <w:tcPr>
            <w:tcW w:w="1520" w:type="dxa"/>
            <w:tcBorders>
              <w:top w:val="single" w:sz="4" w:space="0" w:color="auto"/>
              <w:left w:val="nil"/>
              <w:bottom w:val="single" w:sz="4" w:space="0" w:color="auto"/>
              <w:right w:val="single" w:sz="4" w:space="0" w:color="auto"/>
            </w:tcBorders>
            <w:noWrap/>
            <w:vAlign w:val="bottom"/>
            <w:hideMark/>
          </w:tcPr>
          <w:p w14:paraId="6CA54A1F"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853.025,07</w:t>
            </w:r>
          </w:p>
        </w:tc>
        <w:tc>
          <w:tcPr>
            <w:tcW w:w="1280" w:type="dxa"/>
            <w:tcBorders>
              <w:top w:val="single" w:sz="4" w:space="0" w:color="auto"/>
              <w:left w:val="nil"/>
              <w:bottom w:val="single" w:sz="4" w:space="0" w:color="auto"/>
              <w:right w:val="single" w:sz="4" w:space="0" w:color="auto"/>
            </w:tcBorders>
            <w:noWrap/>
            <w:vAlign w:val="bottom"/>
            <w:hideMark/>
          </w:tcPr>
          <w:p w14:paraId="1C19896A"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1.170.538,50</w:t>
            </w:r>
          </w:p>
        </w:tc>
        <w:tc>
          <w:tcPr>
            <w:tcW w:w="1260" w:type="dxa"/>
            <w:tcBorders>
              <w:top w:val="single" w:sz="4" w:space="0" w:color="auto"/>
              <w:left w:val="nil"/>
              <w:bottom w:val="single" w:sz="4" w:space="0" w:color="auto"/>
              <w:right w:val="single" w:sz="4" w:space="0" w:color="auto"/>
            </w:tcBorders>
            <w:noWrap/>
            <w:vAlign w:val="bottom"/>
            <w:hideMark/>
          </w:tcPr>
          <w:p w14:paraId="1AB96E9E"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1.165.113,50</w:t>
            </w:r>
          </w:p>
        </w:tc>
        <w:tc>
          <w:tcPr>
            <w:tcW w:w="1320" w:type="dxa"/>
            <w:tcBorders>
              <w:top w:val="single" w:sz="4" w:space="0" w:color="auto"/>
              <w:left w:val="nil"/>
              <w:bottom w:val="single" w:sz="4" w:space="0" w:color="auto"/>
              <w:right w:val="single" w:sz="4" w:space="0" w:color="auto"/>
            </w:tcBorders>
            <w:noWrap/>
            <w:vAlign w:val="bottom"/>
            <w:hideMark/>
          </w:tcPr>
          <w:p w14:paraId="56D5655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1.148.392,20</w:t>
            </w:r>
          </w:p>
        </w:tc>
        <w:tc>
          <w:tcPr>
            <w:tcW w:w="1080" w:type="dxa"/>
            <w:tcBorders>
              <w:top w:val="single" w:sz="4" w:space="0" w:color="auto"/>
              <w:left w:val="nil"/>
              <w:bottom w:val="single" w:sz="4" w:space="0" w:color="auto"/>
              <w:right w:val="single" w:sz="4" w:space="0" w:color="auto"/>
            </w:tcBorders>
            <w:noWrap/>
            <w:vAlign w:val="bottom"/>
            <w:hideMark/>
          </w:tcPr>
          <w:p w14:paraId="539D681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134,63%</w:t>
            </w:r>
          </w:p>
        </w:tc>
        <w:tc>
          <w:tcPr>
            <w:tcW w:w="980" w:type="dxa"/>
            <w:tcBorders>
              <w:top w:val="single" w:sz="4" w:space="0" w:color="auto"/>
              <w:left w:val="nil"/>
              <w:bottom w:val="single" w:sz="4" w:space="0" w:color="auto"/>
              <w:right w:val="single" w:sz="4" w:space="0" w:color="auto"/>
            </w:tcBorders>
            <w:noWrap/>
            <w:vAlign w:val="bottom"/>
            <w:hideMark/>
          </w:tcPr>
          <w:p w14:paraId="58AEF7A5"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98,56%</w:t>
            </w:r>
          </w:p>
        </w:tc>
      </w:tr>
      <w:tr w:rsidR="00416D67" w:rsidRPr="00416D67" w14:paraId="44613EB2"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25B6B9CA"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311 Plaće (Bruto)</w:t>
            </w:r>
          </w:p>
        </w:tc>
        <w:tc>
          <w:tcPr>
            <w:tcW w:w="1520" w:type="dxa"/>
            <w:tcBorders>
              <w:top w:val="single" w:sz="4" w:space="0" w:color="auto"/>
              <w:left w:val="nil"/>
              <w:bottom w:val="single" w:sz="4" w:space="0" w:color="auto"/>
              <w:right w:val="single" w:sz="4" w:space="0" w:color="auto"/>
            </w:tcBorders>
            <w:noWrap/>
            <w:vAlign w:val="bottom"/>
            <w:hideMark/>
          </w:tcPr>
          <w:p w14:paraId="6E025352"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667.635,08</w:t>
            </w:r>
          </w:p>
        </w:tc>
        <w:tc>
          <w:tcPr>
            <w:tcW w:w="1280" w:type="dxa"/>
            <w:tcBorders>
              <w:top w:val="single" w:sz="4" w:space="0" w:color="auto"/>
              <w:left w:val="nil"/>
              <w:bottom w:val="single" w:sz="4" w:space="0" w:color="auto"/>
              <w:right w:val="single" w:sz="4" w:space="0" w:color="auto"/>
            </w:tcBorders>
            <w:noWrap/>
            <w:vAlign w:val="bottom"/>
            <w:hideMark/>
          </w:tcPr>
          <w:p w14:paraId="6A4361EE"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3610CC17"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3D72660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903.085,59</w:t>
            </w:r>
          </w:p>
        </w:tc>
        <w:tc>
          <w:tcPr>
            <w:tcW w:w="1080" w:type="dxa"/>
            <w:tcBorders>
              <w:top w:val="single" w:sz="4" w:space="0" w:color="auto"/>
              <w:left w:val="nil"/>
              <w:bottom w:val="single" w:sz="4" w:space="0" w:color="auto"/>
              <w:right w:val="single" w:sz="4" w:space="0" w:color="auto"/>
            </w:tcBorders>
            <w:noWrap/>
            <w:vAlign w:val="bottom"/>
            <w:hideMark/>
          </w:tcPr>
          <w:p w14:paraId="68C0BB9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135,27%</w:t>
            </w:r>
          </w:p>
        </w:tc>
        <w:tc>
          <w:tcPr>
            <w:tcW w:w="980" w:type="dxa"/>
            <w:tcBorders>
              <w:top w:val="single" w:sz="4" w:space="0" w:color="auto"/>
              <w:left w:val="nil"/>
              <w:bottom w:val="single" w:sz="4" w:space="0" w:color="auto"/>
              <w:right w:val="single" w:sz="4" w:space="0" w:color="auto"/>
            </w:tcBorders>
            <w:noWrap/>
            <w:vAlign w:val="bottom"/>
            <w:hideMark/>
          </w:tcPr>
          <w:p w14:paraId="44E9474D"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11E70261"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61AF17D1" w14:textId="77777777" w:rsidR="00416D67" w:rsidRPr="00416D67" w:rsidRDefault="00416D67" w:rsidP="00416D67">
            <w:pPr>
              <w:rPr>
                <w:rFonts w:ascii="Arial" w:hAnsi="Arial" w:cs="Arial"/>
                <w:sz w:val="16"/>
                <w:szCs w:val="16"/>
              </w:rPr>
            </w:pPr>
            <w:r w:rsidRPr="00416D67">
              <w:rPr>
                <w:rFonts w:ascii="Arial" w:hAnsi="Arial" w:cs="Arial"/>
                <w:sz w:val="16"/>
                <w:szCs w:val="16"/>
              </w:rPr>
              <w:t>3111 Plaće za redovan rad</w:t>
            </w:r>
          </w:p>
        </w:tc>
        <w:tc>
          <w:tcPr>
            <w:tcW w:w="1520" w:type="dxa"/>
            <w:tcBorders>
              <w:top w:val="single" w:sz="4" w:space="0" w:color="auto"/>
              <w:left w:val="nil"/>
              <w:bottom w:val="single" w:sz="4" w:space="0" w:color="auto"/>
              <w:right w:val="single" w:sz="4" w:space="0" w:color="auto"/>
            </w:tcBorders>
            <w:noWrap/>
            <w:vAlign w:val="bottom"/>
            <w:hideMark/>
          </w:tcPr>
          <w:p w14:paraId="15318F03"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667.635,08</w:t>
            </w:r>
          </w:p>
        </w:tc>
        <w:tc>
          <w:tcPr>
            <w:tcW w:w="1280" w:type="dxa"/>
            <w:tcBorders>
              <w:top w:val="single" w:sz="4" w:space="0" w:color="auto"/>
              <w:left w:val="nil"/>
              <w:bottom w:val="single" w:sz="4" w:space="0" w:color="auto"/>
              <w:right w:val="single" w:sz="4" w:space="0" w:color="auto"/>
            </w:tcBorders>
            <w:noWrap/>
            <w:vAlign w:val="bottom"/>
            <w:hideMark/>
          </w:tcPr>
          <w:p w14:paraId="294810A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4CB390B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1FC473B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903.085,59</w:t>
            </w:r>
          </w:p>
        </w:tc>
        <w:tc>
          <w:tcPr>
            <w:tcW w:w="1080" w:type="dxa"/>
            <w:tcBorders>
              <w:top w:val="single" w:sz="4" w:space="0" w:color="auto"/>
              <w:left w:val="nil"/>
              <w:bottom w:val="single" w:sz="4" w:space="0" w:color="auto"/>
              <w:right w:val="single" w:sz="4" w:space="0" w:color="auto"/>
            </w:tcBorders>
            <w:noWrap/>
            <w:vAlign w:val="bottom"/>
            <w:hideMark/>
          </w:tcPr>
          <w:p w14:paraId="4E98BB4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135,27%</w:t>
            </w:r>
          </w:p>
        </w:tc>
        <w:tc>
          <w:tcPr>
            <w:tcW w:w="980" w:type="dxa"/>
            <w:tcBorders>
              <w:top w:val="single" w:sz="4" w:space="0" w:color="auto"/>
              <w:left w:val="nil"/>
              <w:bottom w:val="single" w:sz="4" w:space="0" w:color="auto"/>
              <w:right w:val="single" w:sz="4" w:space="0" w:color="auto"/>
            </w:tcBorders>
            <w:noWrap/>
            <w:vAlign w:val="bottom"/>
            <w:hideMark/>
          </w:tcPr>
          <w:p w14:paraId="5456682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0412E7BC"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66530506"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312 Ostali rashodi za zaposlene</w:t>
            </w:r>
          </w:p>
        </w:tc>
        <w:tc>
          <w:tcPr>
            <w:tcW w:w="1520" w:type="dxa"/>
            <w:tcBorders>
              <w:top w:val="single" w:sz="4" w:space="0" w:color="auto"/>
              <w:left w:val="nil"/>
              <w:bottom w:val="single" w:sz="4" w:space="0" w:color="auto"/>
              <w:right w:val="single" w:sz="4" w:space="0" w:color="auto"/>
            </w:tcBorders>
            <w:noWrap/>
            <w:vAlign w:val="bottom"/>
            <w:hideMark/>
          </w:tcPr>
          <w:p w14:paraId="19F4A374"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75.230,11</w:t>
            </w:r>
          </w:p>
        </w:tc>
        <w:tc>
          <w:tcPr>
            <w:tcW w:w="1280" w:type="dxa"/>
            <w:tcBorders>
              <w:top w:val="single" w:sz="4" w:space="0" w:color="auto"/>
              <w:left w:val="nil"/>
              <w:bottom w:val="single" w:sz="4" w:space="0" w:color="auto"/>
              <w:right w:val="single" w:sz="4" w:space="0" w:color="auto"/>
            </w:tcBorders>
            <w:noWrap/>
            <w:vAlign w:val="bottom"/>
            <w:hideMark/>
          </w:tcPr>
          <w:p w14:paraId="592F5EAC"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094FDBE8"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57B40A94"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96.297,41</w:t>
            </w:r>
          </w:p>
        </w:tc>
        <w:tc>
          <w:tcPr>
            <w:tcW w:w="1080" w:type="dxa"/>
            <w:tcBorders>
              <w:top w:val="single" w:sz="4" w:space="0" w:color="auto"/>
              <w:left w:val="nil"/>
              <w:bottom w:val="single" w:sz="4" w:space="0" w:color="auto"/>
              <w:right w:val="single" w:sz="4" w:space="0" w:color="auto"/>
            </w:tcBorders>
            <w:noWrap/>
            <w:vAlign w:val="bottom"/>
            <w:hideMark/>
          </w:tcPr>
          <w:p w14:paraId="3106AB8E"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128,00%</w:t>
            </w:r>
          </w:p>
        </w:tc>
        <w:tc>
          <w:tcPr>
            <w:tcW w:w="980" w:type="dxa"/>
            <w:tcBorders>
              <w:top w:val="single" w:sz="4" w:space="0" w:color="auto"/>
              <w:left w:val="nil"/>
              <w:bottom w:val="single" w:sz="4" w:space="0" w:color="auto"/>
              <w:right w:val="single" w:sz="4" w:space="0" w:color="auto"/>
            </w:tcBorders>
            <w:noWrap/>
            <w:vAlign w:val="bottom"/>
            <w:hideMark/>
          </w:tcPr>
          <w:p w14:paraId="67F02D9E"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495542B8"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6450C8E6" w14:textId="77777777" w:rsidR="00416D67" w:rsidRPr="00416D67" w:rsidRDefault="00416D67" w:rsidP="00416D67">
            <w:pPr>
              <w:rPr>
                <w:rFonts w:ascii="Arial" w:hAnsi="Arial" w:cs="Arial"/>
                <w:sz w:val="16"/>
                <w:szCs w:val="16"/>
              </w:rPr>
            </w:pPr>
            <w:r w:rsidRPr="00416D67">
              <w:rPr>
                <w:rFonts w:ascii="Arial" w:hAnsi="Arial" w:cs="Arial"/>
                <w:sz w:val="16"/>
                <w:szCs w:val="16"/>
              </w:rPr>
              <w:t>3121 Ostali rashodi za zaposlene</w:t>
            </w:r>
          </w:p>
        </w:tc>
        <w:tc>
          <w:tcPr>
            <w:tcW w:w="1520" w:type="dxa"/>
            <w:tcBorders>
              <w:top w:val="single" w:sz="4" w:space="0" w:color="auto"/>
              <w:left w:val="nil"/>
              <w:bottom w:val="single" w:sz="4" w:space="0" w:color="auto"/>
              <w:right w:val="single" w:sz="4" w:space="0" w:color="auto"/>
            </w:tcBorders>
            <w:noWrap/>
            <w:vAlign w:val="bottom"/>
            <w:hideMark/>
          </w:tcPr>
          <w:p w14:paraId="0A3802D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75.230,11</w:t>
            </w:r>
          </w:p>
        </w:tc>
        <w:tc>
          <w:tcPr>
            <w:tcW w:w="1280" w:type="dxa"/>
            <w:tcBorders>
              <w:top w:val="single" w:sz="4" w:space="0" w:color="auto"/>
              <w:left w:val="nil"/>
              <w:bottom w:val="single" w:sz="4" w:space="0" w:color="auto"/>
              <w:right w:val="single" w:sz="4" w:space="0" w:color="auto"/>
            </w:tcBorders>
            <w:noWrap/>
            <w:vAlign w:val="bottom"/>
            <w:hideMark/>
          </w:tcPr>
          <w:p w14:paraId="21D19912"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00EA0C6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2DEA7C1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96.297,41</w:t>
            </w:r>
          </w:p>
        </w:tc>
        <w:tc>
          <w:tcPr>
            <w:tcW w:w="1080" w:type="dxa"/>
            <w:tcBorders>
              <w:top w:val="single" w:sz="4" w:space="0" w:color="auto"/>
              <w:left w:val="nil"/>
              <w:bottom w:val="single" w:sz="4" w:space="0" w:color="auto"/>
              <w:right w:val="single" w:sz="4" w:space="0" w:color="auto"/>
            </w:tcBorders>
            <w:noWrap/>
            <w:vAlign w:val="bottom"/>
            <w:hideMark/>
          </w:tcPr>
          <w:p w14:paraId="17A88DA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128,00%</w:t>
            </w:r>
          </w:p>
        </w:tc>
        <w:tc>
          <w:tcPr>
            <w:tcW w:w="980" w:type="dxa"/>
            <w:tcBorders>
              <w:top w:val="single" w:sz="4" w:space="0" w:color="auto"/>
              <w:left w:val="nil"/>
              <w:bottom w:val="single" w:sz="4" w:space="0" w:color="auto"/>
              <w:right w:val="single" w:sz="4" w:space="0" w:color="auto"/>
            </w:tcBorders>
            <w:noWrap/>
            <w:vAlign w:val="bottom"/>
            <w:hideMark/>
          </w:tcPr>
          <w:p w14:paraId="384EFD39"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0675843E"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66ED6841"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313 Doprinosi na plaće</w:t>
            </w:r>
          </w:p>
        </w:tc>
        <w:tc>
          <w:tcPr>
            <w:tcW w:w="1520" w:type="dxa"/>
            <w:tcBorders>
              <w:top w:val="single" w:sz="4" w:space="0" w:color="auto"/>
              <w:left w:val="nil"/>
              <w:bottom w:val="single" w:sz="4" w:space="0" w:color="auto"/>
              <w:right w:val="single" w:sz="4" w:space="0" w:color="auto"/>
            </w:tcBorders>
            <w:noWrap/>
            <w:vAlign w:val="bottom"/>
            <w:hideMark/>
          </w:tcPr>
          <w:p w14:paraId="3CC57688"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110.159,88</w:t>
            </w:r>
          </w:p>
        </w:tc>
        <w:tc>
          <w:tcPr>
            <w:tcW w:w="1280" w:type="dxa"/>
            <w:tcBorders>
              <w:top w:val="single" w:sz="4" w:space="0" w:color="auto"/>
              <w:left w:val="nil"/>
              <w:bottom w:val="single" w:sz="4" w:space="0" w:color="auto"/>
              <w:right w:val="single" w:sz="4" w:space="0" w:color="auto"/>
            </w:tcBorders>
            <w:noWrap/>
            <w:vAlign w:val="bottom"/>
            <w:hideMark/>
          </w:tcPr>
          <w:p w14:paraId="7E610EFA"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6C88894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4D073764"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149.009,20</w:t>
            </w:r>
          </w:p>
        </w:tc>
        <w:tc>
          <w:tcPr>
            <w:tcW w:w="1080" w:type="dxa"/>
            <w:tcBorders>
              <w:top w:val="single" w:sz="4" w:space="0" w:color="auto"/>
              <w:left w:val="nil"/>
              <w:bottom w:val="single" w:sz="4" w:space="0" w:color="auto"/>
              <w:right w:val="single" w:sz="4" w:space="0" w:color="auto"/>
            </w:tcBorders>
            <w:noWrap/>
            <w:vAlign w:val="bottom"/>
            <w:hideMark/>
          </w:tcPr>
          <w:p w14:paraId="28E4E600"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135,27%</w:t>
            </w:r>
          </w:p>
        </w:tc>
        <w:tc>
          <w:tcPr>
            <w:tcW w:w="980" w:type="dxa"/>
            <w:tcBorders>
              <w:top w:val="single" w:sz="4" w:space="0" w:color="auto"/>
              <w:left w:val="nil"/>
              <w:bottom w:val="single" w:sz="4" w:space="0" w:color="auto"/>
              <w:right w:val="single" w:sz="4" w:space="0" w:color="auto"/>
            </w:tcBorders>
            <w:noWrap/>
            <w:vAlign w:val="bottom"/>
            <w:hideMark/>
          </w:tcPr>
          <w:p w14:paraId="70584C5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20633B1B"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655F01E2" w14:textId="77777777" w:rsidR="00416D67" w:rsidRPr="00416D67" w:rsidRDefault="00416D67" w:rsidP="00416D67">
            <w:pPr>
              <w:rPr>
                <w:rFonts w:ascii="Arial" w:hAnsi="Arial" w:cs="Arial"/>
                <w:sz w:val="16"/>
                <w:szCs w:val="16"/>
              </w:rPr>
            </w:pPr>
            <w:r w:rsidRPr="00416D67">
              <w:rPr>
                <w:rFonts w:ascii="Arial" w:hAnsi="Arial" w:cs="Arial"/>
                <w:sz w:val="16"/>
                <w:szCs w:val="16"/>
              </w:rPr>
              <w:t>3132 Doprinosi za obvezno zdravstveno osiguranje</w:t>
            </w:r>
          </w:p>
        </w:tc>
        <w:tc>
          <w:tcPr>
            <w:tcW w:w="1520" w:type="dxa"/>
            <w:tcBorders>
              <w:top w:val="single" w:sz="4" w:space="0" w:color="auto"/>
              <w:left w:val="nil"/>
              <w:bottom w:val="single" w:sz="4" w:space="0" w:color="auto"/>
              <w:right w:val="single" w:sz="4" w:space="0" w:color="auto"/>
            </w:tcBorders>
            <w:noWrap/>
            <w:vAlign w:val="bottom"/>
            <w:hideMark/>
          </w:tcPr>
          <w:p w14:paraId="08D82042"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110.159,88</w:t>
            </w:r>
          </w:p>
        </w:tc>
        <w:tc>
          <w:tcPr>
            <w:tcW w:w="1280" w:type="dxa"/>
            <w:tcBorders>
              <w:top w:val="single" w:sz="4" w:space="0" w:color="auto"/>
              <w:left w:val="nil"/>
              <w:bottom w:val="single" w:sz="4" w:space="0" w:color="auto"/>
              <w:right w:val="single" w:sz="4" w:space="0" w:color="auto"/>
            </w:tcBorders>
            <w:noWrap/>
            <w:vAlign w:val="bottom"/>
            <w:hideMark/>
          </w:tcPr>
          <w:p w14:paraId="665A3FB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2F4A609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53683AE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149.009,20</w:t>
            </w:r>
          </w:p>
        </w:tc>
        <w:tc>
          <w:tcPr>
            <w:tcW w:w="1080" w:type="dxa"/>
            <w:tcBorders>
              <w:top w:val="single" w:sz="4" w:space="0" w:color="auto"/>
              <w:left w:val="nil"/>
              <w:bottom w:val="single" w:sz="4" w:space="0" w:color="auto"/>
              <w:right w:val="single" w:sz="4" w:space="0" w:color="auto"/>
            </w:tcBorders>
            <w:noWrap/>
            <w:vAlign w:val="bottom"/>
            <w:hideMark/>
          </w:tcPr>
          <w:p w14:paraId="60A9672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135,27%</w:t>
            </w:r>
          </w:p>
        </w:tc>
        <w:tc>
          <w:tcPr>
            <w:tcW w:w="980" w:type="dxa"/>
            <w:tcBorders>
              <w:top w:val="single" w:sz="4" w:space="0" w:color="auto"/>
              <w:left w:val="nil"/>
              <w:bottom w:val="single" w:sz="4" w:space="0" w:color="auto"/>
              <w:right w:val="single" w:sz="4" w:space="0" w:color="auto"/>
            </w:tcBorders>
            <w:noWrap/>
            <w:vAlign w:val="bottom"/>
            <w:hideMark/>
          </w:tcPr>
          <w:p w14:paraId="5DE7CAF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61B1C072"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19DF4391"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32 Materijalni rashodi</w:t>
            </w:r>
          </w:p>
        </w:tc>
        <w:tc>
          <w:tcPr>
            <w:tcW w:w="1520" w:type="dxa"/>
            <w:tcBorders>
              <w:top w:val="single" w:sz="4" w:space="0" w:color="auto"/>
              <w:left w:val="nil"/>
              <w:bottom w:val="single" w:sz="4" w:space="0" w:color="auto"/>
              <w:right w:val="single" w:sz="4" w:space="0" w:color="auto"/>
            </w:tcBorders>
            <w:noWrap/>
            <w:vAlign w:val="bottom"/>
            <w:hideMark/>
          </w:tcPr>
          <w:p w14:paraId="252FD377"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1.303.220,56</w:t>
            </w:r>
          </w:p>
        </w:tc>
        <w:tc>
          <w:tcPr>
            <w:tcW w:w="1280" w:type="dxa"/>
            <w:tcBorders>
              <w:top w:val="single" w:sz="4" w:space="0" w:color="auto"/>
              <w:left w:val="nil"/>
              <w:bottom w:val="single" w:sz="4" w:space="0" w:color="auto"/>
              <w:right w:val="single" w:sz="4" w:space="0" w:color="auto"/>
            </w:tcBorders>
            <w:noWrap/>
            <w:vAlign w:val="bottom"/>
            <w:hideMark/>
          </w:tcPr>
          <w:p w14:paraId="36D04224"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1.833.388,77</w:t>
            </w:r>
          </w:p>
        </w:tc>
        <w:tc>
          <w:tcPr>
            <w:tcW w:w="1260" w:type="dxa"/>
            <w:tcBorders>
              <w:top w:val="single" w:sz="4" w:space="0" w:color="auto"/>
              <w:left w:val="nil"/>
              <w:bottom w:val="single" w:sz="4" w:space="0" w:color="auto"/>
              <w:right w:val="single" w:sz="4" w:space="0" w:color="auto"/>
            </w:tcBorders>
            <w:noWrap/>
            <w:vAlign w:val="bottom"/>
            <w:hideMark/>
          </w:tcPr>
          <w:p w14:paraId="6E86249C"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1.841.688,77</w:t>
            </w:r>
          </w:p>
        </w:tc>
        <w:tc>
          <w:tcPr>
            <w:tcW w:w="1320" w:type="dxa"/>
            <w:tcBorders>
              <w:top w:val="single" w:sz="4" w:space="0" w:color="auto"/>
              <w:left w:val="nil"/>
              <w:bottom w:val="single" w:sz="4" w:space="0" w:color="auto"/>
              <w:right w:val="single" w:sz="4" w:space="0" w:color="auto"/>
            </w:tcBorders>
            <w:noWrap/>
            <w:vAlign w:val="bottom"/>
            <w:hideMark/>
          </w:tcPr>
          <w:p w14:paraId="2B376418"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1.458.146,21</w:t>
            </w:r>
          </w:p>
        </w:tc>
        <w:tc>
          <w:tcPr>
            <w:tcW w:w="1080" w:type="dxa"/>
            <w:tcBorders>
              <w:top w:val="single" w:sz="4" w:space="0" w:color="auto"/>
              <w:left w:val="nil"/>
              <w:bottom w:val="single" w:sz="4" w:space="0" w:color="auto"/>
              <w:right w:val="single" w:sz="4" w:space="0" w:color="auto"/>
            </w:tcBorders>
            <w:noWrap/>
            <w:vAlign w:val="bottom"/>
            <w:hideMark/>
          </w:tcPr>
          <w:p w14:paraId="0707A418"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111,89%</w:t>
            </w:r>
          </w:p>
        </w:tc>
        <w:tc>
          <w:tcPr>
            <w:tcW w:w="980" w:type="dxa"/>
            <w:tcBorders>
              <w:top w:val="single" w:sz="4" w:space="0" w:color="auto"/>
              <w:left w:val="nil"/>
              <w:bottom w:val="single" w:sz="4" w:space="0" w:color="auto"/>
              <w:right w:val="single" w:sz="4" w:space="0" w:color="auto"/>
            </w:tcBorders>
            <w:noWrap/>
            <w:vAlign w:val="bottom"/>
            <w:hideMark/>
          </w:tcPr>
          <w:p w14:paraId="4B2EE91C"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79,17%</w:t>
            </w:r>
          </w:p>
        </w:tc>
      </w:tr>
      <w:tr w:rsidR="00416D67" w:rsidRPr="00416D67" w14:paraId="1657CCA6"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7B30B71E"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321 Naknade troškova zaposlenima</w:t>
            </w:r>
          </w:p>
        </w:tc>
        <w:tc>
          <w:tcPr>
            <w:tcW w:w="1520" w:type="dxa"/>
            <w:tcBorders>
              <w:top w:val="single" w:sz="4" w:space="0" w:color="auto"/>
              <w:left w:val="nil"/>
              <w:bottom w:val="single" w:sz="4" w:space="0" w:color="auto"/>
              <w:right w:val="single" w:sz="4" w:space="0" w:color="auto"/>
            </w:tcBorders>
            <w:noWrap/>
            <w:vAlign w:val="bottom"/>
            <w:hideMark/>
          </w:tcPr>
          <w:p w14:paraId="16EDF4B5"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50.039,23</w:t>
            </w:r>
          </w:p>
        </w:tc>
        <w:tc>
          <w:tcPr>
            <w:tcW w:w="1280" w:type="dxa"/>
            <w:tcBorders>
              <w:top w:val="single" w:sz="4" w:space="0" w:color="auto"/>
              <w:left w:val="nil"/>
              <w:bottom w:val="single" w:sz="4" w:space="0" w:color="auto"/>
              <w:right w:val="single" w:sz="4" w:space="0" w:color="auto"/>
            </w:tcBorders>
            <w:noWrap/>
            <w:vAlign w:val="bottom"/>
            <w:hideMark/>
          </w:tcPr>
          <w:p w14:paraId="41D19281"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1FEE3508"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10754967"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57.766,78</w:t>
            </w:r>
          </w:p>
        </w:tc>
        <w:tc>
          <w:tcPr>
            <w:tcW w:w="1080" w:type="dxa"/>
            <w:tcBorders>
              <w:top w:val="single" w:sz="4" w:space="0" w:color="auto"/>
              <w:left w:val="nil"/>
              <w:bottom w:val="single" w:sz="4" w:space="0" w:color="auto"/>
              <w:right w:val="single" w:sz="4" w:space="0" w:color="auto"/>
            </w:tcBorders>
            <w:noWrap/>
            <w:vAlign w:val="bottom"/>
            <w:hideMark/>
          </w:tcPr>
          <w:p w14:paraId="7E8DB18E"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115,44%</w:t>
            </w:r>
          </w:p>
        </w:tc>
        <w:tc>
          <w:tcPr>
            <w:tcW w:w="980" w:type="dxa"/>
            <w:tcBorders>
              <w:top w:val="single" w:sz="4" w:space="0" w:color="auto"/>
              <w:left w:val="nil"/>
              <w:bottom w:val="single" w:sz="4" w:space="0" w:color="auto"/>
              <w:right w:val="single" w:sz="4" w:space="0" w:color="auto"/>
            </w:tcBorders>
            <w:noWrap/>
            <w:vAlign w:val="bottom"/>
            <w:hideMark/>
          </w:tcPr>
          <w:p w14:paraId="1CE19D2F"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77504659"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4152B51A" w14:textId="77777777" w:rsidR="00416D67" w:rsidRPr="00416D67" w:rsidRDefault="00416D67" w:rsidP="00416D67">
            <w:pPr>
              <w:rPr>
                <w:rFonts w:ascii="Arial" w:hAnsi="Arial" w:cs="Arial"/>
                <w:sz w:val="16"/>
                <w:szCs w:val="16"/>
              </w:rPr>
            </w:pPr>
            <w:r w:rsidRPr="00416D67">
              <w:rPr>
                <w:rFonts w:ascii="Arial" w:hAnsi="Arial" w:cs="Arial"/>
                <w:sz w:val="16"/>
                <w:szCs w:val="16"/>
              </w:rPr>
              <w:t>3211 Službena putovanja</w:t>
            </w:r>
          </w:p>
        </w:tc>
        <w:tc>
          <w:tcPr>
            <w:tcW w:w="1520" w:type="dxa"/>
            <w:tcBorders>
              <w:top w:val="single" w:sz="4" w:space="0" w:color="auto"/>
              <w:left w:val="nil"/>
              <w:bottom w:val="single" w:sz="4" w:space="0" w:color="auto"/>
              <w:right w:val="single" w:sz="4" w:space="0" w:color="auto"/>
            </w:tcBorders>
            <w:noWrap/>
            <w:vAlign w:val="bottom"/>
            <w:hideMark/>
          </w:tcPr>
          <w:p w14:paraId="1CFA7426"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4.179,90</w:t>
            </w:r>
          </w:p>
        </w:tc>
        <w:tc>
          <w:tcPr>
            <w:tcW w:w="1280" w:type="dxa"/>
            <w:tcBorders>
              <w:top w:val="single" w:sz="4" w:space="0" w:color="auto"/>
              <w:left w:val="nil"/>
              <w:bottom w:val="single" w:sz="4" w:space="0" w:color="auto"/>
              <w:right w:val="single" w:sz="4" w:space="0" w:color="auto"/>
            </w:tcBorders>
            <w:noWrap/>
            <w:vAlign w:val="bottom"/>
            <w:hideMark/>
          </w:tcPr>
          <w:p w14:paraId="4F469724"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622128E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2D2B042E"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6.557,17</w:t>
            </w:r>
          </w:p>
        </w:tc>
        <w:tc>
          <w:tcPr>
            <w:tcW w:w="1080" w:type="dxa"/>
            <w:tcBorders>
              <w:top w:val="single" w:sz="4" w:space="0" w:color="auto"/>
              <w:left w:val="nil"/>
              <w:bottom w:val="single" w:sz="4" w:space="0" w:color="auto"/>
              <w:right w:val="single" w:sz="4" w:space="0" w:color="auto"/>
            </w:tcBorders>
            <w:noWrap/>
            <w:vAlign w:val="bottom"/>
            <w:hideMark/>
          </w:tcPr>
          <w:p w14:paraId="664C1F84"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156,87%</w:t>
            </w:r>
          </w:p>
        </w:tc>
        <w:tc>
          <w:tcPr>
            <w:tcW w:w="980" w:type="dxa"/>
            <w:tcBorders>
              <w:top w:val="single" w:sz="4" w:space="0" w:color="auto"/>
              <w:left w:val="nil"/>
              <w:bottom w:val="single" w:sz="4" w:space="0" w:color="auto"/>
              <w:right w:val="single" w:sz="4" w:space="0" w:color="auto"/>
            </w:tcBorders>
            <w:noWrap/>
            <w:vAlign w:val="bottom"/>
            <w:hideMark/>
          </w:tcPr>
          <w:p w14:paraId="1161FDB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05CF0E6C"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5DA7CCDA" w14:textId="77777777" w:rsidR="00416D67" w:rsidRPr="00416D67" w:rsidRDefault="00416D67" w:rsidP="00416D67">
            <w:pPr>
              <w:rPr>
                <w:rFonts w:ascii="Arial" w:hAnsi="Arial" w:cs="Arial"/>
                <w:sz w:val="16"/>
                <w:szCs w:val="16"/>
              </w:rPr>
            </w:pPr>
            <w:r w:rsidRPr="00416D67">
              <w:rPr>
                <w:rFonts w:ascii="Arial" w:hAnsi="Arial" w:cs="Arial"/>
                <w:sz w:val="16"/>
                <w:szCs w:val="16"/>
              </w:rPr>
              <w:t>3212 Naknade za prijevoz, za rad na terenu i odvojeni život</w:t>
            </w:r>
          </w:p>
        </w:tc>
        <w:tc>
          <w:tcPr>
            <w:tcW w:w="1520" w:type="dxa"/>
            <w:tcBorders>
              <w:top w:val="single" w:sz="4" w:space="0" w:color="auto"/>
              <w:left w:val="nil"/>
              <w:bottom w:val="single" w:sz="4" w:space="0" w:color="auto"/>
              <w:right w:val="single" w:sz="4" w:space="0" w:color="auto"/>
            </w:tcBorders>
            <w:noWrap/>
            <w:vAlign w:val="bottom"/>
            <w:hideMark/>
          </w:tcPr>
          <w:p w14:paraId="096A9F3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35.516,23</w:t>
            </w:r>
          </w:p>
        </w:tc>
        <w:tc>
          <w:tcPr>
            <w:tcW w:w="1280" w:type="dxa"/>
            <w:tcBorders>
              <w:top w:val="single" w:sz="4" w:space="0" w:color="auto"/>
              <w:left w:val="nil"/>
              <w:bottom w:val="single" w:sz="4" w:space="0" w:color="auto"/>
              <w:right w:val="single" w:sz="4" w:space="0" w:color="auto"/>
            </w:tcBorders>
            <w:noWrap/>
            <w:vAlign w:val="bottom"/>
            <w:hideMark/>
          </w:tcPr>
          <w:p w14:paraId="5A6BAB0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6F8DB49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2A54E3E9"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39.929,35</w:t>
            </w:r>
          </w:p>
        </w:tc>
        <w:tc>
          <w:tcPr>
            <w:tcW w:w="1080" w:type="dxa"/>
            <w:tcBorders>
              <w:top w:val="single" w:sz="4" w:space="0" w:color="auto"/>
              <w:left w:val="nil"/>
              <w:bottom w:val="single" w:sz="4" w:space="0" w:color="auto"/>
              <w:right w:val="single" w:sz="4" w:space="0" w:color="auto"/>
            </w:tcBorders>
            <w:noWrap/>
            <w:vAlign w:val="bottom"/>
            <w:hideMark/>
          </w:tcPr>
          <w:p w14:paraId="15B8353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112,43%</w:t>
            </w:r>
          </w:p>
        </w:tc>
        <w:tc>
          <w:tcPr>
            <w:tcW w:w="980" w:type="dxa"/>
            <w:tcBorders>
              <w:top w:val="single" w:sz="4" w:space="0" w:color="auto"/>
              <w:left w:val="nil"/>
              <w:bottom w:val="single" w:sz="4" w:space="0" w:color="auto"/>
              <w:right w:val="single" w:sz="4" w:space="0" w:color="auto"/>
            </w:tcBorders>
            <w:noWrap/>
            <w:vAlign w:val="bottom"/>
            <w:hideMark/>
          </w:tcPr>
          <w:p w14:paraId="56DD609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0D70137F"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7368F3FD" w14:textId="77777777" w:rsidR="00416D67" w:rsidRPr="00416D67" w:rsidRDefault="00416D67" w:rsidP="00416D67">
            <w:pPr>
              <w:rPr>
                <w:rFonts w:ascii="Arial" w:hAnsi="Arial" w:cs="Arial"/>
                <w:sz w:val="16"/>
                <w:szCs w:val="16"/>
              </w:rPr>
            </w:pPr>
            <w:r w:rsidRPr="00416D67">
              <w:rPr>
                <w:rFonts w:ascii="Arial" w:hAnsi="Arial" w:cs="Arial"/>
                <w:sz w:val="16"/>
                <w:szCs w:val="16"/>
              </w:rPr>
              <w:t>3213 Stručno usavršavanje zaposlenika</w:t>
            </w:r>
          </w:p>
        </w:tc>
        <w:tc>
          <w:tcPr>
            <w:tcW w:w="1520" w:type="dxa"/>
            <w:tcBorders>
              <w:top w:val="single" w:sz="4" w:space="0" w:color="auto"/>
              <w:left w:val="nil"/>
              <w:bottom w:val="single" w:sz="4" w:space="0" w:color="auto"/>
              <w:right w:val="single" w:sz="4" w:space="0" w:color="auto"/>
            </w:tcBorders>
            <w:noWrap/>
            <w:vAlign w:val="bottom"/>
            <w:hideMark/>
          </w:tcPr>
          <w:p w14:paraId="1C6517F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5.885,47</w:t>
            </w:r>
          </w:p>
        </w:tc>
        <w:tc>
          <w:tcPr>
            <w:tcW w:w="1280" w:type="dxa"/>
            <w:tcBorders>
              <w:top w:val="single" w:sz="4" w:space="0" w:color="auto"/>
              <w:left w:val="nil"/>
              <w:bottom w:val="single" w:sz="4" w:space="0" w:color="auto"/>
              <w:right w:val="single" w:sz="4" w:space="0" w:color="auto"/>
            </w:tcBorders>
            <w:noWrap/>
            <w:vAlign w:val="bottom"/>
            <w:hideMark/>
          </w:tcPr>
          <w:p w14:paraId="6D5422B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4FC56A4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6389FF13"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6.480,06</w:t>
            </w:r>
          </w:p>
        </w:tc>
        <w:tc>
          <w:tcPr>
            <w:tcW w:w="1080" w:type="dxa"/>
            <w:tcBorders>
              <w:top w:val="single" w:sz="4" w:space="0" w:color="auto"/>
              <w:left w:val="nil"/>
              <w:bottom w:val="single" w:sz="4" w:space="0" w:color="auto"/>
              <w:right w:val="single" w:sz="4" w:space="0" w:color="auto"/>
            </w:tcBorders>
            <w:noWrap/>
            <w:vAlign w:val="bottom"/>
            <w:hideMark/>
          </w:tcPr>
          <w:p w14:paraId="400B7656"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110,10%</w:t>
            </w:r>
          </w:p>
        </w:tc>
        <w:tc>
          <w:tcPr>
            <w:tcW w:w="980" w:type="dxa"/>
            <w:tcBorders>
              <w:top w:val="single" w:sz="4" w:space="0" w:color="auto"/>
              <w:left w:val="nil"/>
              <w:bottom w:val="single" w:sz="4" w:space="0" w:color="auto"/>
              <w:right w:val="single" w:sz="4" w:space="0" w:color="auto"/>
            </w:tcBorders>
            <w:noWrap/>
            <w:vAlign w:val="bottom"/>
            <w:hideMark/>
          </w:tcPr>
          <w:p w14:paraId="12C7937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3AC2CD41"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1FA8A084" w14:textId="77777777" w:rsidR="00416D67" w:rsidRPr="00416D67" w:rsidRDefault="00416D67" w:rsidP="00416D67">
            <w:pPr>
              <w:rPr>
                <w:rFonts w:ascii="Arial" w:hAnsi="Arial" w:cs="Arial"/>
                <w:sz w:val="16"/>
                <w:szCs w:val="16"/>
              </w:rPr>
            </w:pPr>
            <w:r w:rsidRPr="00416D67">
              <w:rPr>
                <w:rFonts w:ascii="Arial" w:hAnsi="Arial" w:cs="Arial"/>
                <w:sz w:val="16"/>
                <w:szCs w:val="16"/>
              </w:rPr>
              <w:t>3214 Ostale naknade troškova zaposlenima</w:t>
            </w:r>
          </w:p>
        </w:tc>
        <w:tc>
          <w:tcPr>
            <w:tcW w:w="1520" w:type="dxa"/>
            <w:tcBorders>
              <w:top w:val="single" w:sz="4" w:space="0" w:color="auto"/>
              <w:left w:val="nil"/>
              <w:bottom w:val="single" w:sz="4" w:space="0" w:color="auto"/>
              <w:right w:val="single" w:sz="4" w:space="0" w:color="auto"/>
            </w:tcBorders>
            <w:noWrap/>
            <w:vAlign w:val="bottom"/>
            <w:hideMark/>
          </w:tcPr>
          <w:p w14:paraId="2322B65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4.457,63</w:t>
            </w:r>
          </w:p>
        </w:tc>
        <w:tc>
          <w:tcPr>
            <w:tcW w:w="1280" w:type="dxa"/>
            <w:tcBorders>
              <w:top w:val="single" w:sz="4" w:space="0" w:color="auto"/>
              <w:left w:val="nil"/>
              <w:bottom w:val="single" w:sz="4" w:space="0" w:color="auto"/>
              <w:right w:val="single" w:sz="4" w:space="0" w:color="auto"/>
            </w:tcBorders>
            <w:noWrap/>
            <w:vAlign w:val="bottom"/>
            <w:hideMark/>
          </w:tcPr>
          <w:p w14:paraId="05B98E3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3A914AF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72F6AD8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4.800,20</w:t>
            </w:r>
          </w:p>
        </w:tc>
        <w:tc>
          <w:tcPr>
            <w:tcW w:w="1080" w:type="dxa"/>
            <w:tcBorders>
              <w:top w:val="single" w:sz="4" w:space="0" w:color="auto"/>
              <w:left w:val="nil"/>
              <w:bottom w:val="single" w:sz="4" w:space="0" w:color="auto"/>
              <w:right w:val="single" w:sz="4" w:space="0" w:color="auto"/>
            </w:tcBorders>
            <w:noWrap/>
            <w:vAlign w:val="bottom"/>
            <w:hideMark/>
          </w:tcPr>
          <w:p w14:paraId="7C6C7AF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107,69%</w:t>
            </w:r>
          </w:p>
        </w:tc>
        <w:tc>
          <w:tcPr>
            <w:tcW w:w="980" w:type="dxa"/>
            <w:tcBorders>
              <w:top w:val="single" w:sz="4" w:space="0" w:color="auto"/>
              <w:left w:val="nil"/>
              <w:bottom w:val="single" w:sz="4" w:space="0" w:color="auto"/>
              <w:right w:val="single" w:sz="4" w:space="0" w:color="auto"/>
            </w:tcBorders>
            <w:noWrap/>
            <w:vAlign w:val="bottom"/>
            <w:hideMark/>
          </w:tcPr>
          <w:p w14:paraId="68B6756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5DF5E00C"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5E491279"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322 Rashodi za materijal i energiju</w:t>
            </w:r>
          </w:p>
        </w:tc>
        <w:tc>
          <w:tcPr>
            <w:tcW w:w="1520" w:type="dxa"/>
            <w:tcBorders>
              <w:top w:val="single" w:sz="4" w:space="0" w:color="auto"/>
              <w:left w:val="nil"/>
              <w:bottom w:val="single" w:sz="4" w:space="0" w:color="auto"/>
              <w:right w:val="single" w:sz="4" w:space="0" w:color="auto"/>
            </w:tcBorders>
            <w:noWrap/>
            <w:vAlign w:val="bottom"/>
            <w:hideMark/>
          </w:tcPr>
          <w:p w14:paraId="3456A052"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204.407,91</w:t>
            </w:r>
          </w:p>
        </w:tc>
        <w:tc>
          <w:tcPr>
            <w:tcW w:w="1280" w:type="dxa"/>
            <w:tcBorders>
              <w:top w:val="single" w:sz="4" w:space="0" w:color="auto"/>
              <w:left w:val="nil"/>
              <w:bottom w:val="single" w:sz="4" w:space="0" w:color="auto"/>
              <w:right w:val="single" w:sz="4" w:space="0" w:color="auto"/>
            </w:tcBorders>
            <w:noWrap/>
            <w:vAlign w:val="bottom"/>
            <w:hideMark/>
          </w:tcPr>
          <w:p w14:paraId="7A5146FF"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1B1DA358"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5B102070"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224.048,13</w:t>
            </w:r>
          </w:p>
        </w:tc>
        <w:tc>
          <w:tcPr>
            <w:tcW w:w="1080" w:type="dxa"/>
            <w:tcBorders>
              <w:top w:val="single" w:sz="4" w:space="0" w:color="auto"/>
              <w:left w:val="nil"/>
              <w:bottom w:val="single" w:sz="4" w:space="0" w:color="auto"/>
              <w:right w:val="single" w:sz="4" w:space="0" w:color="auto"/>
            </w:tcBorders>
            <w:noWrap/>
            <w:vAlign w:val="bottom"/>
            <w:hideMark/>
          </w:tcPr>
          <w:p w14:paraId="14B94EBE"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109,61%</w:t>
            </w:r>
          </w:p>
        </w:tc>
        <w:tc>
          <w:tcPr>
            <w:tcW w:w="980" w:type="dxa"/>
            <w:tcBorders>
              <w:top w:val="single" w:sz="4" w:space="0" w:color="auto"/>
              <w:left w:val="nil"/>
              <w:bottom w:val="single" w:sz="4" w:space="0" w:color="auto"/>
              <w:right w:val="single" w:sz="4" w:space="0" w:color="auto"/>
            </w:tcBorders>
            <w:noWrap/>
            <w:vAlign w:val="bottom"/>
            <w:hideMark/>
          </w:tcPr>
          <w:p w14:paraId="240E91A3"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2D9F6536"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3CA1114A" w14:textId="77777777" w:rsidR="00416D67" w:rsidRPr="00416D67" w:rsidRDefault="00416D67" w:rsidP="00416D67">
            <w:pPr>
              <w:rPr>
                <w:rFonts w:ascii="Arial" w:hAnsi="Arial" w:cs="Arial"/>
                <w:sz w:val="16"/>
                <w:szCs w:val="16"/>
              </w:rPr>
            </w:pPr>
            <w:r w:rsidRPr="00416D67">
              <w:rPr>
                <w:rFonts w:ascii="Arial" w:hAnsi="Arial" w:cs="Arial"/>
                <w:sz w:val="16"/>
                <w:szCs w:val="16"/>
              </w:rPr>
              <w:t>3221 Uredski materijal i ostali materijalni rashodi</w:t>
            </w:r>
          </w:p>
        </w:tc>
        <w:tc>
          <w:tcPr>
            <w:tcW w:w="1520" w:type="dxa"/>
            <w:tcBorders>
              <w:top w:val="single" w:sz="4" w:space="0" w:color="auto"/>
              <w:left w:val="nil"/>
              <w:bottom w:val="single" w:sz="4" w:space="0" w:color="auto"/>
              <w:right w:val="single" w:sz="4" w:space="0" w:color="auto"/>
            </w:tcBorders>
            <w:noWrap/>
            <w:vAlign w:val="bottom"/>
            <w:hideMark/>
          </w:tcPr>
          <w:p w14:paraId="0A21111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21.685,37</w:t>
            </w:r>
          </w:p>
        </w:tc>
        <w:tc>
          <w:tcPr>
            <w:tcW w:w="1280" w:type="dxa"/>
            <w:tcBorders>
              <w:top w:val="single" w:sz="4" w:space="0" w:color="auto"/>
              <w:left w:val="nil"/>
              <w:bottom w:val="single" w:sz="4" w:space="0" w:color="auto"/>
              <w:right w:val="single" w:sz="4" w:space="0" w:color="auto"/>
            </w:tcBorders>
            <w:noWrap/>
            <w:vAlign w:val="bottom"/>
            <w:hideMark/>
          </w:tcPr>
          <w:p w14:paraId="319849B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3A51909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662565F2"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27.183,96</w:t>
            </w:r>
          </w:p>
        </w:tc>
        <w:tc>
          <w:tcPr>
            <w:tcW w:w="1080" w:type="dxa"/>
            <w:tcBorders>
              <w:top w:val="single" w:sz="4" w:space="0" w:color="auto"/>
              <w:left w:val="nil"/>
              <w:bottom w:val="single" w:sz="4" w:space="0" w:color="auto"/>
              <w:right w:val="single" w:sz="4" w:space="0" w:color="auto"/>
            </w:tcBorders>
            <w:noWrap/>
            <w:vAlign w:val="bottom"/>
            <w:hideMark/>
          </w:tcPr>
          <w:p w14:paraId="43C4D45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125,36%</w:t>
            </w:r>
          </w:p>
        </w:tc>
        <w:tc>
          <w:tcPr>
            <w:tcW w:w="980" w:type="dxa"/>
            <w:tcBorders>
              <w:top w:val="single" w:sz="4" w:space="0" w:color="auto"/>
              <w:left w:val="nil"/>
              <w:bottom w:val="single" w:sz="4" w:space="0" w:color="auto"/>
              <w:right w:val="single" w:sz="4" w:space="0" w:color="auto"/>
            </w:tcBorders>
            <w:noWrap/>
            <w:vAlign w:val="bottom"/>
            <w:hideMark/>
          </w:tcPr>
          <w:p w14:paraId="71142A1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1C89A84C"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56FA8C93" w14:textId="77777777" w:rsidR="00416D67" w:rsidRPr="00416D67" w:rsidRDefault="00416D67" w:rsidP="00416D67">
            <w:pPr>
              <w:rPr>
                <w:rFonts w:ascii="Arial" w:hAnsi="Arial" w:cs="Arial"/>
                <w:sz w:val="16"/>
                <w:szCs w:val="16"/>
              </w:rPr>
            </w:pPr>
            <w:r w:rsidRPr="00416D67">
              <w:rPr>
                <w:rFonts w:ascii="Arial" w:hAnsi="Arial" w:cs="Arial"/>
                <w:sz w:val="16"/>
                <w:szCs w:val="16"/>
              </w:rPr>
              <w:t>3222 Materijal i sirovine</w:t>
            </w:r>
          </w:p>
        </w:tc>
        <w:tc>
          <w:tcPr>
            <w:tcW w:w="1520" w:type="dxa"/>
            <w:tcBorders>
              <w:top w:val="single" w:sz="4" w:space="0" w:color="auto"/>
              <w:left w:val="nil"/>
              <w:bottom w:val="single" w:sz="4" w:space="0" w:color="auto"/>
              <w:right w:val="single" w:sz="4" w:space="0" w:color="auto"/>
            </w:tcBorders>
            <w:noWrap/>
            <w:vAlign w:val="bottom"/>
            <w:hideMark/>
          </w:tcPr>
          <w:p w14:paraId="64EFD9F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60.671,80</w:t>
            </w:r>
          </w:p>
        </w:tc>
        <w:tc>
          <w:tcPr>
            <w:tcW w:w="1280" w:type="dxa"/>
            <w:tcBorders>
              <w:top w:val="single" w:sz="4" w:space="0" w:color="auto"/>
              <w:left w:val="nil"/>
              <w:bottom w:val="single" w:sz="4" w:space="0" w:color="auto"/>
              <w:right w:val="single" w:sz="4" w:space="0" w:color="auto"/>
            </w:tcBorders>
            <w:noWrap/>
            <w:vAlign w:val="bottom"/>
            <w:hideMark/>
          </w:tcPr>
          <w:p w14:paraId="6088B3A9"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776154A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6BFA5B7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71.269,60</w:t>
            </w:r>
          </w:p>
        </w:tc>
        <w:tc>
          <w:tcPr>
            <w:tcW w:w="1080" w:type="dxa"/>
            <w:tcBorders>
              <w:top w:val="single" w:sz="4" w:space="0" w:color="auto"/>
              <w:left w:val="nil"/>
              <w:bottom w:val="single" w:sz="4" w:space="0" w:color="auto"/>
              <w:right w:val="single" w:sz="4" w:space="0" w:color="auto"/>
            </w:tcBorders>
            <w:noWrap/>
            <w:vAlign w:val="bottom"/>
            <w:hideMark/>
          </w:tcPr>
          <w:p w14:paraId="7E93F6B6"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117,47%</w:t>
            </w:r>
          </w:p>
        </w:tc>
        <w:tc>
          <w:tcPr>
            <w:tcW w:w="980" w:type="dxa"/>
            <w:tcBorders>
              <w:top w:val="single" w:sz="4" w:space="0" w:color="auto"/>
              <w:left w:val="nil"/>
              <w:bottom w:val="single" w:sz="4" w:space="0" w:color="auto"/>
              <w:right w:val="single" w:sz="4" w:space="0" w:color="auto"/>
            </w:tcBorders>
            <w:noWrap/>
            <w:vAlign w:val="bottom"/>
            <w:hideMark/>
          </w:tcPr>
          <w:p w14:paraId="0D6CA88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19BFB4EB"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680A2501" w14:textId="77777777" w:rsidR="00416D67" w:rsidRPr="00416D67" w:rsidRDefault="00416D67" w:rsidP="00416D67">
            <w:pPr>
              <w:rPr>
                <w:rFonts w:ascii="Arial" w:hAnsi="Arial" w:cs="Arial"/>
                <w:sz w:val="16"/>
                <w:szCs w:val="16"/>
              </w:rPr>
            </w:pPr>
            <w:r w:rsidRPr="00416D67">
              <w:rPr>
                <w:rFonts w:ascii="Arial" w:hAnsi="Arial" w:cs="Arial"/>
                <w:sz w:val="16"/>
                <w:szCs w:val="16"/>
              </w:rPr>
              <w:t>3223 Energija</w:t>
            </w:r>
          </w:p>
        </w:tc>
        <w:tc>
          <w:tcPr>
            <w:tcW w:w="1520" w:type="dxa"/>
            <w:tcBorders>
              <w:top w:val="single" w:sz="4" w:space="0" w:color="auto"/>
              <w:left w:val="nil"/>
              <w:bottom w:val="single" w:sz="4" w:space="0" w:color="auto"/>
              <w:right w:val="single" w:sz="4" w:space="0" w:color="auto"/>
            </w:tcBorders>
            <w:noWrap/>
            <w:vAlign w:val="bottom"/>
            <w:hideMark/>
          </w:tcPr>
          <w:p w14:paraId="683A7672"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97.250,79</w:t>
            </w:r>
          </w:p>
        </w:tc>
        <w:tc>
          <w:tcPr>
            <w:tcW w:w="1280" w:type="dxa"/>
            <w:tcBorders>
              <w:top w:val="single" w:sz="4" w:space="0" w:color="auto"/>
              <w:left w:val="nil"/>
              <w:bottom w:val="single" w:sz="4" w:space="0" w:color="auto"/>
              <w:right w:val="single" w:sz="4" w:space="0" w:color="auto"/>
            </w:tcBorders>
            <w:noWrap/>
            <w:vAlign w:val="bottom"/>
            <w:hideMark/>
          </w:tcPr>
          <w:p w14:paraId="25DEE083"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7257C70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2C7BFFD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109.778,55</w:t>
            </w:r>
          </w:p>
        </w:tc>
        <w:tc>
          <w:tcPr>
            <w:tcW w:w="1080" w:type="dxa"/>
            <w:tcBorders>
              <w:top w:val="single" w:sz="4" w:space="0" w:color="auto"/>
              <w:left w:val="nil"/>
              <w:bottom w:val="single" w:sz="4" w:space="0" w:color="auto"/>
              <w:right w:val="single" w:sz="4" w:space="0" w:color="auto"/>
            </w:tcBorders>
            <w:noWrap/>
            <w:vAlign w:val="bottom"/>
            <w:hideMark/>
          </w:tcPr>
          <w:p w14:paraId="2C118A22"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112,88%</w:t>
            </w:r>
          </w:p>
        </w:tc>
        <w:tc>
          <w:tcPr>
            <w:tcW w:w="980" w:type="dxa"/>
            <w:tcBorders>
              <w:top w:val="single" w:sz="4" w:space="0" w:color="auto"/>
              <w:left w:val="nil"/>
              <w:bottom w:val="single" w:sz="4" w:space="0" w:color="auto"/>
              <w:right w:val="single" w:sz="4" w:space="0" w:color="auto"/>
            </w:tcBorders>
            <w:noWrap/>
            <w:vAlign w:val="bottom"/>
            <w:hideMark/>
          </w:tcPr>
          <w:p w14:paraId="37ECFD5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7726FBCD"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6A8C6BB1" w14:textId="77777777" w:rsidR="00416D67" w:rsidRPr="00416D67" w:rsidRDefault="00416D67" w:rsidP="00416D67">
            <w:pPr>
              <w:rPr>
                <w:rFonts w:ascii="Arial" w:hAnsi="Arial" w:cs="Arial"/>
                <w:sz w:val="16"/>
                <w:szCs w:val="16"/>
              </w:rPr>
            </w:pPr>
            <w:r w:rsidRPr="00416D67">
              <w:rPr>
                <w:rFonts w:ascii="Arial" w:hAnsi="Arial" w:cs="Arial"/>
                <w:sz w:val="16"/>
                <w:szCs w:val="16"/>
              </w:rPr>
              <w:t>3224 Materijal i dijelovi za tekuće i investicijsko održavanje</w:t>
            </w:r>
          </w:p>
        </w:tc>
        <w:tc>
          <w:tcPr>
            <w:tcW w:w="1520" w:type="dxa"/>
            <w:tcBorders>
              <w:top w:val="single" w:sz="4" w:space="0" w:color="auto"/>
              <w:left w:val="nil"/>
              <w:bottom w:val="single" w:sz="4" w:space="0" w:color="auto"/>
              <w:right w:val="single" w:sz="4" w:space="0" w:color="auto"/>
            </w:tcBorders>
            <w:noWrap/>
            <w:vAlign w:val="bottom"/>
            <w:hideMark/>
          </w:tcPr>
          <w:p w14:paraId="280C5AB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97,84</w:t>
            </w:r>
          </w:p>
        </w:tc>
        <w:tc>
          <w:tcPr>
            <w:tcW w:w="1280" w:type="dxa"/>
            <w:tcBorders>
              <w:top w:val="single" w:sz="4" w:space="0" w:color="auto"/>
              <w:left w:val="nil"/>
              <w:bottom w:val="single" w:sz="4" w:space="0" w:color="auto"/>
              <w:right w:val="single" w:sz="4" w:space="0" w:color="auto"/>
            </w:tcBorders>
            <w:noWrap/>
            <w:vAlign w:val="bottom"/>
            <w:hideMark/>
          </w:tcPr>
          <w:p w14:paraId="7D00EA2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2723EBE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281DE1F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080" w:type="dxa"/>
            <w:tcBorders>
              <w:top w:val="single" w:sz="4" w:space="0" w:color="auto"/>
              <w:left w:val="nil"/>
              <w:bottom w:val="single" w:sz="4" w:space="0" w:color="auto"/>
              <w:right w:val="single" w:sz="4" w:space="0" w:color="auto"/>
            </w:tcBorders>
            <w:noWrap/>
            <w:vAlign w:val="bottom"/>
            <w:hideMark/>
          </w:tcPr>
          <w:p w14:paraId="1D73CEC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0,00%</w:t>
            </w:r>
          </w:p>
        </w:tc>
        <w:tc>
          <w:tcPr>
            <w:tcW w:w="980" w:type="dxa"/>
            <w:tcBorders>
              <w:top w:val="single" w:sz="4" w:space="0" w:color="auto"/>
              <w:left w:val="nil"/>
              <w:bottom w:val="single" w:sz="4" w:space="0" w:color="auto"/>
              <w:right w:val="single" w:sz="4" w:space="0" w:color="auto"/>
            </w:tcBorders>
            <w:noWrap/>
            <w:vAlign w:val="bottom"/>
            <w:hideMark/>
          </w:tcPr>
          <w:p w14:paraId="7ECF70C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4286B32F"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2D96E295" w14:textId="77777777" w:rsidR="00416D67" w:rsidRPr="00416D67" w:rsidRDefault="00416D67" w:rsidP="00416D67">
            <w:pPr>
              <w:rPr>
                <w:rFonts w:ascii="Arial" w:hAnsi="Arial" w:cs="Arial"/>
                <w:sz w:val="16"/>
                <w:szCs w:val="16"/>
              </w:rPr>
            </w:pPr>
            <w:r w:rsidRPr="00416D67">
              <w:rPr>
                <w:rFonts w:ascii="Arial" w:hAnsi="Arial" w:cs="Arial"/>
                <w:sz w:val="16"/>
                <w:szCs w:val="16"/>
              </w:rPr>
              <w:t xml:space="preserve">3225 Sitni inventar i </w:t>
            </w:r>
            <w:proofErr w:type="spellStart"/>
            <w:r w:rsidRPr="00416D67">
              <w:rPr>
                <w:rFonts w:ascii="Arial" w:hAnsi="Arial" w:cs="Arial"/>
                <w:sz w:val="16"/>
                <w:szCs w:val="16"/>
              </w:rPr>
              <w:t>autogume</w:t>
            </w:r>
            <w:proofErr w:type="spellEnd"/>
          </w:p>
        </w:tc>
        <w:tc>
          <w:tcPr>
            <w:tcW w:w="1520" w:type="dxa"/>
            <w:tcBorders>
              <w:top w:val="single" w:sz="4" w:space="0" w:color="auto"/>
              <w:left w:val="nil"/>
              <w:bottom w:val="single" w:sz="4" w:space="0" w:color="auto"/>
              <w:right w:val="single" w:sz="4" w:space="0" w:color="auto"/>
            </w:tcBorders>
            <w:noWrap/>
            <w:vAlign w:val="bottom"/>
            <w:hideMark/>
          </w:tcPr>
          <w:p w14:paraId="107F3264"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22.813,95</w:t>
            </w:r>
          </w:p>
        </w:tc>
        <w:tc>
          <w:tcPr>
            <w:tcW w:w="1280" w:type="dxa"/>
            <w:tcBorders>
              <w:top w:val="single" w:sz="4" w:space="0" w:color="auto"/>
              <w:left w:val="nil"/>
              <w:bottom w:val="single" w:sz="4" w:space="0" w:color="auto"/>
              <w:right w:val="single" w:sz="4" w:space="0" w:color="auto"/>
            </w:tcBorders>
            <w:noWrap/>
            <w:vAlign w:val="bottom"/>
            <w:hideMark/>
          </w:tcPr>
          <w:p w14:paraId="7ABCEC02"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3CB7061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5471291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13.667,25</w:t>
            </w:r>
          </w:p>
        </w:tc>
        <w:tc>
          <w:tcPr>
            <w:tcW w:w="1080" w:type="dxa"/>
            <w:tcBorders>
              <w:top w:val="single" w:sz="4" w:space="0" w:color="auto"/>
              <w:left w:val="nil"/>
              <w:bottom w:val="single" w:sz="4" w:space="0" w:color="auto"/>
              <w:right w:val="single" w:sz="4" w:space="0" w:color="auto"/>
            </w:tcBorders>
            <w:noWrap/>
            <w:vAlign w:val="bottom"/>
            <w:hideMark/>
          </w:tcPr>
          <w:p w14:paraId="14436DC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59,91%</w:t>
            </w:r>
          </w:p>
        </w:tc>
        <w:tc>
          <w:tcPr>
            <w:tcW w:w="980" w:type="dxa"/>
            <w:tcBorders>
              <w:top w:val="single" w:sz="4" w:space="0" w:color="auto"/>
              <w:left w:val="nil"/>
              <w:bottom w:val="single" w:sz="4" w:space="0" w:color="auto"/>
              <w:right w:val="single" w:sz="4" w:space="0" w:color="auto"/>
            </w:tcBorders>
            <w:noWrap/>
            <w:vAlign w:val="bottom"/>
            <w:hideMark/>
          </w:tcPr>
          <w:p w14:paraId="79D6DA6E"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00BB3B25"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4494EA6A" w14:textId="77777777" w:rsidR="00416D67" w:rsidRPr="00416D67" w:rsidRDefault="00416D67" w:rsidP="00416D67">
            <w:pPr>
              <w:rPr>
                <w:rFonts w:ascii="Arial" w:hAnsi="Arial" w:cs="Arial"/>
                <w:sz w:val="16"/>
                <w:szCs w:val="16"/>
              </w:rPr>
            </w:pPr>
            <w:r w:rsidRPr="00416D67">
              <w:rPr>
                <w:rFonts w:ascii="Arial" w:hAnsi="Arial" w:cs="Arial"/>
                <w:sz w:val="16"/>
                <w:szCs w:val="16"/>
              </w:rPr>
              <w:t>3227 Službena, radna i zaštitna odjeća i obuća</w:t>
            </w:r>
          </w:p>
        </w:tc>
        <w:tc>
          <w:tcPr>
            <w:tcW w:w="1520" w:type="dxa"/>
            <w:tcBorders>
              <w:top w:val="single" w:sz="4" w:space="0" w:color="auto"/>
              <w:left w:val="nil"/>
              <w:bottom w:val="single" w:sz="4" w:space="0" w:color="auto"/>
              <w:right w:val="single" w:sz="4" w:space="0" w:color="auto"/>
            </w:tcBorders>
            <w:noWrap/>
            <w:vAlign w:val="bottom"/>
            <w:hideMark/>
          </w:tcPr>
          <w:p w14:paraId="1FF1C44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1.888,16</w:t>
            </w:r>
          </w:p>
        </w:tc>
        <w:tc>
          <w:tcPr>
            <w:tcW w:w="1280" w:type="dxa"/>
            <w:tcBorders>
              <w:top w:val="single" w:sz="4" w:space="0" w:color="auto"/>
              <w:left w:val="nil"/>
              <w:bottom w:val="single" w:sz="4" w:space="0" w:color="auto"/>
              <w:right w:val="single" w:sz="4" w:space="0" w:color="auto"/>
            </w:tcBorders>
            <w:noWrap/>
            <w:vAlign w:val="bottom"/>
            <w:hideMark/>
          </w:tcPr>
          <w:p w14:paraId="190343C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2D4C631E"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66833B5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2.148,77</w:t>
            </w:r>
          </w:p>
        </w:tc>
        <w:tc>
          <w:tcPr>
            <w:tcW w:w="1080" w:type="dxa"/>
            <w:tcBorders>
              <w:top w:val="single" w:sz="4" w:space="0" w:color="auto"/>
              <w:left w:val="nil"/>
              <w:bottom w:val="single" w:sz="4" w:space="0" w:color="auto"/>
              <w:right w:val="single" w:sz="4" w:space="0" w:color="auto"/>
            </w:tcBorders>
            <w:noWrap/>
            <w:vAlign w:val="bottom"/>
            <w:hideMark/>
          </w:tcPr>
          <w:p w14:paraId="5388FA82"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113,80%</w:t>
            </w:r>
          </w:p>
        </w:tc>
        <w:tc>
          <w:tcPr>
            <w:tcW w:w="980" w:type="dxa"/>
            <w:tcBorders>
              <w:top w:val="single" w:sz="4" w:space="0" w:color="auto"/>
              <w:left w:val="nil"/>
              <w:bottom w:val="single" w:sz="4" w:space="0" w:color="auto"/>
              <w:right w:val="single" w:sz="4" w:space="0" w:color="auto"/>
            </w:tcBorders>
            <w:noWrap/>
            <w:vAlign w:val="bottom"/>
            <w:hideMark/>
          </w:tcPr>
          <w:p w14:paraId="48FF2F02"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61A68B8F"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29D89EA2"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323 Rashodi za usluge</w:t>
            </w:r>
          </w:p>
        </w:tc>
        <w:tc>
          <w:tcPr>
            <w:tcW w:w="1520" w:type="dxa"/>
            <w:tcBorders>
              <w:top w:val="single" w:sz="4" w:space="0" w:color="auto"/>
              <w:left w:val="nil"/>
              <w:bottom w:val="single" w:sz="4" w:space="0" w:color="auto"/>
              <w:right w:val="single" w:sz="4" w:space="0" w:color="auto"/>
            </w:tcBorders>
            <w:noWrap/>
            <w:vAlign w:val="bottom"/>
            <w:hideMark/>
          </w:tcPr>
          <w:p w14:paraId="764A7C6C"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874.730,59</w:t>
            </w:r>
          </w:p>
        </w:tc>
        <w:tc>
          <w:tcPr>
            <w:tcW w:w="1280" w:type="dxa"/>
            <w:tcBorders>
              <w:top w:val="single" w:sz="4" w:space="0" w:color="auto"/>
              <w:left w:val="nil"/>
              <w:bottom w:val="single" w:sz="4" w:space="0" w:color="auto"/>
              <w:right w:val="single" w:sz="4" w:space="0" w:color="auto"/>
            </w:tcBorders>
            <w:noWrap/>
            <w:vAlign w:val="bottom"/>
            <w:hideMark/>
          </w:tcPr>
          <w:p w14:paraId="22944332"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2CE28C17"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0A25074E"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980.405,42</w:t>
            </w:r>
          </w:p>
        </w:tc>
        <w:tc>
          <w:tcPr>
            <w:tcW w:w="1080" w:type="dxa"/>
            <w:tcBorders>
              <w:top w:val="single" w:sz="4" w:space="0" w:color="auto"/>
              <w:left w:val="nil"/>
              <w:bottom w:val="single" w:sz="4" w:space="0" w:color="auto"/>
              <w:right w:val="single" w:sz="4" w:space="0" w:color="auto"/>
            </w:tcBorders>
            <w:noWrap/>
            <w:vAlign w:val="bottom"/>
            <w:hideMark/>
          </w:tcPr>
          <w:p w14:paraId="4995F09C"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112,08%</w:t>
            </w:r>
          </w:p>
        </w:tc>
        <w:tc>
          <w:tcPr>
            <w:tcW w:w="980" w:type="dxa"/>
            <w:tcBorders>
              <w:top w:val="single" w:sz="4" w:space="0" w:color="auto"/>
              <w:left w:val="nil"/>
              <w:bottom w:val="single" w:sz="4" w:space="0" w:color="auto"/>
              <w:right w:val="single" w:sz="4" w:space="0" w:color="auto"/>
            </w:tcBorders>
            <w:noWrap/>
            <w:vAlign w:val="bottom"/>
            <w:hideMark/>
          </w:tcPr>
          <w:p w14:paraId="183C7022"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0522064D"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4D44EA87" w14:textId="77777777" w:rsidR="00416D67" w:rsidRPr="00416D67" w:rsidRDefault="00416D67" w:rsidP="00416D67">
            <w:pPr>
              <w:rPr>
                <w:rFonts w:ascii="Arial" w:hAnsi="Arial" w:cs="Arial"/>
                <w:sz w:val="16"/>
                <w:szCs w:val="16"/>
              </w:rPr>
            </w:pPr>
            <w:r w:rsidRPr="00416D67">
              <w:rPr>
                <w:rFonts w:ascii="Arial" w:hAnsi="Arial" w:cs="Arial"/>
                <w:sz w:val="16"/>
                <w:szCs w:val="16"/>
              </w:rPr>
              <w:t>3231 Usluge telefona, interneta, pošte i prijevoza</w:t>
            </w:r>
          </w:p>
        </w:tc>
        <w:tc>
          <w:tcPr>
            <w:tcW w:w="1520" w:type="dxa"/>
            <w:tcBorders>
              <w:top w:val="single" w:sz="4" w:space="0" w:color="auto"/>
              <w:left w:val="nil"/>
              <w:bottom w:val="single" w:sz="4" w:space="0" w:color="auto"/>
              <w:right w:val="single" w:sz="4" w:space="0" w:color="auto"/>
            </w:tcBorders>
            <w:noWrap/>
            <w:vAlign w:val="bottom"/>
            <w:hideMark/>
          </w:tcPr>
          <w:p w14:paraId="67E6275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31.448,53</w:t>
            </w:r>
          </w:p>
        </w:tc>
        <w:tc>
          <w:tcPr>
            <w:tcW w:w="1280" w:type="dxa"/>
            <w:tcBorders>
              <w:top w:val="single" w:sz="4" w:space="0" w:color="auto"/>
              <w:left w:val="nil"/>
              <w:bottom w:val="single" w:sz="4" w:space="0" w:color="auto"/>
              <w:right w:val="single" w:sz="4" w:space="0" w:color="auto"/>
            </w:tcBorders>
            <w:noWrap/>
            <w:vAlign w:val="bottom"/>
            <w:hideMark/>
          </w:tcPr>
          <w:p w14:paraId="03811153"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09825E4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69672A9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32.994,13</w:t>
            </w:r>
          </w:p>
        </w:tc>
        <w:tc>
          <w:tcPr>
            <w:tcW w:w="1080" w:type="dxa"/>
            <w:tcBorders>
              <w:top w:val="single" w:sz="4" w:space="0" w:color="auto"/>
              <w:left w:val="nil"/>
              <w:bottom w:val="single" w:sz="4" w:space="0" w:color="auto"/>
              <w:right w:val="single" w:sz="4" w:space="0" w:color="auto"/>
            </w:tcBorders>
            <w:noWrap/>
            <w:vAlign w:val="bottom"/>
            <w:hideMark/>
          </w:tcPr>
          <w:p w14:paraId="35DB0063"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104,91%</w:t>
            </w:r>
          </w:p>
        </w:tc>
        <w:tc>
          <w:tcPr>
            <w:tcW w:w="980" w:type="dxa"/>
            <w:tcBorders>
              <w:top w:val="single" w:sz="4" w:space="0" w:color="auto"/>
              <w:left w:val="nil"/>
              <w:bottom w:val="single" w:sz="4" w:space="0" w:color="auto"/>
              <w:right w:val="single" w:sz="4" w:space="0" w:color="auto"/>
            </w:tcBorders>
            <w:noWrap/>
            <w:vAlign w:val="bottom"/>
            <w:hideMark/>
          </w:tcPr>
          <w:p w14:paraId="2DAA9BA6"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6B3F803F"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05586708" w14:textId="77777777" w:rsidR="00416D67" w:rsidRPr="00416D67" w:rsidRDefault="00416D67" w:rsidP="00416D67">
            <w:pPr>
              <w:rPr>
                <w:rFonts w:ascii="Arial" w:hAnsi="Arial" w:cs="Arial"/>
                <w:sz w:val="16"/>
                <w:szCs w:val="16"/>
              </w:rPr>
            </w:pPr>
            <w:r w:rsidRPr="00416D67">
              <w:rPr>
                <w:rFonts w:ascii="Arial" w:hAnsi="Arial" w:cs="Arial"/>
                <w:sz w:val="16"/>
                <w:szCs w:val="16"/>
              </w:rPr>
              <w:t>3232 Usluge tekućeg i investicijskog  održavanja</w:t>
            </w:r>
          </w:p>
        </w:tc>
        <w:tc>
          <w:tcPr>
            <w:tcW w:w="1520" w:type="dxa"/>
            <w:tcBorders>
              <w:top w:val="single" w:sz="4" w:space="0" w:color="auto"/>
              <w:left w:val="nil"/>
              <w:bottom w:val="single" w:sz="4" w:space="0" w:color="auto"/>
              <w:right w:val="single" w:sz="4" w:space="0" w:color="auto"/>
            </w:tcBorders>
            <w:noWrap/>
            <w:vAlign w:val="bottom"/>
            <w:hideMark/>
          </w:tcPr>
          <w:p w14:paraId="2B75541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166.595,83</w:t>
            </w:r>
          </w:p>
        </w:tc>
        <w:tc>
          <w:tcPr>
            <w:tcW w:w="1280" w:type="dxa"/>
            <w:tcBorders>
              <w:top w:val="single" w:sz="4" w:space="0" w:color="auto"/>
              <w:left w:val="nil"/>
              <w:bottom w:val="single" w:sz="4" w:space="0" w:color="auto"/>
              <w:right w:val="single" w:sz="4" w:space="0" w:color="auto"/>
            </w:tcBorders>
            <w:noWrap/>
            <w:vAlign w:val="bottom"/>
            <w:hideMark/>
          </w:tcPr>
          <w:p w14:paraId="4F27699E"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360BB0E2"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798DA9D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115.514,44</w:t>
            </w:r>
          </w:p>
        </w:tc>
        <w:tc>
          <w:tcPr>
            <w:tcW w:w="1080" w:type="dxa"/>
            <w:tcBorders>
              <w:top w:val="single" w:sz="4" w:space="0" w:color="auto"/>
              <w:left w:val="nil"/>
              <w:bottom w:val="single" w:sz="4" w:space="0" w:color="auto"/>
              <w:right w:val="single" w:sz="4" w:space="0" w:color="auto"/>
            </w:tcBorders>
            <w:noWrap/>
            <w:vAlign w:val="bottom"/>
            <w:hideMark/>
          </w:tcPr>
          <w:p w14:paraId="4AB876F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69,34%</w:t>
            </w:r>
          </w:p>
        </w:tc>
        <w:tc>
          <w:tcPr>
            <w:tcW w:w="980" w:type="dxa"/>
            <w:tcBorders>
              <w:top w:val="single" w:sz="4" w:space="0" w:color="auto"/>
              <w:left w:val="nil"/>
              <w:bottom w:val="single" w:sz="4" w:space="0" w:color="auto"/>
              <w:right w:val="single" w:sz="4" w:space="0" w:color="auto"/>
            </w:tcBorders>
            <w:noWrap/>
            <w:vAlign w:val="bottom"/>
            <w:hideMark/>
          </w:tcPr>
          <w:p w14:paraId="21B9AD7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7E77ECA6"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7E27D390" w14:textId="77777777" w:rsidR="00416D67" w:rsidRPr="00416D67" w:rsidRDefault="00416D67" w:rsidP="00416D67">
            <w:pPr>
              <w:rPr>
                <w:rFonts w:ascii="Arial" w:hAnsi="Arial" w:cs="Arial"/>
                <w:sz w:val="16"/>
                <w:szCs w:val="16"/>
              </w:rPr>
            </w:pPr>
            <w:r w:rsidRPr="00416D67">
              <w:rPr>
                <w:rFonts w:ascii="Arial" w:hAnsi="Arial" w:cs="Arial"/>
                <w:sz w:val="16"/>
                <w:szCs w:val="16"/>
              </w:rPr>
              <w:t>3233 Usluge promidžbe i informiranja</w:t>
            </w:r>
          </w:p>
        </w:tc>
        <w:tc>
          <w:tcPr>
            <w:tcW w:w="1520" w:type="dxa"/>
            <w:tcBorders>
              <w:top w:val="single" w:sz="4" w:space="0" w:color="auto"/>
              <w:left w:val="nil"/>
              <w:bottom w:val="single" w:sz="4" w:space="0" w:color="auto"/>
              <w:right w:val="single" w:sz="4" w:space="0" w:color="auto"/>
            </w:tcBorders>
            <w:noWrap/>
            <w:vAlign w:val="bottom"/>
            <w:hideMark/>
          </w:tcPr>
          <w:p w14:paraId="58EC440E"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23.793,80</w:t>
            </w:r>
          </w:p>
        </w:tc>
        <w:tc>
          <w:tcPr>
            <w:tcW w:w="1280" w:type="dxa"/>
            <w:tcBorders>
              <w:top w:val="single" w:sz="4" w:space="0" w:color="auto"/>
              <w:left w:val="nil"/>
              <w:bottom w:val="single" w:sz="4" w:space="0" w:color="auto"/>
              <w:right w:val="single" w:sz="4" w:space="0" w:color="auto"/>
            </w:tcBorders>
            <w:noWrap/>
            <w:vAlign w:val="bottom"/>
            <w:hideMark/>
          </w:tcPr>
          <w:p w14:paraId="7AFBB9F4"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2619C2E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4557A62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37.097,77</w:t>
            </w:r>
          </w:p>
        </w:tc>
        <w:tc>
          <w:tcPr>
            <w:tcW w:w="1080" w:type="dxa"/>
            <w:tcBorders>
              <w:top w:val="single" w:sz="4" w:space="0" w:color="auto"/>
              <w:left w:val="nil"/>
              <w:bottom w:val="single" w:sz="4" w:space="0" w:color="auto"/>
              <w:right w:val="single" w:sz="4" w:space="0" w:color="auto"/>
            </w:tcBorders>
            <w:noWrap/>
            <w:vAlign w:val="bottom"/>
            <w:hideMark/>
          </w:tcPr>
          <w:p w14:paraId="4E8F39B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155,91%</w:t>
            </w:r>
          </w:p>
        </w:tc>
        <w:tc>
          <w:tcPr>
            <w:tcW w:w="980" w:type="dxa"/>
            <w:tcBorders>
              <w:top w:val="single" w:sz="4" w:space="0" w:color="auto"/>
              <w:left w:val="nil"/>
              <w:bottom w:val="single" w:sz="4" w:space="0" w:color="auto"/>
              <w:right w:val="single" w:sz="4" w:space="0" w:color="auto"/>
            </w:tcBorders>
            <w:noWrap/>
            <w:vAlign w:val="bottom"/>
            <w:hideMark/>
          </w:tcPr>
          <w:p w14:paraId="67A6A0E9"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39AB59B3"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59BE8C9F" w14:textId="77777777" w:rsidR="00416D67" w:rsidRPr="00416D67" w:rsidRDefault="00416D67" w:rsidP="00416D67">
            <w:pPr>
              <w:rPr>
                <w:rFonts w:ascii="Arial" w:hAnsi="Arial" w:cs="Arial"/>
                <w:sz w:val="16"/>
                <w:szCs w:val="16"/>
              </w:rPr>
            </w:pPr>
            <w:r w:rsidRPr="00416D67">
              <w:rPr>
                <w:rFonts w:ascii="Arial" w:hAnsi="Arial" w:cs="Arial"/>
                <w:sz w:val="16"/>
                <w:szCs w:val="16"/>
              </w:rPr>
              <w:t>3234 Komunalne usluge</w:t>
            </w:r>
          </w:p>
        </w:tc>
        <w:tc>
          <w:tcPr>
            <w:tcW w:w="1520" w:type="dxa"/>
            <w:tcBorders>
              <w:top w:val="single" w:sz="4" w:space="0" w:color="auto"/>
              <w:left w:val="nil"/>
              <w:bottom w:val="single" w:sz="4" w:space="0" w:color="auto"/>
              <w:right w:val="single" w:sz="4" w:space="0" w:color="auto"/>
            </w:tcBorders>
            <w:noWrap/>
            <w:vAlign w:val="bottom"/>
            <w:hideMark/>
          </w:tcPr>
          <w:p w14:paraId="7E259463"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404.148,46</w:t>
            </w:r>
          </w:p>
        </w:tc>
        <w:tc>
          <w:tcPr>
            <w:tcW w:w="1280" w:type="dxa"/>
            <w:tcBorders>
              <w:top w:val="single" w:sz="4" w:space="0" w:color="auto"/>
              <w:left w:val="nil"/>
              <w:bottom w:val="single" w:sz="4" w:space="0" w:color="auto"/>
              <w:right w:val="single" w:sz="4" w:space="0" w:color="auto"/>
            </w:tcBorders>
            <w:noWrap/>
            <w:vAlign w:val="bottom"/>
            <w:hideMark/>
          </w:tcPr>
          <w:p w14:paraId="02BA980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4B65D93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1D4A188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456.245,70</w:t>
            </w:r>
          </w:p>
        </w:tc>
        <w:tc>
          <w:tcPr>
            <w:tcW w:w="1080" w:type="dxa"/>
            <w:tcBorders>
              <w:top w:val="single" w:sz="4" w:space="0" w:color="auto"/>
              <w:left w:val="nil"/>
              <w:bottom w:val="single" w:sz="4" w:space="0" w:color="auto"/>
              <w:right w:val="single" w:sz="4" w:space="0" w:color="auto"/>
            </w:tcBorders>
            <w:noWrap/>
            <w:vAlign w:val="bottom"/>
            <w:hideMark/>
          </w:tcPr>
          <w:p w14:paraId="3E9CAB5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112,89%</w:t>
            </w:r>
          </w:p>
        </w:tc>
        <w:tc>
          <w:tcPr>
            <w:tcW w:w="980" w:type="dxa"/>
            <w:tcBorders>
              <w:top w:val="single" w:sz="4" w:space="0" w:color="auto"/>
              <w:left w:val="nil"/>
              <w:bottom w:val="single" w:sz="4" w:space="0" w:color="auto"/>
              <w:right w:val="single" w:sz="4" w:space="0" w:color="auto"/>
            </w:tcBorders>
            <w:noWrap/>
            <w:vAlign w:val="bottom"/>
            <w:hideMark/>
          </w:tcPr>
          <w:p w14:paraId="1B662BC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44B81CC4"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7D9CF606" w14:textId="77777777" w:rsidR="00416D67" w:rsidRPr="00416D67" w:rsidRDefault="00416D67" w:rsidP="00416D67">
            <w:pPr>
              <w:rPr>
                <w:rFonts w:ascii="Arial" w:hAnsi="Arial" w:cs="Arial"/>
                <w:sz w:val="16"/>
                <w:szCs w:val="16"/>
              </w:rPr>
            </w:pPr>
            <w:r w:rsidRPr="00416D67">
              <w:rPr>
                <w:rFonts w:ascii="Arial" w:hAnsi="Arial" w:cs="Arial"/>
                <w:sz w:val="16"/>
                <w:szCs w:val="16"/>
              </w:rPr>
              <w:t>3235 Zakupnine i najamnine</w:t>
            </w:r>
          </w:p>
        </w:tc>
        <w:tc>
          <w:tcPr>
            <w:tcW w:w="1520" w:type="dxa"/>
            <w:tcBorders>
              <w:top w:val="single" w:sz="4" w:space="0" w:color="auto"/>
              <w:left w:val="nil"/>
              <w:bottom w:val="single" w:sz="4" w:space="0" w:color="auto"/>
              <w:right w:val="single" w:sz="4" w:space="0" w:color="auto"/>
            </w:tcBorders>
            <w:noWrap/>
            <w:vAlign w:val="bottom"/>
            <w:hideMark/>
          </w:tcPr>
          <w:p w14:paraId="099747C2"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10.185,57</w:t>
            </w:r>
          </w:p>
        </w:tc>
        <w:tc>
          <w:tcPr>
            <w:tcW w:w="1280" w:type="dxa"/>
            <w:tcBorders>
              <w:top w:val="single" w:sz="4" w:space="0" w:color="auto"/>
              <w:left w:val="nil"/>
              <w:bottom w:val="single" w:sz="4" w:space="0" w:color="auto"/>
              <w:right w:val="single" w:sz="4" w:space="0" w:color="auto"/>
            </w:tcBorders>
            <w:noWrap/>
            <w:vAlign w:val="bottom"/>
            <w:hideMark/>
          </w:tcPr>
          <w:p w14:paraId="0BA88F7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5C9434E6"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3CBE3AA4"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13.117,76</w:t>
            </w:r>
          </w:p>
        </w:tc>
        <w:tc>
          <w:tcPr>
            <w:tcW w:w="1080" w:type="dxa"/>
            <w:tcBorders>
              <w:top w:val="single" w:sz="4" w:space="0" w:color="auto"/>
              <w:left w:val="nil"/>
              <w:bottom w:val="single" w:sz="4" w:space="0" w:color="auto"/>
              <w:right w:val="single" w:sz="4" w:space="0" w:color="auto"/>
            </w:tcBorders>
            <w:noWrap/>
            <w:vAlign w:val="bottom"/>
            <w:hideMark/>
          </w:tcPr>
          <w:p w14:paraId="68DC6C4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128,79%</w:t>
            </w:r>
          </w:p>
        </w:tc>
        <w:tc>
          <w:tcPr>
            <w:tcW w:w="980" w:type="dxa"/>
            <w:tcBorders>
              <w:top w:val="single" w:sz="4" w:space="0" w:color="auto"/>
              <w:left w:val="nil"/>
              <w:bottom w:val="single" w:sz="4" w:space="0" w:color="auto"/>
              <w:right w:val="single" w:sz="4" w:space="0" w:color="auto"/>
            </w:tcBorders>
            <w:noWrap/>
            <w:vAlign w:val="bottom"/>
            <w:hideMark/>
          </w:tcPr>
          <w:p w14:paraId="6B33FE8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48CE3A0B"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66346D22" w14:textId="77777777" w:rsidR="00416D67" w:rsidRPr="00416D67" w:rsidRDefault="00416D67" w:rsidP="00416D67">
            <w:pPr>
              <w:rPr>
                <w:rFonts w:ascii="Arial" w:hAnsi="Arial" w:cs="Arial"/>
                <w:sz w:val="16"/>
                <w:szCs w:val="16"/>
              </w:rPr>
            </w:pPr>
            <w:r w:rsidRPr="00416D67">
              <w:rPr>
                <w:rFonts w:ascii="Arial" w:hAnsi="Arial" w:cs="Arial"/>
                <w:sz w:val="16"/>
                <w:szCs w:val="16"/>
              </w:rPr>
              <w:t>3236 Zdravstvene i veterinarske usluge</w:t>
            </w:r>
          </w:p>
        </w:tc>
        <w:tc>
          <w:tcPr>
            <w:tcW w:w="1520" w:type="dxa"/>
            <w:tcBorders>
              <w:top w:val="single" w:sz="4" w:space="0" w:color="auto"/>
              <w:left w:val="nil"/>
              <w:bottom w:val="single" w:sz="4" w:space="0" w:color="auto"/>
              <w:right w:val="single" w:sz="4" w:space="0" w:color="auto"/>
            </w:tcBorders>
            <w:noWrap/>
            <w:vAlign w:val="bottom"/>
            <w:hideMark/>
          </w:tcPr>
          <w:p w14:paraId="044B9AB4"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9.531,78</w:t>
            </w:r>
          </w:p>
        </w:tc>
        <w:tc>
          <w:tcPr>
            <w:tcW w:w="1280" w:type="dxa"/>
            <w:tcBorders>
              <w:top w:val="single" w:sz="4" w:space="0" w:color="auto"/>
              <w:left w:val="nil"/>
              <w:bottom w:val="single" w:sz="4" w:space="0" w:color="auto"/>
              <w:right w:val="single" w:sz="4" w:space="0" w:color="auto"/>
            </w:tcBorders>
            <w:noWrap/>
            <w:vAlign w:val="bottom"/>
            <w:hideMark/>
          </w:tcPr>
          <w:p w14:paraId="637AADB3"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7466A2B6"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207D158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23.072,87</w:t>
            </w:r>
          </w:p>
        </w:tc>
        <w:tc>
          <w:tcPr>
            <w:tcW w:w="1080" w:type="dxa"/>
            <w:tcBorders>
              <w:top w:val="single" w:sz="4" w:space="0" w:color="auto"/>
              <w:left w:val="nil"/>
              <w:bottom w:val="single" w:sz="4" w:space="0" w:color="auto"/>
              <w:right w:val="single" w:sz="4" w:space="0" w:color="auto"/>
            </w:tcBorders>
            <w:noWrap/>
            <w:vAlign w:val="bottom"/>
            <w:hideMark/>
          </w:tcPr>
          <w:p w14:paraId="79AFCE2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242,06%</w:t>
            </w:r>
          </w:p>
        </w:tc>
        <w:tc>
          <w:tcPr>
            <w:tcW w:w="980" w:type="dxa"/>
            <w:tcBorders>
              <w:top w:val="single" w:sz="4" w:space="0" w:color="auto"/>
              <w:left w:val="nil"/>
              <w:bottom w:val="single" w:sz="4" w:space="0" w:color="auto"/>
              <w:right w:val="single" w:sz="4" w:space="0" w:color="auto"/>
            </w:tcBorders>
            <w:noWrap/>
            <w:vAlign w:val="bottom"/>
            <w:hideMark/>
          </w:tcPr>
          <w:p w14:paraId="6884C6D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6940DC1D"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2A959A74" w14:textId="77777777" w:rsidR="00416D67" w:rsidRPr="00416D67" w:rsidRDefault="00416D67" w:rsidP="00416D67">
            <w:pPr>
              <w:rPr>
                <w:rFonts w:ascii="Arial" w:hAnsi="Arial" w:cs="Arial"/>
                <w:sz w:val="16"/>
                <w:szCs w:val="16"/>
              </w:rPr>
            </w:pPr>
            <w:r w:rsidRPr="00416D67">
              <w:rPr>
                <w:rFonts w:ascii="Arial" w:hAnsi="Arial" w:cs="Arial"/>
                <w:sz w:val="16"/>
                <w:szCs w:val="16"/>
              </w:rPr>
              <w:t>3237 Intelektualne i osobne usluge</w:t>
            </w:r>
          </w:p>
        </w:tc>
        <w:tc>
          <w:tcPr>
            <w:tcW w:w="1520" w:type="dxa"/>
            <w:tcBorders>
              <w:top w:val="single" w:sz="4" w:space="0" w:color="auto"/>
              <w:left w:val="nil"/>
              <w:bottom w:val="single" w:sz="4" w:space="0" w:color="auto"/>
              <w:right w:val="single" w:sz="4" w:space="0" w:color="auto"/>
            </w:tcBorders>
            <w:noWrap/>
            <w:vAlign w:val="bottom"/>
            <w:hideMark/>
          </w:tcPr>
          <w:p w14:paraId="4853218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132.192,88</w:t>
            </w:r>
          </w:p>
        </w:tc>
        <w:tc>
          <w:tcPr>
            <w:tcW w:w="1280" w:type="dxa"/>
            <w:tcBorders>
              <w:top w:val="single" w:sz="4" w:space="0" w:color="auto"/>
              <w:left w:val="nil"/>
              <w:bottom w:val="single" w:sz="4" w:space="0" w:color="auto"/>
              <w:right w:val="single" w:sz="4" w:space="0" w:color="auto"/>
            </w:tcBorders>
            <w:noWrap/>
            <w:vAlign w:val="bottom"/>
            <w:hideMark/>
          </w:tcPr>
          <w:p w14:paraId="383A9D53"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3BB24C19"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421E37D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190.323,20</w:t>
            </w:r>
          </w:p>
        </w:tc>
        <w:tc>
          <w:tcPr>
            <w:tcW w:w="1080" w:type="dxa"/>
            <w:tcBorders>
              <w:top w:val="single" w:sz="4" w:space="0" w:color="auto"/>
              <w:left w:val="nil"/>
              <w:bottom w:val="single" w:sz="4" w:space="0" w:color="auto"/>
              <w:right w:val="single" w:sz="4" w:space="0" w:color="auto"/>
            </w:tcBorders>
            <w:noWrap/>
            <w:vAlign w:val="bottom"/>
            <w:hideMark/>
          </w:tcPr>
          <w:p w14:paraId="1C512E5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143,97%</w:t>
            </w:r>
          </w:p>
        </w:tc>
        <w:tc>
          <w:tcPr>
            <w:tcW w:w="980" w:type="dxa"/>
            <w:tcBorders>
              <w:top w:val="single" w:sz="4" w:space="0" w:color="auto"/>
              <w:left w:val="nil"/>
              <w:bottom w:val="single" w:sz="4" w:space="0" w:color="auto"/>
              <w:right w:val="single" w:sz="4" w:space="0" w:color="auto"/>
            </w:tcBorders>
            <w:noWrap/>
            <w:vAlign w:val="bottom"/>
            <w:hideMark/>
          </w:tcPr>
          <w:p w14:paraId="716C77E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3E2C9392"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784946D5" w14:textId="77777777" w:rsidR="00416D67" w:rsidRPr="00416D67" w:rsidRDefault="00416D67" w:rsidP="00416D67">
            <w:pPr>
              <w:rPr>
                <w:rFonts w:ascii="Arial" w:hAnsi="Arial" w:cs="Arial"/>
                <w:sz w:val="16"/>
                <w:szCs w:val="16"/>
              </w:rPr>
            </w:pPr>
            <w:r w:rsidRPr="00416D67">
              <w:rPr>
                <w:rFonts w:ascii="Arial" w:hAnsi="Arial" w:cs="Arial"/>
                <w:sz w:val="16"/>
                <w:szCs w:val="16"/>
              </w:rPr>
              <w:t>3238 Računalne usluge</w:t>
            </w:r>
          </w:p>
        </w:tc>
        <w:tc>
          <w:tcPr>
            <w:tcW w:w="1520" w:type="dxa"/>
            <w:tcBorders>
              <w:top w:val="single" w:sz="4" w:space="0" w:color="auto"/>
              <w:left w:val="nil"/>
              <w:bottom w:val="single" w:sz="4" w:space="0" w:color="auto"/>
              <w:right w:val="single" w:sz="4" w:space="0" w:color="auto"/>
            </w:tcBorders>
            <w:noWrap/>
            <w:vAlign w:val="bottom"/>
            <w:hideMark/>
          </w:tcPr>
          <w:p w14:paraId="2E2F54B6"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19.871,26</w:t>
            </w:r>
          </w:p>
        </w:tc>
        <w:tc>
          <w:tcPr>
            <w:tcW w:w="1280" w:type="dxa"/>
            <w:tcBorders>
              <w:top w:val="single" w:sz="4" w:space="0" w:color="auto"/>
              <w:left w:val="nil"/>
              <w:bottom w:val="single" w:sz="4" w:space="0" w:color="auto"/>
              <w:right w:val="single" w:sz="4" w:space="0" w:color="auto"/>
            </w:tcBorders>
            <w:noWrap/>
            <w:vAlign w:val="bottom"/>
            <w:hideMark/>
          </w:tcPr>
          <w:p w14:paraId="68D1A35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4D74C0B6"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1311DA1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21.518,18</w:t>
            </w:r>
          </w:p>
        </w:tc>
        <w:tc>
          <w:tcPr>
            <w:tcW w:w="1080" w:type="dxa"/>
            <w:tcBorders>
              <w:top w:val="single" w:sz="4" w:space="0" w:color="auto"/>
              <w:left w:val="nil"/>
              <w:bottom w:val="single" w:sz="4" w:space="0" w:color="auto"/>
              <w:right w:val="single" w:sz="4" w:space="0" w:color="auto"/>
            </w:tcBorders>
            <w:noWrap/>
            <w:vAlign w:val="bottom"/>
            <w:hideMark/>
          </w:tcPr>
          <w:p w14:paraId="2EE955C4"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108,29%</w:t>
            </w:r>
          </w:p>
        </w:tc>
        <w:tc>
          <w:tcPr>
            <w:tcW w:w="980" w:type="dxa"/>
            <w:tcBorders>
              <w:top w:val="single" w:sz="4" w:space="0" w:color="auto"/>
              <w:left w:val="nil"/>
              <w:bottom w:val="single" w:sz="4" w:space="0" w:color="auto"/>
              <w:right w:val="single" w:sz="4" w:space="0" w:color="auto"/>
            </w:tcBorders>
            <w:noWrap/>
            <w:vAlign w:val="bottom"/>
            <w:hideMark/>
          </w:tcPr>
          <w:p w14:paraId="488C01C4"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0187CA05"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4F2619EF" w14:textId="77777777" w:rsidR="00416D67" w:rsidRPr="00416D67" w:rsidRDefault="00416D67" w:rsidP="00416D67">
            <w:pPr>
              <w:rPr>
                <w:rFonts w:ascii="Arial" w:hAnsi="Arial" w:cs="Arial"/>
                <w:sz w:val="16"/>
                <w:szCs w:val="16"/>
              </w:rPr>
            </w:pPr>
            <w:r w:rsidRPr="00416D67">
              <w:rPr>
                <w:rFonts w:ascii="Arial" w:hAnsi="Arial" w:cs="Arial"/>
                <w:sz w:val="16"/>
                <w:szCs w:val="16"/>
              </w:rPr>
              <w:t>3239 Ostale usluge</w:t>
            </w:r>
          </w:p>
        </w:tc>
        <w:tc>
          <w:tcPr>
            <w:tcW w:w="1520" w:type="dxa"/>
            <w:tcBorders>
              <w:top w:val="single" w:sz="4" w:space="0" w:color="auto"/>
              <w:left w:val="nil"/>
              <w:bottom w:val="single" w:sz="4" w:space="0" w:color="auto"/>
              <w:right w:val="single" w:sz="4" w:space="0" w:color="auto"/>
            </w:tcBorders>
            <w:noWrap/>
            <w:vAlign w:val="bottom"/>
            <w:hideMark/>
          </w:tcPr>
          <w:p w14:paraId="03BDD41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76.962,48</w:t>
            </w:r>
          </w:p>
        </w:tc>
        <w:tc>
          <w:tcPr>
            <w:tcW w:w="1280" w:type="dxa"/>
            <w:tcBorders>
              <w:top w:val="single" w:sz="4" w:space="0" w:color="auto"/>
              <w:left w:val="nil"/>
              <w:bottom w:val="single" w:sz="4" w:space="0" w:color="auto"/>
              <w:right w:val="single" w:sz="4" w:space="0" w:color="auto"/>
            </w:tcBorders>
            <w:noWrap/>
            <w:vAlign w:val="bottom"/>
            <w:hideMark/>
          </w:tcPr>
          <w:p w14:paraId="247F6B2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473D778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1C1E514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90.521,37</w:t>
            </w:r>
          </w:p>
        </w:tc>
        <w:tc>
          <w:tcPr>
            <w:tcW w:w="1080" w:type="dxa"/>
            <w:tcBorders>
              <w:top w:val="single" w:sz="4" w:space="0" w:color="auto"/>
              <w:left w:val="nil"/>
              <w:bottom w:val="single" w:sz="4" w:space="0" w:color="auto"/>
              <w:right w:val="single" w:sz="4" w:space="0" w:color="auto"/>
            </w:tcBorders>
            <w:noWrap/>
            <w:vAlign w:val="bottom"/>
            <w:hideMark/>
          </w:tcPr>
          <w:p w14:paraId="5220DA39"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117,62%</w:t>
            </w:r>
          </w:p>
        </w:tc>
        <w:tc>
          <w:tcPr>
            <w:tcW w:w="980" w:type="dxa"/>
            <w:tcBorders>
              <w:top w:val="single" w:sz="4" w:space="0" w:color="auto"/>
              <w:left w:val="nil"/>
              <w:bottom w:val="single" w:sz="4" w:space="0" w:color="auto"/>
              <w:right w:val="single" w:sz="4" w:space="0" w:color="auto"/>
            </w:tcBorders>
            <w:noWrap/>
            <w:vAlign w:val="bottom"/>
            <w:hideMark/>
          </w:tcPr>
          <w:p w14:paraId="516096D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bl>
    <w:p w14:paraId="515DC45C" w14:textId="77777777" w:rsidR="00416D67" w:rsidRPr="00416D67" w:rsidRDefault="00416D67" w:rsidP="00416D67">
      <w:pPr>
        <w:jc w:val="both"/>
        <w:rPr>
          <w:b/>
        </w:rPr>
      </w:pPr>
    </w:p>
    <w:p w14:paraId="1542CD26" w14:textId="77777777" w:rsidR="00416D67" w:rsidRPr="00416D67" w:rsidRDefault="00416D67" w:rsidP="00416D67">
      <w:pPr>
        <w:jc w:val="both"/>
        <w:rPr>
          <w:b/>
        </w:rPr>
      </w:pPr>
    </w:p>
    <w:p w14:paraId="3EC4F3EF" w14:textId="77777777" w:rsidR="00416D67" w:rsidRPr="00416D67" w:rsidRDefault="00416D67" w:rsidP="00416D67">
      <w:pPr>
        <w:jc w:val="both"/>
        <w:rPr>
          <w:b/>
        </w:rPr>
      </w:pPr>
    </w:p>
    <w:tbl>
      <w:tblPr>
        <w:tblW w:w="14220" w:type="dxa"/>
        <w:tblInd w:w="93" w:type="dxa"/>
        <w:tblLook w:val="04A0" w:firstRow="1" w:lastRow="0" w:firstColumn="1" w:lastColumn="0" w:noHBand="0" w:noVBand="1"/>
      </w:tblPr>
      <w:tblGrid>
        <w:gridCol w:w="6780"/>
        <w:gridCol w:w="1520"/>
        <w:gridCol w:w="1280"/>
        <w:gridCol w:w="1260"/>
        <w:gridCol w:w="1320"/>
        <w:gridCol w:w="1080"/>
        <w:gridCol w:w="980"/>
      </w:tblGrid>
      <w:tr w:rsidR="00416D67" w:rsidRPr="00416D67" w14:paraId="034EBB48" w14:textId="77777777" w:rsidTr="00BB1392">
        <w:trPr>
          <w:trHeight w:val="765"/>
        </w:trPr>
        <w:tc>
          <w:tcPr>
            <w:tcW w:w="678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4CEFC74"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lastRenderedPageBreak/>
              <w:t>Račun / opis</w:t>
            </w:r>
          </w:p>
        </w:tc>
        <w:tc>
          <w:tcPr>
            <w:tcW w:w="1520" w:type="dxa"/>
            <w:tcBorders>
              <w:top w:val="single" w:sz="4" w:space="0" w:color="auto"/>
              <w:left w:val="nil"/>
              <w:bottom w:val="single" w:sz="4" w:space="0" w:color="auto"/>
              <w:right w:val="single" w:sz="4" w:space="0" w:color="auto"/>
            </w:tcBorders>
            <w:shd w:val="clear" w:color="000000" w:fill="C0C0C0"/>
            <w:vAlign w:val="bottom"/>
            <w:hideMark/>
          </w:tcPr>
          <w:p w14:paraId="33B7C5CF"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Izvršenje proračuna 2024. godina</w:t>
            </w:r>
          </w:p>
        </w:tc>
        <w:tc>
          <w:tcPr>
            <w:tcW w:w="1280" w:type="dxa"/>
            <w:tcBorders>
              <w:top w:val="single" w:sz="4" w:space="0" w:color="auto"/>
              <w:left w:val="nil"/>
              <w:bottom w:val="single" w:sz="4" w:space="0" w:color="auto"/>
              <w:right w:val="single" w:sz="4" w:space="0" w:color="auto"/>
            </w:tcBorders>
            <w:shd w:val="clear" w:color="000000" w:fill="C0C0C0"/>
            <w:vAlign w:val="bottom"/>
            <w:hideMark/>
          </w:tcPr>
          <w:p w14:paraId="2C2C5D9B"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Izvorni plan proračuna 2025. godina</w:t>
            </w:r>
          </w:p>
        </w:tc>
        <w:tc>
          <w:tcPr>
            <w:tcW w:w="1260" w:type="dxa"/>
            <w:tcBorders>
              <w:top w:val="single" w:sz="4" w:space="0" w:color="auto"/>
              <w:left w:val="nil"/>
              <w:bottom w:val="single" w:sz="4" w:space="0" w:color="auto"/>
              <w:right w:val="single" w:sz="4" w:space="0" w:color="auto"/>
            </w:tcBorders>
            <w:shd w:val="clear" w:color="000000" w:fill="C0C0C0"/>
            <w:vAlign w:val="bottom"/>
            <w:hideMark/>
          </w:tcPr>
          <w:p w14:paraId="3D0FE11F"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Tekući plan proračuna 2025. godina</w:t>
            </w:r>
          </w:p>
        </w:tc>
        <w:tc>
          <w:tcPr>
            <w:tcW w:w="1320" w:type="dxa"/>
            <w:tcBorders>
              <w:top w:val="single" w:sz="4" w:space="0" w:color="auto"/>
              <w:left w:val="nil"/>
              <w:bottom w:val="single" w:sz="4" w:space="0" w:color="auto"/>
              <w:right w:val="single" w:sz="4" w:space="0" w:color="auto"/>
            </w:tcBorders>
            <w:shd w:val="clear" w:color="000000" w:fill="C0C0C0"/>
            <w:vAlign w:val="bottom"/>
            <w:hideMark/>
          </w:tcPr>
          <w:p w14:paraId="253C25A0"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Izvršenje proračuna 2025. godina</w:t>
            </w:r>
          </w:p>
        </w:tc>
        <w:tc>
          <w:tcPr>
            <w:tcW w:w="1080" w:type="dxa"/>
            <w:tcBorders>
              <w:top w:val="single" w:sz="4" w:space="0" w:color="auto"/>
              <w:left w:val="nil"/>
              <w:bottom w:val="single" w:sz="4" w:space="0" w:color="auto"/>
              <w:right w:val="single" w:sz="4" w:space="0" w:color="auto"/>
            </w:tcBorders>
            <w:shd w:val="clear" w:color="000000" w:fill="C0C0C0"/>
            <w:vAlign w:val="bottom"/>
            <w:hideMark/>
          </w:tcPr>
          <w:p w14:paraId="0F7C29EB"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Indeks  4/1</w:t>
            </w:r>
          </w:p>
        </w:tc>
        <w:tc>
          <w:tcPr>
            <w:tcW w:w="980" w:type="dxa"/>
            <w:tcBorders>
              <w:top w:val="single" w:sz="4" w:space="0" w:color="auto"/>
              <w:left w:val="nil"/>
              <w:bottom w:val="single" w:sz="4" w:space="0" w:color="auto"/>
              <w:right w:val="single" w:sz="4" w:space="0" w:color="auto"/>
            </w:tcBorders>
            <w:shd w:val="clear" w:color="000000" w:fill="C0C0C0"/>
            <w:vAlign w:val="bottom"/>
            <w:hideMark/>
          </w:tcPr>
          <w:p w14:paraId="2960D817"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Indeks  4/3</w:t>
            </w:r>
          </w:p>
        </w:tc>
      </w:tr>
      <w:tr w:rsidR="00416D67" w:rsidRPr="00416D67" w14:paraId="035A051E"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7E737339"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324 Naknade troškova osobama izvan radnog odnosa</w:t>
            </w:r>
          </w:p>
        </w:tc>
        <w:tc>
          <w:tcPr>
            <w:tcW w:w="1520" w:type="dxa"/>
            <w:tcBorders>
              <w:top w:val="single" w:sz="4" w:space="0" w:color="auto"/>
              <w:left w:val="nil"/>
              <w:bottom w:val="single" w:sz="4" w:space="0" w:color="auto"/>
              <w:right w:val="single" w:sz="4" w:space="0" w:color="auto"/>
            </w:tcBorders>
            <w:noWrap/>
            <w:vAlign w:val="bottom"/>
            <w:hideMark/>
          </w:tcPr>
          <w:p w14:paraId="2E18492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1.027,97</w:t>
            </w:r>
          </w:p>
        </w:tc>
        <w:tc>
          <w:tcPr>
            <w:tcW w:w="1280" w:type="dxa"/>
            <w:tcBorders>
              <w:top w:val="single" w:sz="4" w:space="0" w:color="auto"/>
              <w:left w:val="nil"/>
              <w:bottom w:val="single" w:sz="4" w:space="0" w:color="auto"/>
              <w:right w:val="single" w:sz="4" w:space="0" w:color="auto"/>
            </w:tcBorders>
            <w:noWrap/>
            <w:vAlign w:val="bottom"/>
            <w:hideMark/>
          </w:tcPr>
          <w:p w14:paraId="74BAEF8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4283D4C7"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56869BC0"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080" w:type="dxa"/>
            <w:tcBorders>
              <w:top w:val="single" w:sz="4" w:space="0" w:color="auto"/>
              <w:left w:val="nil"/>
              <w:bottom w:val="single" w:sz="4" w:space="0" w:color="auto"/>
              <w:right w:val="single" w:sz="4" w:space="0" w:color="auto"/>
            </w:tcBorders>
            <w:noWrap/>
            <w:vAlign w:val="bottom"/>
            <w:hideMark/>
          </w:tcPr>
          <w:p w14:paraId="0511FD34"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0,00%</w:t>
            </w:r>
          </w:p>
        </w:tc>
        <w:tc>
          <w:tcPr>
            <w:tcW w:w="980" w:type="dxa"/>
            <w:tcBorders>
              <w:top w:val="single" w:sz="4" w:space="0" w:color="auto"/>
              <w:left w:val="nil"/>
              <w:bottom w:val="single" w:sz="4" w:space="0" w:color="auto"/>
              <w:right w:val="single" w:sz="4" w:space="0" w:color="auto"/>
            </w:tcBorders>
            <w:noWrap/>
            <w:vAlign w:val="bottom"/>
            <w:hideMark/>
          </w:tcPr>
          <w:p w14:paraId="1E2B6F50"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6D4207B5"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2F82F417" w14:textId="77777777" w:rsidR="00416D67" w:rsidRPr="00416D67" w:rsidRDefault="00416D67" w:rsidP="00416D67">
            <w:pPr>
              <w:rPr>
                <w:rFonts w:ascii="Arial" w:hAnsi="Arial" w:cs="Arial"/>
                <w:sz w:val="16"/>
                <w:szCs w:val="16"/>
              </w:rPr>
            </w:pPr>
            <w:r w:rsidRPr="00416D67">
              <w:rPr>
                <w:rFonts w:ascii="Arial" w:hAnsi="Arial" w:cs="Arial"/>
                <w:sz w:val="16"/>
                <w:szCs w:val="16"/>
              </w:rPr>
              <w:t>3241 Naknade troškova osobama izvan radnog odnosa</w:t>
            </w:r>
          </w:p>
        </w:tc>
        <w:tc>
          <w:tcPr>
            <w:tcW w:w="1520" w:type="dxa"/>
            <w:tcBorders>
              <w:top w:val="single" w:sz="4" w:space="0" w:color="auto"/>
              <w:left w:val="nil"/>
              <w:bottom w:val="single" w:sz="4" w:space="0" w:color="auto"/>
              <w:right w:val="single" w:sz="4" w:space="0" w:color="auto"/>
            </w:tcBorders>
            <w:noWrap/>
            <w:vAlign w:val="bottom"/>
            <w:hideMark/>
          </w:tcPr>
          <w:p w14:paraId="4DDAE5EE"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1.027,97</w:t>
            </w:r>
          </w:p>
        </w:tc>
        <w:tc>
          <w:tcPr>
            <w:tcW w:w="1280" w:type="dxa"/>
            <w:tcBorders>
              <w:top w:val="single" w:sz="4" w:space="0" w:color="auto"/>
              <w:left w:val="nil"/>
              <w:bottom w:val="single" w:sz="4" w:space="0" w:color="auto"/>
              <w:right w:val="single" w:sz="4" w:space="0" w:color="auto"/>
            </w:tcBorders>
            <w:noWrap/>
            <w:vAlign w:val="bottom"/>
            <w:hideMark/>
          </w:tcPr>
          <w:p w14:paraId="61B3B18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45AF631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747A10C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080" w:type="dxa"/>
            <w:tcBorders>
              <w:top w:val="single" w:sz="4" w:space="0" w:color="auto"/>
              <w:left w:val="nil"/>
              <w:bottom w:val="single" w:sz="4" w:space="0" w:color="auto"/>
              <w:right w:val="single" w:sz="4" w:space="0" w:color="auto"/>
            </w:tcBorders>
            <w:noWrap/>
            <w:vAlign w:val="bottom"/>
            <w:hideMark/>
          </w:tcPr>
          <w:p w14:paraId="09E343F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0,00%</w:t>
            </w:r>
          </w:p>
        </w:tc>
        <w:tc>
          <w:tcPr>
            <w:tcW w:w="980" w:type="dxa"/>
            <w:tcBorders>
              <w:top w:val="single" w:sz="4" w:space="0" w:color="auto"/>
              <w:left w:val="nil"/>
              <w:bottom w:val="single" w:sz="4" w:space="0" w:color="auto"/>
              <w:right w:val="single" w:sz="4" w:space="0" w:color="auto"/>
            </w:tcBorders>
            <w:noWrap/>
            <w:vAlign w:val="bottom"/>
            <w:hideMark/>
          </w:tcPr>
          <w:p w14:paraId="6EB33D42"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2568711E"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192E98FA"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329 Ostali nespomenuti rashodi poslovanja</w:t>
            </w:r>
          </w:p>
        </w:tc>
        <w:tc>
          <w:tcPr>
            <w:tcW w:w="1520" w:type="dxa"/>
            <w:tcBorders>
              <w:top w:val="single" w:sz="4" w:space="0" w:color="auto"/>
              <w:left w:val="nil"/>
              <w:bottom w:val="single" w:sz="4" w:space="0" w:color="auto"/>
              <w:right w:val="single" w:sz="4" w:space="0" w:color="auto"/>
            </w:tcBorders>
            <w:noWrap/>
            <w:vAlign w:val="bottom"/>
            <w:hideMark/>
          </w:tcPr>
          <w:p w14:paraId="2BAF69CA"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173.014,86</w:t>
            </w:r>
          </w:p>
        </w:tc>
        <w:tc>
          <w:tcPr>
            <w:tcW w:w="1280" w:type="dxa"/>
            <w:tcBorders>
              <w:top w:val="single" w:sz="4" w:space="0" w:color="auto"/>
              <w:left w:val="nil"/>
              <w:bottom w:val="single" w:sz="4" w:space="0" w:color="auto"/>
              <w:right w:val="single" w:sz="4" w:space="0" w:color="auto"/>
            </w:tcBorders>
            <w:noWrap/>
            <w:vAlign w:val="bottom"/>
            <w:hideMark/>
          </w:tcPr>
          <w:p w14:paraId="037A425A"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0450339E"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13D8DB5D"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195.925,88</w:t>
            </w:r>
          </w:p>
        </w:tc>
        <w:tc>
          <w:tcPr>
            <w:tcW w:w="1080" w:type="dxa"/>
            <w:tcBorders>
              <w:top w:val="single" w:sz="4" w:space="0" w:color="auto"/>
              <w:left w:val="nil"/>
              <w:bottom w:val="single" w:sz="4" w:space="0" w:color="auto"/>
              <w:right w:val="single" w:sz="4" w:space="0" w:color="auto"/>
            </w:tcBorders>
            <w:noWrap/>
            <w:vAlign w:val="bottom"/>
            <w:hideMark/>
          </w:tcPr>
          <w:p w14:paraId="016443A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113,24%</w:t>
            </w:r>
          </w:p>
        </w:tc>
        <w:tc>
          <w:tcPr>
            <w:tcW w:w="980" w:type="dxa"/>
            <w:tcBorders>
              <w:top w:val="single" w:sz="4" w:space="0" w:color="auto"/>
              <w:left w:val="nil"/>
              <w:bottom w:val="single" w:sz="4" w:space="0" w:color="auto"/>
              <w:right w:val="single" w:sz="4" w:space="0" w:color="auto"/>
            </w:tcBorders>
            <w:noWrap/>
            <w:vAlign w:val="bottom"/>
            <w:hideMark/>
          </w:tcPr>
          <w:p w14:paraId="7E83E801"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403FDDD3"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32C84991" w14:textId="77777777" w:rsidR="00416D67" w:rsidRPr="00416D67" w:rsidRDefault="00416D67" w:rsidP="00416D67">
            <w:pPr>
              <w:rPr>
                <w:rFonts w:ascii="Arial" w:hAnsi="Arial" w:cs="Arial"/>
                <w:sz w:val="16"/>
                <w:szCs w:val="16"/>
              </w:rPr>
            </w:pPr>
            <w:r w:rsidRPr="00416D67">
              <w:rPr>
                <w:rFonts w:ascii="Arial" w:hAnsi="Arial" w:cs="Arial"/>
                <w:sz w:val="16"/>
                <w:szCs w:val="16"/>
              </w:rPr>
              <w:t>3291 Naknade za rad predstavničkih i izvršnih tijela, povjerenstava i slično</w:t>
            </w:r>
          </w:p>
        </w:tc>
        <w:tc>
          <w:tcPr>
            <w:tcW w:w="1520" w:type="dxa"/>
            <w:tcBorders>
              <w:top w:val="single" w:sz="4" w:space="0" w:color="auto"/>
              <w:left w:val="nil"/>
              <w:bottom w:val="single" w:sz="4" w:space="0" w:color="auto"/>
              <w:right w:val="single" w:sz="4" w:space="0" w:color="auto"/>
            </w:tcBorders>
            <w:noWrap/>
            <w:vAlign w:val="bottom"/>
            <w:hideMark/>
          </w:tcPr>
          <w:p w14:paraId="48BB05F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17.526,74</w:t>
            </w:r>
          </w:p>
        </w:tc>
        <w:tc>
          <w:tcPr>
            <w:tcW w:w="1280" w:type="dxa"/>
            <w:tcBorders>
              <w:top w:val="single" w:sz="4" w:space="0" w:color="auto"/>
              <w:left w:val="nil"/>
              <w:bottom w:val="single" w:sz="4" w:space="0" w:color="auto"/>
              <w:right w:val="single" w:sz="4" w:space="0" w:color="auto"/>
            </w:tcBorders>
            <w:noWrap/>
            <w:vAlign w:val="bottom"/>
            <w:hideMark/>
          </w:tcPr>
          <w:p w14:paraId="49E0706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4244140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48C21642"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45.881,23</w:t>
            </w:r>
          </w:p>
        </w:tc>
        <w:tc>
          <w:tcPr>
            <w:tcW w:w="1080" w:type="dxa"/>
            <w:tcBorders>
              <w:top w:val="single" w:sz="4" w:space="0" w:color="auto"/>
              <w:left w:val="nil"/>
              <w:bottom w:val="single" w:sz="4" w:space="0" w:color="auto"/>
              <w:right w:val="single" w:sz="4" w:space="0" w:color="auto"/>
            </w:tcBorders>
            <w:noWrap/>
            <w:vAlign w:val="bottom"/>
            <w:hideMark/>
          </w:tcPr>
          <w:p w14:paraId="58DCAC2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261,78%</w:t>
            </w:r>
          </w:p>
        </w:tc>
        <w:tc>
          <w:tcPr>
            <w:tcW w:w="980" w:type="dxa"/>
            <w:tcBorders>
              <w:top w:val="single" w:sz="4" w:space="0" w:color="auto"/>
              <w:left w:val="nil"/>
              <w:bottom w:val="single" w:sz="4" w:space="0" w:color="auto"/>
              <w:right w:val="single" w:sz="4" w:space="0" w:color="auto"/>
            </w:tcBorders>
            <w:noWrap/>
            <w:vAlign w:val="bottom"/>
            <w:hideMark/>
          </w:tcPr>
          <w:p w14:paraId="24C54DA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506C9216"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6D2DB44D" w14:textId="77777777" w:rsidR="00416D67" w:rsidRPr="00416D67" w:rsidRDefault="00416D67" w:rsidP="00416D67">
            <w:pPr>
              <w:rPr>
                <w:rFonts w:ascii="Arial" w:hAnsi="Arial" w:cs="Arial"/>
                <w:sz w:val="16"/>
                <w:szCs w:val="16"/>
              </w:rPr>
            </w:pPr>
            <w:r w:rsidRPr="00416D67">
              <w:rPr>
                <w:rFonts w:ascii="Arial" w:hAnsi="Arial" w:cs="Arial"/>
                <w:sz w:val="16"/>
                <w:szCs w:val="16"/>
              </w:rPr>
              <w:t>3292 Premije osiguranja</w:t>
            </w:r>
          </w:p>
        </w:tc>
        <w:tc>
          <w:tcPr>
            <w:tcW w:w="1520" w:type="dxa"/>
            <w:tcBorders>
              <w:top w:val="single" w:sz="4" w:space="0" w:color="auto"/>
              <w:left w:val="nil"/>
              <w:bottom w:val="single" w:sz="4" w:space="0" w:color="auto"/>
              <w:right w:val="single" w:sz="4" w:space="0" w:color="auto"/>
            </w:tcBorders>
            <w:noWrap/>
            <w:vAlign w:val="bottom"/>
            <w:hideMark/>
          </w:tcPr>
          <w:p w14:paraId="0D6AE736"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13.648,71</w:t>
            </w:r>
          </w:p>
        </w:tc>
        <w:tc>
          <w:tcPr>
            <w:tcW w:w="1280" w:type="dxa"/>
            <w:tcBorders>
              <w:top w:val="single" w:sz="4" w:space="0" w:color="auto"/>
              <w:left w:val="nil"/>
              <w:bottom w:val="single" w:sz="4" w:space="0" w:color="auto"/>
              <w:right w:val="single" w:sz="4" w:space="0" w:color="auto"/>
            </w:tcBorders>
            <w:noWrap/>
            <w:vAlign w:val="bottom"/>
            <w:hideMark/>
          </w:tcPr>
          <w:p w14:paraId="5934B232"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55A50F1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3841BB6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14.625,21</w:t>
            </w:r>
          </w:p>
        </w:tc>
        <w:tc>
          <w:tcPr>
            <w:tcW w:w="1080" w:type="dxa"/>
            <w:tcBorders>
              <w:top w:val="single" w:sz="4" w:space="0" w:color="auto"/>
              <w:left w:val="nil"/>
              <w:bottom w:val="single" w:sz="4" w:space="0" w:color="auto"/>
              <w:right w:val="single" w:sz="4" w:space="0" w:color="auto"/>
            </w:tcBorders>
            <w:noWrap/>
            <w:vAlign w:val="bottom"/>
            <w:hideMark/>
          </w:tcPr>
          <w:p w14:paraId="4CBF3F86"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107,15%</w:t>
            </w:r>
          </w:p>
        </w:tc>
        <w:tc>
          <w:tcPr>
            <w:tcW w:w="980" w:type="dxa"/>
            <w:tcBorders>
              <w:top w:val="single" w:sz="4" w:space="0" w:color="auto"/>
              <w:left w:val="nil"/>
              <w:bottom w:val="single" w:sz="4" w:space="0" w:color="auto"/>
              <w:right w:val="single" w:sz="4" w:space="0" w:color="auto"/>
            </w:tcBorders>
            <w:noWrap/>
            <w:vAlign w:val="bottom"/>
            <w:hideMark/>
          </w:tcPr>
          <w:p w14:paraId="5FF4E11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37632765"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702D488E" w14:textId="77777777" w:rsidR="00416D67" w:rsidRPr="00416D67" w:rsidRDefault="00416D67" w:rsidP="00416D67">
            <w:pPr>
              <w:rPr>
                <w:rFonts w:ascii="Arial" w:hAnsi="Arial" w:cs="Arial"/>
                <w:sz w:val="16"/>
                <w:szCs w:val="16"/>
              </w:rPr>
            </w:pPr>
            <w:r w:rsidRPr="00416D67">
              <w:rPr>
                <w:rFonts w:ascii="Arial" w:hAnsi="Arial" w:cs="Arial"/>
                <w:sz w:val="16"/>
                <w:szCs w:val="16"/>
              </w:rPr>
              <w:t>3293 Reprezentacija</w:t>
            </w:r>
          </w:p>
        </w:tc>
        <w:tc>
          <w:tcPr>
            <w:tcW w:w="1520" w:type="dxa"/>
            <w:tcBorders>
              <w:top w:val="single" w:sz="4" w:space="0" w:color="auto"/>
              <w:left w:val="nil"/>
              <w:bottom w:val="single" w:sz="4" w:space="0" w:color="auto"/>
              <w:right w:val="single" w:sz="4" w:space="0" w:color="auto"/>
            </w:tcBorders>
            <w:noWrap/>
            <w:vAlign w:val="bottom"/>
            <w:hideMark/>
          </w:tcPr>
          <w:p w14:paraId="1445656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27.734,75</w:t>
            </w:r>
          </w:p>
        </w:tc>
        <w:tc>
          <w:tcPr>
            <w:tcW w:w="1280" w:type="dxa"/>
            <w:tcBorders>
              <w:top w:val="single" w:sz="4" w:space="0" w:color="auto"/>
              <w:left w:val="nil"/>
              <w:bottom w:val="single" w:sz="4" w:space="0" w:color="auto"/>
              <w:right w:val="single" w:sz="4" w:space="0" w:color="auto"/>
            </w:tcBorders>
            <w:noWrap/>
            <w:vAlign w:val="bottom"/>
            <w:hideMark/>
          </w:tcPr>
          <w:p w14:paraId="454EDC0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7D5BF5A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4BECAE5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36.608,14</w:t>
            </w:r>
          </w:p>
        </w:tc>
        <w:tc>
          <w:tcPr>
            <w:tcW w:w="1080" w:type="dxa"/>
            <w:tcBorders>
              <w:top w:val="single" w:sz="4" w:space="0" w:color="auto"/>
              <w:left w:val="nil"/>
              <w:bottom w:val="single" w:sz="4" w:space="0" w:color="auto"/>
              <w:right w:val="single" w:sz="4" w:space="0" w:color="auto"/>
            </w:tcBorders>
            <w:noWrap/>
            <w:vAlign w:val="bottom"/>
            <w:hideMark/>
          </w:tcPr>
          <w:p w14:paraId="51E9E86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131,99%</w:t>
            </w:r>
          </w:p>
        </w:tc>
        <w:tc>
          <w:tcPr>
            <w:tcW w:w="980" w:type="dxa"/>
            <w:tcBorders>
              <w:top w:val="single" w:sz="4" w:space="0" w:color="auto"/>
              <w:left w:val="nil"/>
              <w:bottom w:val="single" w:sz="4" w:space="0" w:color="auto"/>
              <w:right w:val="single" w:sz="4" w:space="0" w:color="auto"/>
            </w:tcBorders>
            <w:noWrap/>
            <w:vAlign w:val="bottom"/>
            <w:hideMark/>
          </w:tcPr>
          <w:p w14:paraId="158556E4"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0A7A7E78"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71EB1ADD" w14:textId="77777777" w:rsidR="00416D67" w:rsidRPr="00416D67" w:rsidRDefault="00416D67" w:rsidP="00416D67">
            <w:pPr>
              <w:rPr>
                <w:rFonts w:ascii="Arial" w:hAnsi="Arial" w:cs="Arial"/>
                <w:sz w:val="16"/>
                <w:szCs w:val="16"/>
              </w:rPr>
            </w:pPr>
            <w:r w:rsidRPr="00416D67">
              <w:rPr>
                <w:rFonts w:ascii="Arial" w:hAnsi="Arial" w:cs="Arial"/>
                <w:sz w:val="16"/>
                <w:szCs w:val="16"/>
              </w:rPr>
              <w:t>3294 Članarine i norme</w:t>
            </w:r>
          </w:p>
        </w:tc>
        <w:tc>
          <w:tcPr>
            <w:tcW w:w="1520" w:type="dxa"/>
            <w:tcBorders>
              <w:top w:val="single" w:sz="4" w:space="0" w:color="auto"/>
              <w:left w:val="nil"/>
              <w:bottom w:val="single" w:sz="4" w:space="0" w:color="auto"/>
              <w:right w:val="single" w:sz="4" w:space="0" w:color="auto"/>
            </w:tcBorders>
            <w:noWrap/>
            <w:vAlign w:val="bottom"/>
            <w:hideMark/>
          </w:tcPr>
          <w:p w14:paraId="637293E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7.555,90</w:t>
            </w:r>
          </w:p>
        </w:tc>
        <w:tc>
          <w:tcPr>
            <w:tcW w:w="1280" w:type="dxa"/>
            <w:tcBorders>
              <w:top w:val="single" w:sz="4" w:space="0" w:color="auto"/>
              <w:left w:val="nil"/>
              <w:bottom w:val="single" w:sz="4" w:space="0" w:color="auto"/>
              <w:right w:val="single" w:sz="4" w:space="0" w:color="auto"/>
            </w:tcBorders>
            <w:noWrap/>
            <w:vAlign w:val="bottom"/>
            <w:hideMark/>
          </w:tcPr>
          <w:p w14:paraId="3DA2173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0E612ED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414F8942"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8.355,90</w:t>
            </w:r>
          </w:p>
        </w:tc>
        <w:tc>
          <w:tcPr>
            <w:tcW w:w="1080" w:type="dxa"/>
            <w:tcBorders>
              <w:top w:val="single" w:sz="4" w:space="0" w:color="auto"/>
              <w:left w:val="nil"/>
              <w:bottom w:val="single" w:sz="4" w:space="0" w:color="auto"/>
              <w:right w:val="single" w:sz="4" w:space="0" w:color="auto"/>
            </w:tcBorders>
            <w:noWrap/>
            <w:vAlign w:val="bottom"/>
            <w:hideMark/>
          </w:tcPr>
          <w:p w14:paraId="235192E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110,59%</w:t>
            </w:r>
          </w:p>
        </w:tc>
        <w:tc>
          <w:tcPr>
            <w:tcW w:w="980" w:type="dxa"/>
            <w:tcBorders>
              <w:top w:val="single" w:sz="4" w:space="0" w:color="auto"/>
              <w:left w:val="nil"/>
              <w:bottom w:val="single" w:sz="4" w:space="0" w:color="auto"/>
              <w:right w:val="single" w:sz="4" w:space="0" w:color="auto"/>
            </w:tcBorders>
            <w:noWrap/>
            <w:vAlign w:val="bottom"/>
            <w:hideMark/>
          </w:tcPr>
          <w:p w14:paraId="0B7E61C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377615E1"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18526D48" w14:textId="77777777" w:rsidR="00416D67" w:rsidRPr="00416D67" w:rsidRDefault="00416D67" w:rsidP="00416D67">
            <w:pPr>
              <w:rPr>
                <w:rFonts w:ascii="Arial" w:hAnsi="Arial" w:cs="Arial"/>
                <w:sz w:val="16"/>
                <w:szCs w:val="16"/>
              </w:rPr>
            </w:pPr>
            <w:r w:rsidRPr="00416D67">
              <w:rPr>
                <w:rFonts w:ascii="Arial" w:hAnsi="Arial" w:cs="Arial"/>
                <w:sz w:val="16"/>
                <w:szCs w:val="16"/>
              </w:rPr>
              <w:t>3295 Pristojbe i naknade</w:t>
            </w:r>
          </w:p>
        </w:tc>
        <w:tc>
          <w:tcPr>
            <w:tcW w:w="1520" w:type="dxa"/>
            <w:tcBorders>
              <w:top w:val="single" w:sz="4" w:space="0" w:color="auto"/>
              <w:left w:val="nil"/>
              <w:bottom w:val="single" w:sz="4" w:space="0" w:color="auto"/>
              <w:right w:val="single" w:sz="4" w:space="0" w:color="auto"/>
            </w:tcBorders>
            <w:noWrap/>
            <w:vAlign w:val="bottom"/>
            <w:hideMark/>
          </w:tcPr>
          <w:p w14:paraId="2D3712A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13.176,91</w:t>
            </w:r>
          </w:p>
        </w:tc>
        <w:tc>
          <w:tcPr>
            <w:tcW w:w="1280" w:type="dxa"/>
            <w:tcBorders>
              <w:top w:val="single" w:sz="4" w:space="0" w:color="auto"/>
              <w:left w:val="nil"/>
              <w:bottom w:val="single" w:sz="4" w:space="0" w:color="auto"/>
              <w:right w:val="single" w:sz="4" w:space="0" w:color="auto"/>
            </w:tcBorders>
            <w:noWrap/>
            <w:vAlign w:val="bottom"/>
            <w:hideMark/>
          </w:tcPr>
          <w:p w14:paraId="34D3BD6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3A14FFD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52A8A204"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13.948,63</w:t>
            </w:r>
          </w:p>
        </w:tc>
        <w:tc>
          <w:tcPr>
            <w:tcW w:w="1080" w:type="dxa"/>
            <w:tcBorders>
              <w:top w:val="single" w:sz="4" w:space="0" w:color="auto"/>
              <w:left w:val="nil"/>
              <w:bottom w:val="single" w:sz="4" w:space="0" w:color="auto"/>
              <w:right w:val="single" w:sz="4" w:space="0" w:color="auto"/>
            </w:tcBorders>
            <w:noWrap/>
            <w:vAlign w:val="bottom"/>
            <w:hideMark/>
          </w:tcPr>
          <w:p w14:paraId="2A5C606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105,86%</w:t>
            </w:r>
          </w:p>
        </w:tc>
        <w:tc>
          <w:tcPr>
            <w:tcW w:w="980" w:type="dxa"/>
            <w:tcBorders>
              <w:top w:val="single" w:sz="4" w:space="0" w:color="auto"/>
              <w:left w:val="nil"/>
              <w:bottom w:val="single" w:sz="4" w:space="0" w:color="auto"/>
              <w:right w:val="single" w:sz="4" w:space="0" w:color="auto"/>
            </w:tcBorders>
            <w:noWrap/>
            <w:vAlign w:val="bottom"/>
            <w:hideMark/>
          </w:tcPr>
          <w:p w14:paraId="34EB06F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678AD82A"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483239C5" w14:textId="77777777" w:rsidR="00416D67" w:rsidRPr="00416D67" w:rsidRDefault="00416D67" w:rsidP="00416D67">
            <w:pPr>
              <w:rPr>
                <w:rFonts w:ascii="Arial" w:hAnsi="Arial" w:cs="Arial"/>
                <w:sz w:val="16"/>
                <w:szCs w:val="16"/>
              </w:rPr>
            </w:pPr>
            <w:r w:rsidRPr="00416D67">
              <w:rPr>
                <w:rFonts w:ascii="Arial" w:hAnsi="Arial" w:cs="Arial"/>
                <w:sz w:val="16"/>
                <w:szCs w:val="16"/>
              </w:rPr>
              <w:t>3299 Ostali nespomenuti rashodi poslovanja</w:t>
            </w:r>
          </w:p>
        </w:tc>
        <w:tc>
          <w:tcPr>
            <w:tcW w:w="1520" w:type="dxa"/>
            <w:tcBorders>
              <w:top w:val="single" w:sz="4" w:space="0" w:color="auto"/>
              <w:left w:val="nil"/>
              <w:bottom w:val="single" w:sz="4" w:space="0" w:color="auto"/>
              <w:right w:val="single" w:sz="4" w:space="0" w:color="auto"/>
            </w:tcBorders>
            <w:noWrap/>
            <w:vAlign w:val="bottom"/>
            <w:hideMark/>
          </w:tcPr>
          <w:p w14:paraId="49DF1D06"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93.371,85</w:t>
            </w:r>
          </w:p>
        </w:tc>
        <w:tc>
          <w:tcPr>
            <w:tcW w:w="1280" w:type="dxa"/>
            <w:tcBorders>
              <w:top w:val="single" w:sz="4" w:space="0" w:color="auto"/>
              <w:left w:val="nil"/>
              <w:bottom w:val="single" w:sz="4" w:space="0" w:color="auto"/>
              <w:right w:val="single" w:sz="4" w:space="0" w:color="auto"/>
            </w:tcBorders>
            <w:noWrap/>
            <w:vAlign w:val="bottom"/>
            <w:hideMark/>
          </w:tcPr>
          <w:p w14:paraId="0F693C9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5345EBF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3C79E8F3"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76.506,77</w:t>
            </w:r>
          </w:p>
        </w:tc>
        <w:tc>
          <w:tcPr>
            <w:tcW w:w="1080" w:type="dxa"/>
            <w:tcBorders>
              <w:top w:val="single" w:sz="4" w:space="0" w:color="auto"/>
              <w:left w:val="nil"/>
              <w:bottom w:val="single" w:sz="4" w:space="0" w:color="auto"/>
              <w:right w:val="single" w:sz="4" w:space="0" w:color="auto"/>
            </w:tcBorders>
            <w:noWrap/>
            <w:vAlign w:val="bottom"/>
            <w:hideMark/>
          </w:tcPr>
          <w:p w14:paraId="2BEA8F0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81,94%</w:t>
            </w:r>
          </w:p>
        </w:tc>
        <w:tc>
          <w:tcPr>
            <w:tcW w:w="980" w:type="dxa"/>
            <w:tcBorders>
              <w:top w:val="single" w:sz="4" w:space="0" w:color="auto"/>
              <w:left w:val="nil"/>
              <w:bottom w:val="single" w:sz="4" w:space="0" w:color="auto"/>
              <w:right w:val="single" w:sz="4" w:space="0" w:color="auto"/>
            </w:tcBorders>
            <w:noWrap/>
            <w:vAlign w:val="bottom"/>
            <w:hideMark/>
          </w:tcPr>
          <w:p w14:paraId="607E4786"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0DC03647"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5493A018"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34 Financijski rashodi</w:t>
            </w:r>
          </w:p>
        </w:tc>
        <w:tc>
          <w:tcPr>
            <w:tcW w:w="1520" w:type="dxa"/>
            <w:tcBorders>
              <w:top w:val="single" w:sz="4" w:space="0" w:color="auto"/>
              <w:left w:val="nil"/>
              <w:bottom w:val="single" w:sz="4" w:space="0" w:color="auto"/>
              <w:right w:val="single" w:sz="4" w:space="0" w:color="auto"/>
            </w:tcBorders>
            <w:noWrap/>
            <w:vAlign w:val="bottom"/>
            <w:hideMark/>
          </w:tcPr>
          <w:p w14:paraId="3E719495"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21.204,54</w:t>
            </w:r>
          </w:p>
        </w:tc>
        <w:tc>
          <w:tcPr>
            <w:tcW w:w="1280" w:type="dxa"/>
            <w:tcBorders>
              <w:top w:val="single" w:sz="4" w:space="0" w:color="auto"/>
              <w:left w:val="nil"/>
              <w:bottom w:val="single" w:sz="4" w:space="0" w:color="auto"/>
              <w:right w:val="single" w:sz="4" w:space="0" w:color="auto"/>
            </w:tcBorders>
            <w:noWrap/>
            <w:vAlign w:val="bottom"/>
            <w:hideMark/>
          </w:tcPr>
          <w:p w14:paraId="265DE622"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42.841,75</w:t>
            </w:r>
          </w:p>
        </w:tc>
        <w:tc>
          <w:tcPr>
            <w:tcW w:w="1260" w:type="dxa"/>
            <w:tcBorders>
              <w:top w:val="single" w:sz="4" w:space="0" w:color="auto"/>
              <w:left w:val="nil"/>
              <w:bottom w:val="single" w:sz="4" w:space="0" w:color="auto"/>
              <w:right w:val="single" w:sz="4" w:space="0" w:color="auto"/>
            </w:tcBorders>
            <w:noWrap/>
            <w:vAlign w:val="bottom"/>
            <w:hideMark/>
          </w:tcPr>
          <w:p w14:paraId="7B525D32"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42.841,75</w:t>
            </w:r>
          </w:p>
        </w:tc>
        <w:tc>
          <w:tcPr>
            <w:tcW w:w="1320" w:type="dxa"/>
            <w:tcBorders>
              <w:top w:val="single" w:sz="4" w:space="0" w:color="auto"/>
              <w:left w:val="nil"/>
              <w:bottom w:val="single" w:sz="4" w:space="0" w:color="auto"/>
              <w:right w:val="single" w:sz="4" w:space="0" w:color="auto"/>
            </w:tcBorders>
            <w:noWrap/>
            <w:vAlign w:val="bottom"/>
            <w:hideMark/>
          </w:tcPr>
          <w:p w14:paraId="21CE45DF"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33.707,47</w:t>
            </w:r>
          </w:p>
        </w:tc>
        <w:tc>
          <w:tcPr>
            <w:tcW w:w="1080" w:type="dxa"/>
            <w:tcBorders>
              <w:top w:val="single" w:sz="4" w:space="0" w:color="auto"/>
              <w:left w:val="nil"/>
              <w:bottom w:val="single" w:sz="4" w:space="0" w:color="auto"/>
              <w:right w:val="single" w:sz="4" w:space="0" w:color="auto"/>
            </w:tcBorders>
            <w:noWrap/>
            <w:vAlign w:val="bottom"/>
            <w:hideMark/>
          </w:tcPr>
          <w:p w14:paraId="015B357C"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158,96%</w:t>
            </w:r>
          </w:p>
        </w:tc>
        <w:tc>
          <w:tcPr>
            <w:tcW w:w="980" w:type="dxa"/>
            <w:tcBorders>
              <w:top w:val="single" w:sz="4" w:space="0" w:color="auto"/>
              <w:left w:val="nil"/>
              <w:bottom w:val="single" w:sz="4" w:space="0" w:color="auto"/>
              <w:right w:val="single" w:sz="4" w:space="0" w:color="auto"/>
            </w:tcBorders>
            <w:noWrap/>
            <w:vAlign w:val="bottom"/>
            <w:hideMark/>
          </w:tcPr>
          <w:p w14:paraId="231F95BD"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78,68%</w:t>
            </w:r>
          </w:p>
        </w:tc>
      </w:tr>
      <w:tr w:rsidR="00416D67" w:rsidRPr="00416D67" w14:paraId="04F7009D"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21EEECC4"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342 Kamate za primljene kredite i zajmove</w:t>
            </w:r>
          </w:p>
        </w:tc>
        <w:tc>
          <w:tcPr>
            <w:tcW w:w="1520" w:type="dxa"/>
            <w:tcBorders>
              <w:top w:val="single" w:sz="4" w:space="0" w:color="auto"/>
              <w:left w:val="nil"/>
              <w:bottom w:val="single" w:sz="4" w:space="0" w:color="auto"/>
              <w:right w:val="single" w:sz="4" w:space="0" w:color="auto"/>
            </w:tcBorders>
            <w:noWrap/>
            <w:vAlign w:val="bottom"/>
            <w:hideMark/>
          </w:tcPr>
          <w:p w14:paraId="65FDE86A"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4.728,09</w:t>
            </w:r>
          </w:p>
        </w:tc>
        <w:tc>
          <w:tcPr>
            <w:tcW w:w="1280" w:type="dxa"/>
            <w:tcBorders>
              <w:top w:val="single" w:sz="4" w:space="0" w:color="auto"/>
              <w:left w:val="nil"/>
              <w:bottom w:val="single" w:sz="4" w:space="0" w:color="auto"/>
              <w:right w:val="single" w:sz="4" w:space="0" w:color="auto"/>
            </w:tcBorders>
            <w:noWrap/>
            <w:vAlign w:val="bottom"/>
            <w:hideMark/>
          </w:tcPr>
          <w:p w14:paraId="58CA1E75"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5CFF5EE5"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4BE862B7"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3.809,17</w:t>
            </w:r>
          </w:p>
        </w:tc>
        <w:tc>
          <w:tcPr>
            <w:tcW w:w="1080" w:type="dxa"/>
            <w:tcBorders>
              <w:top w:val="single" w:sz="4" w:space="0" w:color="auto"/>
              <w:left w:val="nil"/>
              <w:bottom w:val="single" w:sz="4" w:space="0" w:color="auto"/>
              <w:right w:val="single" w:sz="4" w:space="0" w:color="auto"/>
            </w:tcBorders>
            <w:noWrap/>
            <w:vAlign w:val="bottom"/>
            <w:hideMark/>
          </w:tcPr>
          <w:p w14:paraId="2D1FD30F"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80,56%</w:t>
            </w:r>
          </w:p>
        </w:tc>
        <w:tc>
          <w:tcPr>
            <w:tcW w:w="980" w:type="dxa"/>
            <w:tcBorders>
              <w:top w:val="single" w:sz="4" w:space="0" w:color="auto"/>
              <w:left w:val="nil"/>
              <w:bottom w:val="single" w:sz="4" w:space="0" w:color="auto"/>
              <w:right w:val="single" w:sz="4" w:space="0" w:color="auto"/>
            </w:tcBorders>
            <w:noWrap/>
            <w:vAlign w:val="bottom"/>
            <w:hideMark/>
          </w:tcPr>
          <w:p w14:paraId="38F0B25A"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54D39862" w14:textId="77777777" w:rsidTr="00BB1392">
        <w:trPr>
          <w:trHeight w:val="319"/>
        </w:trPr>
        <w:tc>
          <w:tcPr>
            <w:tcW w:w="6780" w:type="dxa"/>
            <w:tcBorders>
              <w:top w:val="single" w:sz="4" w:space="0" w:color="auto"/>
              <w:left w:val="single" w:sz="4" w:space="0" w:color="auto"/>
              <w:bottom w:val="single" w:sz="4" w:space="0" w:color="auto"/>
              <w:right w:val="single" w:sz="4" w:space="0" w:color="auto"/>
            </w:tcBorders>
            <w:vAlign w:val="bottom"/>
            <w:hideMark/>
          </w:tcPr>
          <w:p w14:paraId="12DF3951" w14:textId="77777777" w:rsidR="00416D67" w:rsidRPr="00416D67" w:rsidRDefault="00416D67" w:rsidP="00416D67">
            <w:pPr>
              <w:rPr>
                <w:rFonts w:ascii="Arial" w:hAnsi="Arial" w:cs="Arial"/>
                <w:sz w:val="16"/>
                <w:szCs w:val="16"/>
              </w:rPr>
            </w:pPr>
            <w:r w:rsidRPr="00416D67">
              <w:rPr>
                <w:rFonts w:ascii="Arial" w:hAnsi="Arial" w:cs="Arial"/>
                <w:sz w:val="16"/>
                <w:szCs w:val="16"/>
              </w:rPr>
              <w:t>3423 Kamate za primljene kredite i zajmove od kreditnih i ostalih financijskih institucija izvan javnog sektora</w:t>
            </w:r>
          </w:p>
        </w:tc>
        <w:tc>
          <w:tcPr>
            <w:tcW w:w="1520" w:type="dxa"/>
            <w:tcBorders>
              <w:top w:val="single" w:sz="4" w:space="0" w:color="auto"/>
              <w:left w:val="nil"/>
              <w:bottom w:val="single" w:sz="4" w:space="0" w:color="auto"/>
              <w:right w:val="single" w:sz="4" w:space="0" w:color="auto"/>
            </w:tcBorders>
            <w:noWrap/>
            <w:vAlign w:val="bottom"/>
            <w:hideMark/>
          </w:tcPr>
          <w:p w14:paraId="18A6875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4.728,09</w:t>
            </w:r>
          </w:p>
        </w:tc>
        <w:tc>
          <w:tcPr>
            <w:tcW w:w="1280" w:type="dxa"/>
            <w:tcBorders>
              <w:top w:val="single" w:sz="4" w:space="0" w:color="auto"/>
              <w:left w:val="nil"/>
              <w:bottom w:val="single" w:sz="4" w:space="0" w:color="auto"/>
              <w:right w:val="single" w:sz="4" w:space="0" w:color="auto"/>
            </w:tcBorders>
            <w:noWrap/>
            <w:vAlign w:val="bottom"/>
            <w:hideMark/>
          </w:tcPr>
          <w:p w14:paraId="47A2967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4373B4E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48F052BE"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3.809,17</w:t>
            </w:r>
          </w:p>
        </w:tc>
        <w:tc>
          <w:tcPr>
            <w:tcW w:w="1080" w:type="dxa"/>
            <w:tcBorders>
              <w:top w:val="single" w:sz="4" w:space="0" w:color="auto"/>
              <w:left w:val="nil"/>
              <w:bottom w:val="single" w:sz="4" w:space="0" w:color="auto"/>
              <w:right w:val="single" w:sz="4" w:space="0" w:color="auto"/>
            </w:tcBorders>
            <w:noWrap/>
            <w:vAlign w:val="bottom"/>
            <w:hideMark/>
          </w:tcPr>
          <w:p w14:paraId="46A325C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80,56%</w:t>
            </w:r>
          </w:p>
        </w:tc>
        <w:tc>
          <w:tcPr>
            <w:tcW w:w="980" w:type="dxa"/>
            <w:tcBorders>
              <w:top w:val="single" w:sz="4" w:space="0" w:color="auto"/>
              <w:left w:val="nil"/>
              <w:bottom w:val="single" w:sz="4" w:space="0" w:color="auto"/>
              <w:right w:val="single" w:sz="4" w:space="0" w:color="auto"/>
            </w:tcBorders>
            <w:noWrap/>
            <w:vAlign w:val="bottom"/>
            <w:hideMark/>
          </w:tcPr>
          <w:p w14:paraId="7BED2C9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01064837"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5489BC0B"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343 Ostali financijski rashodi</w:t>
            </w:r>
          </w:p>
        </w:tc>
        <w:tc>
          <w:tcPr>
            <w:tcW w:w="1520" w:type="dxa"/>
            <w:tcBorders>
              <w:top w:val="single" w:sz="4" w:space="0" w:color="auto"/>
              <w:left w:val="nil"/>
              <w:bottom w:val="single" w:sz="4" w:space="0" w:color="auto"/>
              <w:right w:val="single" w:sz="4" w:space="0" w:color="auto"/>
            </w:tcBorders>
            <w:noWrap/>
            <w:vAlign w:val="bottom"/>
            <w:hideMark/>
          </w:tcPr>
          <w:p w14:paraId="42FFE709"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16.476,45</w:t>
            </w:r>
          </w:p>
        </w:tc>
        <w:tc>
          <w:tcPr>
            <w:tcW w:w="1280" w:type="dxa"/>
            <w:tcBorders>
              <w:top w:val="single" w:sz="4" w:space="0" w:color="auto"/>
              <w:left w:val="nil"/>
              <w:bottom w:val="single" w:sz="4" w:space="0" w:color="auto"/>
              <w:right w:val="single" w:sz="4" w:space="0" w:color="auto"/>
            </w:tcBorders>
            <w:noWrap/>
            <w:vAlign w:val="bottom"/>
            <w:hideMark/>
          </w:tcPr>
          <w:p w14:paraId="6E4F1377"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6AAABC35"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33032063"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29.898,30</w:t>
            </w:r>
          </w:p>
        </w:tc>
        <w:tc>
          <w:tcPr>
            <w:tcW w:w="1080" w:type="dxa"/>
            <w:tcBorders>
              <w:top w:val="single" w:sz="4" w:space="0" w:color="auto"/>
              <w:left w:val="nil"/>
              <w:bottom w:val="single" w:sz="4" w:space="0" w:color="auto"/>
              <w:right w:val="single" w:sz="4" w:space="0" w:color="auto"/>
            </w:tcBorders>
            <w:noWrap/>
            <w:vAlign w:val="bottom"/>
            <w:hideMark/>
          </w:tcPr>
          <w:p w14:paraId="19FE355B"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181,46%</w:t>
            </w:r>
          </w:p>
        </w:tc>
        <w:tc>
          <w:tcPr>
            <w:tcW w:w="980" w:type="dxa"/>
            <w:tcBorders>
              <w:top w:val="single" w:sz="4" w:space="0" w:color="auto"/>
              <w:left w:val="nil"/>
              <w:bottom w:val="single" w:sz="4" w:space="0" w:color="auto"/>
              <w:right w:val="single" w:sz="4" w:space="0" w:color="auto"/>
            </w:tcBorders>
            <w:noWrap/>
            <w:vAlign w:val="bottom"/>
            <w:hideMark/>
          </w:tcPr>
          <w:p w14:paraId="4851B129"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4752D1FF"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690D230B" w14:textId="77777777" w:rsidR="00416D67" w:rsidRPr="00416D67" w:rsidRDefault="00416D67" w:rsidP="00416D67">
            <w:pPr>
              <w:rPr>
                <w:rFonts w:ascii="Arial" w:hAnsi="Arial" w:cs="Arial"/>
                <w:sz w:val="16"/>
                <w:szCs w:val="16"/>
              </w:rPr>
            </w:pPr>
            <w:r w:rsidRPr="00416D67">
              <w:rPr>
                <w:rFonts w:ascii="Arial" w:hAnsi="Arial" w:cs="Arial"/>
                <w:sz w:val="16"/>
                <w:szCs w:val="16"/>
              </w:rPr>
              <w:t>3431 Bankarske usluge i usluge platnog prometa</w:t>
            </w:r>
          </w:p>
        </w:tc>
        <w:tc>
          <w:tcPr>
            <w:tcW w:w="1520" w:type="dxa"/>
            <w:tcBorders>
              <w:top w:val="single" w:sz="4" w:space="0" w:color="auto"/>
              <w:left w:val="nil"/>
              <w:bottom w:val="single" w:sz="4" w:space="0" w:color="auto"/>
              <w:right w:val="single" w:sz="4" w:space="0" w:color="auto"/>
            </w:tcBorders>
            <w:noWrap/>
            <w:vAlign w:val="bottom"/>
            <w:hideMark/>
          </w:tcPr>
          <w:p w14:paraId="38065EA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3.884,66</w:t>
            </w:r>
          </w:p>
        </w:tc>
        <w:tc>
          <w:tcPr>
            <w:tcW w:w="1280" w:type="dxa"/>
            <w:tcBorders>
              <w:top w:val="single" w:sz="4" w:space="0" w:color="auto"/>
              <w:left w:val="nil"/>
              <w:bottom w:val="single" w:sz="4" w:space="0" w:color="auto"/>
              <w:right w:val="single" w:sz="4" w:space="0" w:color="auto"/>
            </w:tcBorders>
            <w:noWrap/>
            <w:vAlign w:val="bottom"/>
            <w:hideMark/>
          </w:tcPr>
          <w:p w14:paraId="6768E834"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3EA1090E"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42E522B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4.133,75</w:t>
            </w:r>
          </w:p>
        </w:tc>
        <w:tc>
          <w:tcPr>
            <w:tcW w:w="1080" w:type="dxa"/>
            <w:tcBorders>
              <w:top w:val="single" w:sz="4" w:space="0" w:color="auto"/>
              <w:left w:val="nil"/>
              <w:bottom w:val="single" w:sz="4" w:space="0" w:color="auto"/>
              <w:right w:val="single" w:sz="4" w:space="0" w:color="auto"/>
            </w:tcBorders>
            <w:noWrap/>
            <w:vAlign w:val="bottom"/>
            <w:hideMark/>
          </w:tcPr>
          <w:p w14:paraId="6B71D55E"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106,41%</w:t>
            </w:r>
          </w:p>
        </w:tc>
        <w:tc>
          <w:tcPr>
            <w:tcW w:w="980" w:type="dxa"/>
            <w:tcBorders>
              <w:top w:val="single" w:sz="4" w:space="0" w:color="auto"/>
              <w:left w:val="nil"/>
              <w:bottom w:val="single" w:sz="4" w:space="0" w:color="auto"/>
              <w:right w:val="single" w:sz="4" w:space="0" w:color="auto"/>
            </w:tcBorders>
            <w:noWrap/>
            <w:vAlign w:val="bottom"/>
            <w:hideMark/>
          </w:tcPr>
          <w:p w14:paraId="09135FE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32D7D66A"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4F4EFC80" w14:textId="77777777" w:rsidR="00416D67" w:rsidRPr="00416D67" w:rsidRDefault="00416D67" w:rsidP="00416D67">
            <w:pPr>
              <w:rPr>
                <w:rFonts w:ascii="Arial" w:hAnsi="Arial" w:cs="Arial"/>
                <w:sz w:val="16"/>
                <w:szCs w:val="16"/>
              </w:rPr>
            </w:pPr>
            <w:r w:rsidRPr="00416D67">
              <w:rPr>
                <w:rFonts w:ascii="Arial" w:hAnsi="Arial" w:cs="Arial"/>
                <w:sz w:val="16"/>
                <w:szCs w:val="16"/>
              </w:rPr>
              <w:t>3433 Zatezne kamate</w:t>
            </w:r>
          </w:p>
        </w:tc>
        <w:tc>
          <w:tcPr>
            <w:tcW w:w="1520" w:type="dxa"/>
            <w:tcBorders>
              <w:top w:val="single" w:sz="4" w:space="0" w:color="auto"/>
              <w:left w:val="nil"/>
              <w:bottom w:val="single" w:sz="4" w:space="0" w:color="auto"/>
              <w:right w:val="single" w:sz="4" w:space="0" w:color="auto"/>
            </w:tcBorders>
            <w:noWrap/>
            <w:vAlign w:val="bottom"/>
            <w:hideMark/>
          </w:tcPr>
          <w:p w14:paraId="2439A4A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147,40</w:t>
            </w:r>
          </w:p>
        </w:tc>
        <w:tc>
          <w:tcPr>
            <w:tcW w:w="1280" w:type="dxa"/>
            <w:tcBorders>
              <w:top w:val="single" w:sz="4" w:space="0" w:color="auto"/>
              <w:left w:val="nil"/>
              <w:bottom w:val="single" w:sz="4" w:space="0" w:color="auto"/>
              <w:right w:val="single" w:sz="4" w:space="0" w:color="auto"/>
            </w:tcBorders>
            <w:noWrap/>
            <w:vAlign w:val="bottom"/>
            <w:hideMark/>
          </w:tcPr>
          <w:p w14:paraId="526F431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116D6C5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2DE2658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26,27</w:t>
            </w:r>
          </w:p>
        </w:tc>
        <w:tc>
          <w:tcPr>
            <w:tcW w:w="1080" w:type="dxa"/>
            <w:tcBorders>
              <w:top w:val="single" w:sz="4" w:space="0" w:color="auto"/>
              <w:left w:val="nil"/>
              <w:bottom w:val="single" w:sz="4" w:space="0" w:color="auto"/>
              <w:right w:val="single" w:sz="4" w:space="0" w:color="auto"/>
            </w:tcBorders>
            <w:noWrap/>
            <w:vAlign w:val="bottom"/>
            <w:hideMark/>
          </w:tcPr>
          <w:p w14:paraId="615CD12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17,82%</w:t>
            </w:r>
          </w:p>
        </w:tc>
        <w:tc>
          <w:tcPr>
            <w:tcW w:w="980" w:type="dxa"/>
            <w:tcBorders>
              <w:top w:val="single" w:sz="4" w:space="0" w:color="auto"/>
              <w:left w:val="nil"/>
              <w:bottom w:val="single" w:sz="4" w:space="0" w:color="auto"/>
              <w:right w:val="single" w:sz="4" w:space="0" w:color="auto"/>
            </w:tcBorders>
            <w:noWrap/>
            <w:vAlign w:val="bottom"/>
            <w:hideMark/>
          </w:tcPr>
          <w:p w14:paraId="40D1272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3E097479"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1D4972C8" w14:textId="77777777" w:rsidR="00416D67" w:rsidRPr="00416D67" w:rsidRDefault="00416D67" w:rsidP="00416D67">
            <w:pPr>
              <w:rPr>
                <w:rFonts w:ascii="Arial" w:hAnsi="Arial" w:cs="Arial"/>
                <w:sz w:val="16"/>
                <w:szCs w:val="16"/>
              </w:rPr>
            </w:pPr>
            <w:r w:rsidRPr="00416D67">
              <w:rPr>
                <w:rFonts w:ascii="Arial" w:hAnsi="Arial" w:cs="Arial"/>
                <w:sz w:val="16"/>
                <w:szCs w:val="16"/>
              </w:rPr>
              <w:t>3434 Ostali nespomenuti financijski rashodi</w:t>
            </w:r>
          </w:p>
        </w:tc>
        <w:tc>
          <w:tcPr>
            <w:tcW w:w="1520" w:type="dxa"/>
            <w:tcBorders>
              <w:top w:val="single" w:sz="4" w:space="0" w:color="auto"/>
              <w:left w:val="nil"/>
              <w:bottom w:val="single" w:sz="4" w:space="0" w:color="auto"/>
              <w:right w:val="single" w:sz="4" w:space="0" w:color="auto"/>
            </w:tcBorders>
            <w:noWrap/>
            <w:vAlign w:val="bottom"/>
            <w:hideMark/>
          </w:tcPr>
          <w:p w14:paraId="25C5271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12.444,39</w:t>
            </w:r>
          </w:p>
        </w:tc>
        <w:tc>
          <w:tcPr>
            <w:tcW w:w="1280" w:type="dxa"/>
            <w:tcBorders>
              <w:top w:val="single" w:sz="4" w:space="0" w:color="auto"/>
              <w:left w:val="nil"/>
              <w:bottom w:val="single" w:sz="4" w:space="0" w:color="auto"/>
              <w:right w:val="single" w:sz="4" w:space="0" w:color="auto"/>
            </w:tcBorders>
            <w:noWrap/>
            <w:vAlign w:val="bottom"/>
            <w:hideMark/>
          </w:tcPr>
          <w:p w14:paraId="17788AC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067182D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4BB6081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25.738,28</w:t>
            </w:r>
          </w:p>
        </w:tc>
        <w:tc>
          <w:tcPr>
            <w:tcW w:w="1080" w:type="dxa"/>
            <w:tcBorders>
              <w:top w:val="single" w:sz="4" w:space="0" w:color="auto"/>
              <w:left w:val="nil"/>
              <w:bottom w:val="single" w:sz="4" w:space="0" w:color="auto"/>
              <w:right w:val="single" w:sz="4" w:space="0" w:color="auto"/>
            </w:tcBorders>
            <w:noWrap/>
            <w:vAlign w:val="bottom"/>
            <w:hideMark/>
          </w:tcPr>
          <w:p w14:paraId="21612FD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206,83%</w:t>
            </w:r>
          </w:p>
        </w:tc>
        <w:tc>
          <w:tcPr>
            <w:tcW w:w="980" w:type="dxa"/>
            <w:tcBorders>
              <w:top w:val="single" w:sz="4" w:space="0" w:color="auto"/>
              <w:left w:val="nil"/>
              <w:bottom w:val="single" w:sz="4" w:space="0" w:color="auto"/>
              <w:right w:val="single" w:sz="4" w:space="0" w:color="auto"/>
            </w:tcBorders>
            <w:noWrap/>
            <w:vAlign w:val="bottom"/>
            <w:hideMark/>
          </w:tcPr>
          <w:p w14:paraId="28757B5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1DADB915"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0BC624D2"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35 Subvencije</w:t>
            </w:r>
          </w:p>
        </w:tc>
        <w:tc>
          <w:tcPr>
            <w:tcW w:w="1520" w:type="dxa"/>
            <w:tcBorders>
              <w:top w:val="single" w:sz="4" w:space="0" w:color="auto"/>
              <w:left w:val="nil"/>
              <w:bottom w:val="single" w:sz="4" w:space="0" w:color="auto"/>
              <w:right w:val="single" w:sz="4" w:space="0" w:color="auto"/>
            </w:tcBorders>
            <w:noWrap/>
            <w:vAlign w:val="bottom"/>
            <w:hideMark/>
          </w:tcPr>
          <w:p w14:paraId="4B7F3E1E"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26.181,25</w:t>
            </w:r>
          </w:p>
        </w:tc>
        <w:tc>
          <w:tcPr>
            <w:tcW w:w="1280" w:type="dxa"/>
            <w:tcBorders>
              <w:top w:val="single" w:sz="4" w:space="0" w:color="auto"/>
              <w:left w:val="nil"/>
              <w:bottom w:val="single" w:sz="4" w:space="0" w:color="auto"/>
              <w:right w:val="single" w:sz="4" w:space="0" w:color="auto"/>
            </w:tcBorders>
            <w:noWrap/>
            <w:vAlign w:val="bottom"/>
            <w:hideMark/>
          </w:tcPr>
          <w:p w14:paraId="6B7ED6B8"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100.000,00</w:t>
            </w:r>
          </w:p>
        </w:tc>
        <w:tc>
          <w:tcPr>
            <w:tcW w:w="1260" w:type="dxa"/>
            <w:tcBorders>
              <w:top w:val="single" w:sz="4" w:space="0" w:color="auto"/>
              <w:left w:val="nil"/>
              <w:bottom w:val="single" w:sz="4" w:space="0" w:color="auto"/>
              <w:right w:val="single" w:sz="4" w:space="0" w:color="auto"/>
            </w:tcBorders>
            <w:noWrap/>
            <w:vAlign w:val="bottom"/>
            <w:hideMark/>
          </w:tcPr>
          <w:p w14:paraId="7C00382B"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101.650,00</w:t>
            </w:r>
          </w:p>
        </w:tc>
        <w:tc>
          <w:tcPr>
            <w:tcW w:w="1320" w:type="dxa"/>
            <w:tcBorders>
              <w:top w:val="single" w:sz="4" w:space="0" w:color="auto"/>
              <w:left w:val="nil"/>
              <w:bottom w:val="single" w:sz="4" w:space="0" w:color="auto"/>
              <w:right w:val="single" w:sz="4" w:space="0" w:color="auto"/>
            </w:tcBorders>
            <w:noWrap/>
            <w:vAlign w:val="bottom"/>
            <w:hideMark/>
          </w:tcPr>
          <w:p w14:paraId="2F77B60B"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100.692,11</w:t>
            </w:r>
          </w:p>
        </w:tc>
        <w:tc>
          <w:tcPr>
            <w:tcW w:w="1080" w:type="dxa"/>
            <w:tcBorders>
              <w:top w:val="single" w:sz="4" w:space="0" w:color="auto"/>
              <w:left w:val="nil"/>
              <w:bottom w:val="single" w:sz="4" w:space="0" w:color="auto"/>
              <w:right w:val="single" w:sz="4" w:space="0" w:color="auto"/>
            </w:tcBorders>
            <w:noWrap/>
            <w:vAlign w:val="bottom"/>
            <w:hideMark/>
          </w:tcPr>
          <w:p w14:paraId="1E8F978B"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384,60%</w:t>
            </w:r>
          </w:p>
        </w:tc>
        <w:tc>
          <w:tcPr>
            <w:tcW w:w="980" w:type="dxa"/>
            <w:tcBorders>
              <w:top w:val="single" w:sz="4" w:space="0" w:color="auto"/>
              <w:left w:val="nil"/>
              <w:bottom w:val="single" w:sz="4" w:space="0" w:color="auto"/>
              <w:right w:val="single" w:sz="4" w:space="0" w:color="auto"/>
            </w:tcBorders>
            <w:noWrap/>
            <w:vAlign w:val="bottom"/>
            <w:hideMark/>
          </w:tcPr>
          <w:p w14:paraId="05B57748"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99,06%</w:t>
            </w:r>
          </w:p>
        </w:tc>
      </w:tr>
      <w:tr w:rsidR="00416D67" w:rsidRPr="00416D67" w14:paraId="7E26AF2F"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vAlign w:val="bottom"/>
            <w:hideMark/>
          </w:tcPr>
          <w:p w14:paraId="2CA22FC0"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351 Subvencije kreditnim i ostalim financijskim institucijama i trgovačkim društvima u javnom sektoru</w:t>
            </w:r>
          </w:p>
        </w:tc>
        <w:tc>
          <w:tcPr>
            <w:tcW w:w="1520" w:type="dxa"/>
            <w:tcBorders>
              <w:top w:val="single" w:sz="4" w:space="0" w:color="auto"/>
              <w:left w:val="nil"/>
              <w:bottom w:val="single" w:sz="4" w:space="0" w:color="auto"/>
              <w:right w:val="single" w:sz="4" w:space="0" w:color="auto"/>
            </w:tcBorders>
            <w:noWrap/>
            <w:vAlign w:val="bottom"/>
            <w:hideMark/>
          </w:tcPr>
          <w:p w14:paraId="650E9969"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18.562,50</w:t>
            </w:r>
          </w:p>
        </w:tc>
        <w:tc>
          <w:tcPr>
            <w:tcW w:w="1280" w:type="dxa"/>
            <w:tcBorders>
              <w:top w:val="single" w:sz="4" w:space="0" w:color="auto"/>
              <w:left w:val="nil"/>
              <w:bottom w:val="single" w:sz="4" w:space="0" w:color="auto"/>
              <w:right w:val="single" w:sz="4" w:space="0" w:color="auto"/>
            </w:tcBorders>
            <w:noWrap/>
            <w:vAlign w:val="bottom"/>
            <w:hideMark/>
          </w:tcPr>
          <w:p w14:paraId="7C2047FA"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7D76452B"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3D486C7F"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63.538,36</w:t>
            </w:r>
          </w:p>
        </w:tc>
        <w:tc>
          <w:tcPr>
            <w:tcW w:w="1080" w:type="dxa"/>
            <w:tcBorders>
              <w:top w:val="single" w:sz="4" w:space="0" w:color="auto"/>
              <w:left w:val="nil"/>
              <w:bottom w:val="single" w:sz="4" w:space="0" w:color="auto"/>
              <w:right w:val="single" w:sz="4" w:space="0" w:color="auto"/>
            </w:tcBorders>
            <w:noWrap/>
            <w:vAlign w:val="bottom"/>
            <w:hideMark/>
          </w:tcPr>
          <w:p w14:paraId="1E7710F1"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342,29%</w:t>
            </w:r>
          </w:p>
        </w:tc>
        <w:tc>
          <w:tcPr>
            <w:tcW w:w="980" w:type="dxa"/>
            <w:tcBorders>
              <w:top w:val="single" w:sz="4" w:space="0" w:color="auto"/>
              <w:left w:val="nil"/>
              <w:bottom w:val="single" w:sz="4" w:space="0" w:color="auto"/>
              <w:right w:val="single" w:sz="4" w:space="0" w:color="auto"/>
            </w:tcBorders>
            <w:noWrap/>
            <w:vAlign w:val="bottom"/>
            <w:hideMark/>
          </w:tcPr>
          <w:p w14:paraId="58D1A7FE"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40A5E59E"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2D1B9E34" w14:textId="77777777" w:rsidR="00416D67" w:rsidRPr="00416D67" w:rsidRDefault="00416D67" w:rsidP="00416D67">
            <w:pPr>
              <w:rPr>
                <w:rFonts w:ascii="Arial" w:hAnsi="Arial" w:cs="Arial"/>
                <w:sz w:val="16"/>
                <w:szCs w:val="16"/>
              </w:rPr>
            </w:pPr>
            <w:r w:rsidRPr="00416D67">
              <w:rPr>
                <w:rFonts w:ascii="Arial" w:hAnsi="Arial" w:cs="Arial"/>
                <w:sz w:val="16"/>
                <w:szCs w:val="16"/>
              </w:rPr>
              <w:t>3512 Subvencije trgovačkim društvima u javnom sektoru</w:t>
            </w:r>
          </w:p>
        </w:tc>
        <w:tc>
          <w:tcPr>
            <w:tcW w:w="1520" w:type="dxa"/>
            <w:tcBorders>
              <w:top w:val="single" w:sz="4" w:space="0" w:color="auto"/>
              <w:left w:val="nil"/>
              <w:bottom w:val="single" w:sz="4" w:space="0" w:color="auto"/>
              <w:right w:val="single" w:sz="4" w:space="0" w:color="auto"/>
            </w:tcBorders>
            <w:noWrap/>
            <w:vAlign w:val="bottom"/>
            <w:hideMark/>
          </w:tcPr>
          <w:p w14:paraId="1790FBB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18.562,50</w:t>
            </w:r>
          </w:p>
        </w:tc>
        <w:tc>
          <w:tcPr>
            <w:tcW w:w="1280" w:type="dxa"/>
            <w:tcBorders>
              <w:top w:val="single" w:sz="4" w:space="0" w:color="auto"/>
              <w:left w:val="nil"/>
              <w:bottom w:val="single" w:sz="4" w:space="0" w:color="auto"/>
              <w:right w:val="single" w:sz="4" w:space="0" w:color="auto"/>
            </w:tcBorders>
            <w:noWrap/>
            <w:vAlign w:val="bottom"/>
            <w:hideMark/>
          </w:tcPr>
          <w:p w14:paraId="30169379"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6D244E9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24E6E0B4"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63.538,36</w:t>
            </w:r>
          </w:p>
        </w:tc>
        <w:tc>
          <w:tcPr>
            <w:tcW w:w="1080" w:type="dxa"/>
            <w:tcBorders>
              <w:top w:val="single" w:sz="4" w:space="0" w:color="auto"/>
              <w:left w:val="nil"/>
              <w:bottom w:val="single" w:sz="4" w:space="0" w:color="auto"/>
              <w:right w:val="single" w:sz="4" w:space="0" w:color="auto"/>
            </w:tcBorders>
            <w:noWrap/>
            <w:vAlign w:val="bottom"/>
            <w:hideMark/>
          </w:tcPr>
          <w:p w14:paraId="48470C9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342,29%</w:t>
            </w:r>
          </w:p>
        </w:tc>
        <w:tc>
          <w:tcPr>
            <w:tcW w:w="980" w:type="dxa"/>
            <w:tcBorders>
              <w:top w:val="single" w:sz="4" w:space="0" w:color="auto"/>
              <w:left w:val="nil"/>
              <w:bottom w:val="single" w:sz="4" w:space="0" w:color="auto"/>
              <w:right w:val="single" w:sz="4" w:space="0" w:color="auto"/>
            </w:tcBorders>
            <w:noWrap/>
            <w:vAlign w:val="bottom"/>
            <w:hideMark/>
          </w:tcPr>
          <w:p w14:paraId="68B9F2D6"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3C8EE6CF"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vAlign w:val="bottom"/>
            <w:hideMark/>
          </w:tcPr>
          <w:p w14:paraId="3766AB20"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352 Subvencije kreditnim i financijskim institucijama, trgovačkim društvima, zadrugama, poljoprivrednici</w:t>
            </w:r>
          </w:p>
        </w:tc>
        <w:tc>
          <w:tcPr>
            <w:tcW w:w="1520" w:type="dxa"/>
            <w:tcBorders>
              <w:top w:val="single" w:sz="4" w:space="0" w:color="auto"/>
              <w:left w:val="nil"/>
              <w:bottom w:val="single" w:sz="4" w:space="0" w:color="auto"/>
              <w:right w:val="single" w:sz="4" w:space="0" w:color="auto"/>
            </w:tcBorders>
            <w:noWrap/>
            <w:vAlign w:val="bottom"/>
            <w:hideMark/>
          </w:tcPr>
          <w:p w14:paraId="78BFC47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7.618,75</w:t>
            </w:r>
          </w:p>
        </w:tc>
        <w:tc>
          <w:tcPr>
            <w:tcW w:w="1280" w:type="dxa"/>
            <w:tcBorders>
              <w:top w:val="single" w:sz="4" w:space="0" w:color="auto"/>
              <w:left w:val="nil"/>
              <w:bottom w:val="single" w:sz="4" w:space="0" w:color="auto"/>
              <w:right w:val="single" w:sz="4" w:space="0" w:color="auto"/>
            </w:tcBorders>
            <w:noWrap/>
            <w:vAlign w:val="bottom"/>
            <w:hideMark/>
          </w:tcPr>
          <w:p w14:paraId="6FE0DAE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203AA97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0583C9BF"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37.153,75</w:t>
            </w:r>
          </w:p>
        </w:tc>
        <w:tc>
          <w:tcPr>
            <w:tcW w:w="1080" w:type="dxa"/>
            <w:tcBorders>
              <w:top w:val="single" w:sz="4" w:space="0" w:color="auto"/>
              <w:left w:val="nil"/>
              <w:bottom w:val="single" w:sz="4" w:space="0" w:color="auto"/>
              <w:right w:val="single" w:sz="4" w:space="0" w:color="auto"/>
            </w:tcBorders>
            <w:noWrap/>
            <w:vAlign w:val="bottom"/>
            <w:hideMark/>
          </w:tcPr>
          <w:p w14:paraId="2BDF4881"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487,66%</w:t>
            </w:r>
          </w:p>
        </w:tc>
        <w:tc>
          <w:tcPr>
            <w:tcW w:w="980" w:type="dxa"/>
            <w:tcBorders>
              <w:top w:val="single" w:sz="4" w:space="0" w:color="auto"/>
              <w:left w:val="nil"/>
              <w:bottom w:val="single" w:sz="4" w:space="0" w:color="auto"/>
              <w:right w:val="single" w:sz="4" w:space="0" w:color="auto"/>
            </w:tcBorders>
            <w:noWrap/>
            <w:vAlign w:val="bottom"/>
            <w:hideMark/>
          </w:tcPr>
          <w:p w14:paraId="2FED4578"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1DBED539"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51396159" w14:textId="77777777" w:rsidR="00416D67" w:rsidRPr="00416D67" w:rsidRDefault="00416D67" w:rsidP="00416D67">
            <w:pPr>
              <w:rPr>
                <w:rFonts w:ascii="Arial" w:hAnsi="Arial" w:cs="Arial"/>
                <w:sz w:val="16"/>
                <w:szCs w:val="16"/>
              </w:rPr>
            </w:pPr>
            <w:r w:rsidRPr="00416D67">
              <w:rPr>
                <w:rFonts w:ascii="Arial" w:hAnsi="Arial" w:cs="Arial"/>
                <w:sz w:val="16"/>
                <w:szCs w:val="16"/>
              </w:rPr>
              <w:t>3522 Subvencije trgovačkim društvima i zadrugama izvan javnog sektora</w:t>
            </w:r>
          </w:p>
        </w:tc>
        <w:tc>
          <w:tcPr>
            <w:tcW w:w="1520" w:type="dxa"/>
            <w:tcBorders>
              <w:top w:val="single" w:sz="4" w:space="0" w:color="auto"/>
              <w:left w:val="nil"/>
              <w:bottom w:val="single" w:sz="4" w:space="0" w:color="auto"/>
              <w:right w:val="single" w:sz="4" w:space="0" w:color="auto"/>
            </w:tcBorders>
            <w:noWrap/>
            <w:vAlign w:val="bottom"/>
            <w:hideMark/>
          </w:tcPr>
          <w:p w14:paraId="21587E7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7.618,75</w:t>
            </w:r>
          </w:p>
        </w:tc>
        <w:tc>
          <w:tcPr>
            <w:tcW w:w="1280" w:type="dxa"/>
            <w:tcBorders>
              <w:top w:val="single" w:sz="4" w:space="0" w:color="auto"/>
              <w:left w:val="nil"/>
              <w:bottom w:val="single" w:sz="4" w:space="0" w:color="auto"/>
              <w:right w:val="single" w:sz="4" w:space="0" w:color="auto"/>
            </w:tcBorders>
            <w:noWrap/>
            <w:vAlign w:val="bottom"/>
            <w:hideMark/>
          </w:tcPr>
          <w:p w14:paraId="5AF904C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1E394D2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17521C4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27.383,75</w:t>
            </w:r>
          </w:p>
        </w:tc>
        <w:tc>
          <w:tcPr>
            <w:tcW w:w="1080" w:type="dxa"/>
            <w:tcBorders>
              <w:top w:val="single" w:sz="4" w:space="0" w:color="auto"/>
              <w:left w:val="nil"/>
              <w:bottom w:val="single" w:sz="4" w:space="0" w:color="auto"/>
              <w:right w:val="single" w:sz="4" w:space="0" w:color="auto"/>
            </w:tcBorders>
            <w:noWrap/>
            <w:vAlign w:val="bottom"/>
            <w:hideMark/>
          </w:tcPr>
          <w:p w14:paraId="441479D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359,43%</w:t>
            </w:r>
          </w:p>
        </w:tc>
        <w:tc>
          <w:tcPr>
            <w:tcW w:w="980" w:type="dxa"/>
            <w:tcBorders>
              <w:top w:val="single" w:sz="4" w:space="0" w:color="auto"/>
              <w:left w:val="nil"/>
              <w:bottom w:val="single" w:sz="4" w:space="0" w:color="auto"/>
              <w:right w:val="single" w:sz="4" w:space="0" w:color="auto"/>
            </w:tcBorders>
            <w:noWrap/>
            <w:vAlign w:val="bottom"/>
            <w:hideMark/>
          </w:tcPr>
          <w:p w14:paraId="6093B62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034FD85B"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3D06BF41" w14:textId="77777777" w:rsidR="00416D67" w:rsidRPr="00416D67" w:rsidRDefault="00416D67" w:rsidP="00416D67">
            <w:pPr>
              <w:rPr>
                <w:rFonts w:ascii="Arial" w:hAnsi="Arial" w:cs="Arial"/>
                <w:sz w:val="16"/>
                <w:szCs w:val="16"/>
              </w:rPr>
            </w:pPr>
            <w:r w:rsidRPr="00416D67">
              <w:rPr>
                <w:rFonts w:ascii="Arial" w:hAnsi="Arial" w:cs="Arial"/>
                <w:sz w:val="16"/>
                <w:szCs w:val="16"/>
              </w:rPr>
              <w:t>3523 Subvencije poljoprivrednicima i obrtnicima</w:t>
            </w:r>
          </w:p>
        </w:tc>
        <w:tc>
          <w:tcPr>
            <w:tcW w:w="1520" w:type="dxa"/>
            <w:tcBorders>
              <w:top w:val="single" w:sz="4" w:space="0" w:color="auto"/>
              <w:left w:val="nil"/>
              <w:bottom w:val="single" w:sz="4" w:space="0" w:color="auto"/>
              <w:right w:val="single" w:sz="4" w:space="0" w:color="auto"/>
            </w:tcBorders>
            <w:noWrap/>
            <w:vAlign w:val="bottom"/>
            <w:hideMark/>
          </w:tcPr>
          <w:p w14:paraId="46E3E86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80" w:type="dxa"/>
            <w:tcBorders>
              <w:top w:val="single" w:sz="4" w:space="0" w:color="auto"/>
              <w:left w:val="nil"/>
              <w:bottom w:val="single" w:sz="4" w:space="0" w:color="auto"/>
              <w:right w:val="single" w:sz="4" w:space="0" w:color="auto"/>
            </w:tcBorders>
            <w:noWrap/>
            <w:vAlign w:val="bottom"/>
            <w:hideMark/>
          </w:tcPr>
          <w:p w14:paraId="305744F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1EFE264E"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17103F0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9.770,00</w:t>
            </w:r>
          </w:p>
        </w:tc>
        <w:tc>
          <w:tcPr>
            <w:tcW w:w="1080" w:type="dxa"/>
            <w:tcBorders>
              <w:top w:val="single" w:sz="4" w:space="0" w:color="auto"/>
              <w:left w:val="nil"/>
              <w:bottom w:val="single" w:sz="4" w:space="0" w:color="auto"/>
              <w:right w:val="single" w:sz="4" w:space="0" w:color="auto"/>
            </w:tcBorders>
            <w:noWrap/>
            <w:vAlign w:val="bottom"/>
            <w:hideMark/>
          </w:tcPr>
          <w:p w14:paraId="654DB379"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0,00%</w:t>
            </w:r>
          </w:p>
        </w:tc>
        <w:tc>
          <w:tcPr>
            <w:tcW w:w="980" w:type="dxa"/>
            <w:tcBorders>
              <w:top w:val="single" w:sz="4" w:space="0" w:color="auto"/>
              <w:left w:val="nil"/>
              <w:bottom w:val="single" w:sz="4" w:space="0" w:color="auto"/>
              <w:right w:val="single" w:sz="4" w:space="0" w:color="auto"/>
            </w:tcBorders>
            <w:noWrap/>
            <w:vAlign w:val="bottom"/>
            <w:hideMark/>
          </w:tcPr>
          <w:p w14:paraId="70EB05F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32FD9A88"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292BBA75"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36 Pomoći dane u inozemstvo i unutar općeg proračuna</w:t>
            </w:r>
          </w:p>
        </w:tc>
        <w:tc>
          <w:tcPr>
            <w:tcW w:w="1520" w:type="dxa"/>
            <w:tcBorders>
              <w:top w:val="single" w:sz="4" w:space="0" w:color="auto"/>
              <w:left w:val="nil"/>
              <w:bottom w:val="single" w:sz="4" w:space="0" w:color="auto"/>
              <w:right w:val="single" w:sz="4" w:space="0" w:color="auto"/>
            </w:tcBorders>
            <w:noWrap/>
            <w:vAlign w:val="bottom"/>
            <w:hideMark/>
          </w:tcPr>
          <w:p w14:paraId="0D9CD21B"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413.456,88</w:t>
            </w:r>
          </w:p>
        </w:tc>
        <w:tc>
          <w:tcPr>
            <w:tcW w:w="1280" w:type="dxa"/>
            <w:tcBorders>
              <w:top w:val="single" w:sz="4" w:space="0" w:color="auto"/>
              <w:left w:val="nil"/>
              <w:bottom w:val="single" w:sz="4" w:space="0" w:color="auto"/>
              <w:right w:val="single" w:sz="4" w:space="0" w:color="auto"/>
            </w:tcBorders>
            <w:noWrap/>
            <w:vAlign w:val="bottom"/>
            <w:hideMark/>
          </w:tcPr>
          <w:p w14:paraId="543517BF"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1.476.752,45</w:t>
            </w:r>
          </w:p>
        </w:tc>
        <w:tc>
          <w:tcPr>
            <w:tcW w:w="1260" w:type="dxa"/>
            <w:tcBorders>
              <w:top w:val="single" w:sz="4" w:space="0" w:color="auto"/>
              <w:left w:val="nil"/>
              <w:bottom w:val="single" w:sz="4" w:space="0" w:color="auto"/>
              <w:right w:val="single" w:sz="4" w:space="0" w:color="auto"/>
            </w:tcBorders>
            <w:noWrap/>
            <w:vAlign w:val="bottom"/>
            <w:hideMark/>
          </w:tcPr>
          <w:p w14:paraId="13DCCE3C"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1.419.062,45</w:t>
            </w:r>
          </w:p>
        </w:tc>
        <w:tc>
          <w:tcPr>
            <w:tcW w:w="1320" w:type="dxa"/>
            <w:tcBorders>
              <w:top w:val="single" w:sz="4" w:space="0" w:color="auto"/>
              <w:left w:val="nil"/>
              <w:bottom w:val="single" w:sz="4" w:space="0" w:color="auto"/>
              <w:right w:val="single" w:sz="4" w:space="0" w:color="auto"/>
            </w:tcBorders>
            <w:noWrap/>
            <w:vAlign w:val="bottom"/>
            <w:hideMark/>
          </w:tcPr>
          <w:p w14:paraId="18E09117"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437.260,62</w:t>
            </w:r>
          </w:p>
        </w:tc>
        <w:tc>
          <w:tcPr>
            <w:tcW w:w="1080" w:type="dxa"/>
            <w:tcBorders>
              <w:top w:val="single" w:sz="4" w:space="0" w:color="auto"/>
              <w:left w:val="nil"/>
              <w:bottom w:val="single" w:sz="4" w:space="0" w:color="auto"/>
              <w:right w:val="single" w:sz="4" w:space="0" w:color="auto"/>
            </w:tcBorders>
            <w:noWrap/>
            <w:vAlign w:val="bottom"/>
            <w:hideMark/>
          </w:tcPr>
          <w:p w14:paraId="7A2AE928"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105,76%</w:t>
            </w:r>
          </w:p>
        </w:tc>
        <w:tc>
          <w:tcPr>
            <w:tcW w:w="980" w:type="dxa"/>
            <w:tcBorders>
              <w:top w:val="single" w:sz="4" w:space="0" w:color="auto"/>
              <w:left w:val="nil"/>
              <w:bottom w:val="single" w:sz="4" w:space="0" w:color="auto"/>
              <w:right w:val="single" w:sz="4" w:space="0" w:color="auto"/>
            </w:tcBorders>
            <w:noWrap/>
            <w:vAlign w:val="bottom"/>
            <w:hideMark/>
          </w:tcPr>
          <w:p w14:paraId="5B3FA083"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30,81%</w:t>
            </w:r>
          </w:p>
        </w:tc>
      </w:tr>
      <w:tr w:rsidR="00416D67" w:rsidRPr="00416D67" w14:paraId="0E2142AF"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461E1E2F"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363 Pomoći drugom proračunu i izvanproračunskim korisnicima</w:t>
            </w:r>
          </w:p>
        </w:tc>
        <w:tc>
          <w:tcPr>
            <w:tcW w:w="1520" w:type="dxa"/>
            <w:tcBorders>
              <w:top w:val="single" w:sz="4" w:space="0" w:color="auto"/>
              <w:left w:val="nil"/>
              <w:bottom w:val="single" w:sz="4" w:space="0" w:color="auto"/>
              <w:right w:val="single" w:sz="4" w:space="0" w:color="auto"/>
            </w:tcBorders>
            <w:noWrap/>
            <w:vAlign w:val="bottom"/>
            <w:hideMark/>
          </w:tcPr>
          <w:p w14:paraId="0C78D58E"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10.317,10</w:t>
            </w:r>
          </w:p>
        </w:tc>
        <w:tc>
          <w:tcPr>
            <w:tcW w:w="1280" w:type="dxa"/>
            <w:tcBorders>
              <w:top w:val="single" w:sz="4" w:space="0" w:color="auto"/>
              <w:left w:val="nil"/>
              <w:bottom w:val="single" w:sz="4" w:space="0" w:color="auto"/>
              <w:right w:val="single" w:sz="4" w:space="0" w:color="auto"/>
            </w:tcBorders>
            <w:noWrap/>
            <w:vAlign w:val="bottom"/>
            <w:hideMark/>
          </w:tcPr>
          <w:p w14:paraId="12A57252"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701F5D12"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7E427EF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13.460,45</w:t>
            </w:r>
          </w:p>
        </w:tc>
        <w:tc>
          <w:tcPr>
            <w:tcW w:w="1080" w:type="dxa"/>
            <w:tcBorders>
              <w:top w:val="single" w:sz="4" w:space="0" w:color="auto"/>
              <w:left w:val="nil"/>
              <w:bottom w:val="single" w:sz="4" w:space="0" w:color="auto"/>
              <w:right w:val="single" w:sz="4" w:space="0" w:color="auto"/>
            </w:tcBorders>
            <w:noWrap/>
            <w:vAlign w:val="bottom"/>
            <w:hideMark/>
          </w:tcPr>
          <w:p w14:paraId="580D9448"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130,47%</w:t>
            </w:r>
          </w:p>
        </w:tc>
        <w:tc>
          <w:tcPr>
            <w:tcW w:w="980" w:type="dxa"/>
            <w:tcBorders>
              <w:top w:val="single" w:sz="4" w:space="0" w:color="auto"/>
              <w:left w:val="nil"/>
              <w:bottom w:val="single" w:sz="4" w:space="0" w:color="auto"/>
              <w:right w:val="single" w:sz="4" w:space="0" w:color="auto"/>
            </w:tcBorders>
            <w:noWrap/>
            <w:vAlign w:val="bottom"/>
            <w:hideMark/>
          </w:tcPr>
          <w:p w14:paraId="1BFE842C"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56B87759"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2D07FDFB" w14:textId="77777777" w:rsidR="00416D67" w:rsidRPr="00416D67" w:rsidRDefault="00416D67" w:rsidP="00416D67">
            <w:pPr>
              <w:rPr>
                <w:rFonts w:ascii="Arial" w:hAnsi="Arial" w:cs="Arial"/>
                <w:sz w:val="16"/>
                <w:szCs w:val="16"/>
              </w:rPr>
            </w:pPr>
            <w:r w:rsidRPr="00416D67">
              <w:rPr>
                <w:rFonts w:ascii="Arial" w:hAnsi="Arial" w:cs="Arial"/>
                <w:sz w:val="16"/>
                <w:szCs w:val="16"/>
              </w:rPr>
              <w:t>3631 Tekuće pomoći drugom proračunu i izvanproračunskim korisnicima</w:t>
            </w:r>
          </w:p>
        </w:tc>
        <w:tc>
          <w:tcPr>
            <w:tcW w:w="1520" w:type="dxa"/>
            <w:tcBorders>
              <w:top w:val="single" w:sz="4" w:space="0" w:color="auto"/>
              <w:left w:val="nil"/>
              <w:bottom w:val="single" w:sz="4" w:space="0" w:color="auto"/>
              <w:right w:val="single" w:sz="4" w:space="0" w:color="auto"/>
            </w:tcBorders>
            <w:noWrap/>
            <w:vAlign w:val="bottom"/>
            <w:hideMark/>
          </w:tcPr>
          <w:p w14:paraId="26A747D3"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2.526,30</w:t>
            </w:r>
          </w:p>
        </w:tc>
        <w:tc>
          <w:tcPr>
            <w:tcW w:w="1280" w:type="dxa"/>
            <w:tcBorders>
              <w:top w:val="single" w:sz="4" w:space="0" w:color="auto"/>
              <w:left w:val="nil"/>
              <w:bottom w:val="single" w:sz="4" w:space="0" w:color="auto"/>
              <w:right w:val="single" w:sz="4" w:space="0" w:color="auto"/>
            </w:tcBorders>
            <w:noWrap/>
            <w:vAlign w:val="bottom"/>
            <w:hideMark/>
          </w:tcPr>
          <w:p w14:paraId="7A7B219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60C5C4E6"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1E1F9A6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5.896,09</w:t>
            </w:r>
          </w:p>
        </w:tc>
        <w:tc>
          <w:tcPr>
            <w:tcW w:w="1080" w:type="dxa"/>
            <w:tcBorders>
              <w:top w:val="single" w:sz="4" w:space="0" w:color="auto"/>
              <w:left w:val="nil"/>
              <w:bottom w:val="single" w:sz="4" w:space="0" w:color="auto"/>
              <w:right w:val="single" w:sz="4" w:space="0" w:color="auto"/>
            </w:tcBorders>
            <w:noWrap/>
            <w:vAlign w:val="bottom"/>
            <w:hideMark/>
          </w:tcPr>
          <w:p w14:paraId="3D72212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233,39%</w:t>
            </w:r>
          </w:p>
        </w:tc>
        <w:tc>
          <w:tcPr>
            <w:tcW w:w="980" w:type="dxa"/>
            <w:tcBorders>
              <w:top w:val="single" w:sz="4" w:space="0" w:color="auto"/>
              <w:left w:val="nil"/>
              <w:bottom w:val="single" w:sz="4" w:space="0" w:color="auto"/>
              <w:right w:val="single" w:sz="4" w:space="0" w:color="auto"/>
            </w:tcBorders>
            <w:noWrap/>
            <w:vAlign w:val="bottom"/>
            <w:hideMark/>
          </w:tcPr>
          <w:p w14:paraId="5E6EAB8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59F6C098"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7DC76878" w14:textId="77777777" w:rsidR="00416D67" w:rsidRPr="00416D67" w:rsidRDefault="00416D67" w:rsidP="00416D67">
            <w:pPr>
              <w:rPr>
                <w:rFonts w:ascii="Arial" w:hAnsi="Arial" w:cs="Arial"/>
                <w:sz w:val="16"/>
                <w:szCs w:val="16"/>
              </w:rPr>
            </w:pPr>
            <w:r w:rsidRPr="00416D67">
              <w:rPr>
                <w:rFonts w:ascii="Arial" w:hAnsi="Arial" w:cs="Arial"/>
                <w:sz w:val="16"/>
                <w:szCs w:val="16"/>
              </w:rPr>
              <w:t>3632 Kapitalne pomoći drugom proračunu i izvanproračunskim korisnicima</w:t>
            </w:r>
          </w:p>
        </w:tc>
        <w:tc>
          <w:tcPr>
            <w:tcW w:w="1520" w:type="dxa"/>
            <w:tcBorders>
              <w:top w:val="single" w:sz="4" w:space="0" w:color="auto"/>
              <w:left w:val="nil"/>
              <w:bottom w:val="single" w:sz="4" w:space="0" w:color="auto"/>
              <w:right w:val="single" w:sz="4" w:space="0" w:color="auto"/>
            </w:tcBorders>
            <w:noWrap/>
            <w:vAlign w:val="bottom"/>
            <w:hideMark/>
          </w:tcPr>
          <w:p w14:paraId="65FFCD4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7.790,80</w:t>
            </w:r>
          </w:p>
        </w:tc>
        <w:tc>
          <w:tcPr>
            <w:tcW w:w="1280" w:type="dxa"/>
            <w:tcBorders>
              <w:top w:val="single" w:sz="4" w:space="0" w:color="auto"/>
              <w:left w:val="nil"/>
              <w:bottom w:val="single" w:sz="4" w:space="0" w:color="auto"/>
              <w:right w:val="single" w:sz="4" w:space="0" w:color="auto"/>
            </w:tcBorders>
            <w:noWrap/>
            <w:vAlign w:val="bottom"/>
            <w:hideMark/>
          </w:tcPr>
          <w:p w14:paraId="21744A82"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055B2BE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15B00C1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7.564,36</w:t>
            </w:r>
          </w:p>
        </w:tc>
        <w:tc>
          <w:tcPr>
            <w:tcW w:w="1080" w:type="dxa"/>
            <w:tcBorders>
              <w:top w:val="single" w:sz="4" w:space="0" w:color="auto"/>
              <w:left w:val="nil"/>
              <w:bottom w:val="single" w:sz="4" w:space="0" w:color="auto"/>
              <w:right w:val="single" w:sz="4" w:space="0" w:color="auto"/>
            </w:tcBorders>
            <w:noWrap/>
            <w:vAlign w:val="bottom"/>
            <w:hideMark/>
          </w:tcPr>
          <w:p w14:paraId="1DCDB484"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97,09%</w:t>
            </w:r>
          </w:p>
        </w:tc>
        <w:tc>
          <w:tcPr>
            <w:tcW w:w="980" w:type="dxa"/>
            <w:tcBorders>
              <w:top w:val="single" w:sz="4" w:space="0" w:color="auto"/>
              <w:left w:val="nil"/>
              <w:bottom w:val="single" w:sz="4" w:space="0" w:color="auto"/>
              <w:right w:val="single" w:sz="4" w:space="0" w:color="auto"/>
            </w:tcBorders>
            <w:noWrap/>
            <w:vAlign w:val="bottom"/>
            <w:hideMark/>
          </w:tcPr>
          <w:p w14:paraId="7792E8B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644F222F"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6A477AD5"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366 Pomoći proračunskim korisnicima drugih proračuna</w:t>
            </w:r>
          </w:p>
        </w:tc>
        <w:tc>
          <w:tcPr>
            <w:tcW w:w="1520" w:type="dxa"/>
            <w:tcBorders>
              <w:top w:val="single" w:sz="4" w:space="0" w:color="auto"/>
              <w:left w:val="nil"/>
              <w:bottom w:val="single" w:sz="4" w:space="0" w:color="auto"/>
              <w:right w:val="single" w:sz="4" w:space="0" w:color="auto"/>
            </w:tcBorders>
            <w:noWrap/>
            <w:vAlign w:val="bottom"/>
            <w:hideMark/>
          </w:tcPr>
          <w:p w14:paraId="534021A2"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403.139,78</w:t>
            </w:r>
          </w:p>
        </w:tc>
        <w:tc>
          <w:tcPr>
            <w:tcW w:w="1280" w:type="dxa"/>
            <w:tcBorders>
              <w:top w:val="single" w:sz="4" w:space="0" w:color="auto"/>
              <w:left w:val="nil"/>
              <w:bottom w:val="single" w:sz="4" w:space="0" w:color="auto"/>
              <w:right w:val="single" w:sz="4" w:space="0" w:color="auto"/>
            </w:tcBorders>
            <w:noWrap/>
            <w:vAlign w:val="bottom"/>
            <w:hideMark/>
          </w:tcPr>
          <w:p w14:paraId="5E571F0A"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4F4E9EA5"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1628FBE2"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423.800,17</w:t>
            </w:r>
          </w:p>
        </w:tc>
        <w:tc>
          <w:tcPr>
            <w:tcW w:w="1080" w:type="dxa"/>
            <w:tcBorders>
              <w:top w:val="single" w:sz="4" w:space="0" w:color="auto"/>
              <w:left w:val="nil"/>
              <w:bottom w:val="single" w:sz="4" w:space="0" w:color="auto"/>
              <w:right w:val="single" w:sz="4" w:space="0" w:color="auto"/>
            </w:tcBorders>
            <w:noWrap/>
            <w:vAlign w:val="bottom"/>
            <w:hideMark/>
          </w:tcPr>
          <w:p w14:paraId="3D53BBB5"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105,12%</w:t>
            </w:r>
          </w:p>
        </w:tc>
        <w:tc>
          <w:tcPr>
            <w:tcW w:w="980" w:type="dxa"/>
            <w:tcBorders>
              <w:top w:val="single" w:sz="4" w:space="0" w:color="auto"/>
              <w:left w:val="nil"/>
              <w:bottom w:val="single" w:sz="4" w:space="0" w:color="auto"/>
              <w:right w:val="single" w:sz="4" w:space="0" w:color="auto"/>
            </w:tcBorders>
            <w:noWrap/>
            <w:vAlign w:val="bottom"/>
            <w:hideMark/>
          </w:tcPr>
          <w:p w14:paraId="5054E7D8"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3A410183"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4ADF4150" w14:textId="77777777" w:rsidR="00416D67" w:rsidRPr="00416D67" w:rsidRDefault="00416D67" w:rsidP="00416D67">
            <w:pPr>
              <w:rPr>
                <w:rFonts w:ascii="Arial" w:hAnsi="Arial" w:cs="Arial"/>
                <w:sz w:val="16"/>
                <w:szCs w:val="16"/>
              </w:rPr>
            </w:pPr>
            <w:r w:rsidRPr="00416D67">
              <w:rPr>
                <w:rFonts w:ascii="Arial" w:hAnsi="Arial" w:cs="Arial"/>
                <w:sz w:val="16"/>
                <w:szCs w:val="16"/>
              </w:rPr>
              <w:t>3661 Tekuće pomoći proračunskim korisnicima drugih proračuna</w:t>
            </w:r>
          </w:p>
        </w:tc>
        <w:tc>
          <w:tcPr>
            <w:tcW w:w="1520" w:type="dxa"/>
            <w:tcBorders>
              <w:top w:val="single" w:sz="4" w:space="0" w:color="auto"/>
              <w:left w:val="nil"/>
              <w:bottom w:val="single" w:sz="4" w:space="0" w:color="auto"/>
              <w:right w:val="single" w:sz="4" w:space="0" w:color="auto"/>
            </w:tcBorders>
            <w:noWrap/>
            <w:vAlign w:val="bottom"/>
            <w:hideMark/>
          </w:tcPr>
          <w:p w14:paraId="71D9648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402.382,65</w:t>
            </w:r>
          </w:p>
        </w:tc>
        <w:tc>
          <w:tcPr>
            <w:tcW w:w="1280" w:type="dxa"/>
            <w:tcBorders>
              <w:top w:val="single" w:sz="4" w:space="0" w:color="auto"/>
              <w:left w:val="nil"/>
              <w:bottom w:val="single" w:sz="4" w:space="0" w:color="auto"/>
              <w:right w:val="single" w:sz="4" w:space="0" w:color="auto"/>
            </w:tcBorders>
            <w:noWrap/>
            <w:vAlign w:val="bottom"/>
            <w:hideMark/>
          </w:tcPr>
          <w:p w14:paraId="3BF2F11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72184CB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29449D6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413.800,17</w:t>
            </w:r>
          </w:p>
        </w:tc>
        <w:tc>
          <w:tcPr>
            <w:tcW w:w="1080" w:type="dxa"/>
            <w:tcBorders>
              <w:top w:val="single" w:sz="4" w:space="0" w:color="auto"/>
              <w:left w:val="nil"/>
              <w:bottom w:val="single" w:sz="4" w:space="0" w:color="auto"/>
              <w:right w:val="single" w:sz="4" w:space="0" w:color="auto"/>
            </w:tcBorders>
            <w:noWrap/>
            <w:vAlign w:val="bottom"/>
            <w:hideMark/>
          </w:tcPr>
          <w:p w14:paraId="4857D289"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102,84%</w:t>
            </w:r>
          </w:p>
        </w:tc>
        <w:tc>
          <w:tcPr>
            <w:tcW w:w="980" w:type="dxa"/>
            <w:tcBorders>
              <w:top w:val="single" w:sz="4" w:space="0" w:color="auto"/>
              <w:left w:val="nil"/>
              <w:bottom w:val="single" w:sz="4" w:space="0" w:color="auto"/>
              <w:right w:val="single" w:sz="4" w:space="0" w:color="auto"/>
            </w:tcBorders>
            <w:noWrap/>
            <w:vAlign w:val="bottom"/>
            <w:hideMark/>
          </w:tcPr>
          <w:p w14:paraId="6C34A23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632B9558"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6AE3C219" w14:textId="77777777" w:rsidR="00416D67" w:rsidRPr="00416D67" w:rsidRDefault="00416D67" w:rsidP="00416D67">
            <w:pPr>
              <w:rPr>
                <w:rFonts w:ascii="Arial" w:hAnsi="Arial" w:cs="Arial"/>
                <w:sz w:val="16"/>
                <w:szCs w:val="16"/>
              </w:rPr>
            </w:pPr>
            <w:r w:rsidRPr="00416D67">
              <w:rPr>
                <w:rFonts w:ascii="Arial" w:hAnsi="Arial" w:cs="Arial"/>
                <w:sz w:val="16"/>
                <w:szCs w:val="16"/>
              </w:rPr>
              <w:t>3662 Kapitalne pomoći proračunskim korisnicima drugih proračuna</w:t>
            </w:r>
          </w:p>
        </w:tc>
        <w:tc>
          <w:tcPr>
            <w:tcW w:w="1520" w:type="dxa"/>
            <w:tcBorders>
              <w:top w:val="single" w:sz="4" w:space="0" w:color="auto"/>
              <w:left w:val="nil"/>
              <w:bottom w:val="single" w:sz="4" w:space="0" w:color="auto"/>
              <w:right w:val="single" w:sz="4" w:space="0" w:color="auto"/>
            </w:tcBorders>
            <w:noWrap/>
            <w:vAlign w:val="bottom"/>
            <w:hideMark/>
          </w:tcPr>
          <w:p w14:paraId="3E9A2C2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757,13</w:t>
            </w:r>
          </w:p>
        </w:tc>
        <w:tc>
          <w:tcPr>
            <w:tcW w:w="1280" w:type="dxa"/>
            <w:tcBorders>
              <w:top w:val="single" w:sz="4" w:space="0" w:color="auto"/>
              <w:left w:val="nil"/>
              <w:bottom w:val="single" w:sz="4" w:space="0" w:color="auto"/>
              <w:right w:val="single" w:sz="4" w:space="0" w:color="auto"/>
            </w:tcBorders>
            <w:noWrap/>
            <w:vAlign w:val="bottom"/>
            <w:hideMark/>
          </w:tcPr>
          <w:p w14:paraId="3B9D6DD3"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218B0954"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6DF18E8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10.000,00</w:t>
            </w:r>
          </w:p>
        </w:tc>
        <w:tc>
          <w:tcPr>
            <w:tcW w:w="1080" w:type="dxa"/>
            <w:tcBorders>
              <w:top w:val="single" w:sz="4" w:space="0" w:color="auto"/>
              <w:left w:val="nil"/>
              <w:bottom w:val="single" w:sz="4" w:space="0" w:color="auto"/>
              <w:right w:val="single" w:sz="4" w:space="0" w:color="auto"/>
            </w:tcBorders>
            <w:noWrap/>
            <w:vAlign w:val="bottom"/>
            <w:hideMark/>
          </w:tcPr>
          <w:p w14:paraId="66F638B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1320,78%</w:t>
            </w:r>
          </w:p>
        </w:tc>
        <w:tc>
          <w:tcPr>
            <w:tcW w:w="980" w:type="dxa"/>
            <w:tcBorders>
              <w:top w:val="single" w:sz="4" w:space="0" w:color="auto"/>
              <w:left w:val="nil"/>
              <w:bottom w:val="single" w:sz="4" w:space="0" w:color="auto"/>
              <w:right w:val="single" w:sz="4" w:space="0" w:color="auto"/>
            </w:tcBorders>
            <w:noWrap/>
            <w:vAlign w:val="bottom"/>
            <w:hideMark/>
          </w:tcPr>
          <w:p w14:paraId="0EEADCF6"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bl>
    <w:p w14:paraId="1A0D31DB" w14:textId="77777777" w:rsidR="00416D67" w:rsidRPr="00416D67" w:rsidRDefault="00416D67" w:rsidP="00416D67">
      <w:pPr>
        <w:jc w:val="both"/>
        <w:rPr>
          <w:b/>
        </w:rPr>
      </w:pPr>
    </w:p>
    <w:tbl>
      <w:tblPr>
        <w:tblW w:w="14220" w:type="dxa"/>
        <w:tblInd w:w="93" w:type="dxa"/>
        <w:tblLook w:val="04A0" w:firstRow="1" w:lastRow="0" w:firstColumn="1" w:lastColumn="0" w:noHBand="0" w:noVBand="1"/>
      </w:tblPr>
      <w:tblGrid>
        <w:gridCol w:w="6780"/>
        <w:gridCol w:w="1520"/>
        <w:gridCol w:w="1280"/>
        <w:gridCol w:w="1260"/>
        <w:gridCol w:w="1320"/>
        <w:gridCol w:w="1080"/>
        <w:gridCol w:w="980"/>
      </w:tblGrid>
      <w:tr w:rsidR="00416D67" w:rsidRPr="00416D67" w14:paraId="5EC66857" w14:textId="77777777" w:rsidTr="00BB1392">
        <w:trPr>
          <w:trHeight w:val="765"/>
        </w:trPr>
        <w:tc>
          <w:tcPr>
            <w:tcW w:w="678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073E4CB8"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lastRenderedPageBreak/>
              <w:t>Račun / opis</w:t>
            </w:r>
          </w:p>
        </w:tc>
        <w:tc>
          <w:tcPr>
            <w:tcW w:w="1520" w:type="dxa"/>
            <w:tcBorders>
              <w:top w:val="single" w:sz="4" w:space="0" w:color="auto"/>
              <w:left w:val="nil"/>
              <w:bottom w:val="single" w:sz="4" w:space="0" w:color="auto"/>
              <w:right w:val="single" w:sz="4" w:space="0" w:color="auto"/>
            </w:tcBorders>
            <w:shd w:val="clear" w:color="000000" w:fill="C0C0C0"/>
            <w:vAlign w:val="bottom"/>
            <w:hideMark/>
          </w:tcPr>
          <w:p w14:paraId="7C11DE1F"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Izvršenje proračuna 2024. godina</w:t>
            </w:r>
          </w:p>
        </w:tc>
        <w:tc>
          <w:tcPr>
            <w:tcW w:w="1280" w:type="dxa"/>
            <w:tcBorders>
              <w:top w:val="single" w:sz="4" w:space="0" w:color="auto"/>
              <w:left w:val="nil"/>
              <w:bottom w:val="single" w:sz="4" w:space="0" w:color="auto"/>
              <w:right w:val="single" w:sz="4" w:space="0" w:color="auto"/>
            </w:tcBorders>
            <w:shd w:val="clear" w:color="000000" w:fill="C0C0C0"/>
            <w:vAlign w:val="bottom"/>
            <w:hideMark/>
          </w:tcPr>
          <w:p w14:paraId="54833CB4"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Izvorni plan proračuna 2025. godina</w:t>
            </w:r>
          </w:p>
        </w:tc>
        <w:tc>
          <w:tcPr>
            <w:tcW w:w="1260" w:type="dxa"/>
            <w:tcBorders>
              <w:top w:val="single" w:sz="4" w:space="0" w:color="auto"/>
              <w:left w:val="nil"/>
              <w:bottom w:val="single" w:sz="4" w:space="0" w:color="auto"/>
              <w:right w:val="single" w:sz="4" w:space="0" w:color="auto"/>
            </w:tcBorders>
            <w:shd w:val="clear" w:color="000000" w:fill="C0C0C0"/>
            <w:vAlign w:val="bottom"/>
            <w:hideMark/>
          </w:tcPr>
          <w:p w14:paraId="49BC9F87"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Tekući plan proračuna 2025. godina</w:t>
            </w:r>
          </w:p>
        </w:tc>
        <w:tc>
          <w:tcPr>
            <w:tcW w:w="1320" w:type="dxa"/>
            <w:tcBorders>
              <w:top w:val="single" w:sz="4" w:space="0" w:color="auto"/>
              <w:left w:val="nil"/>
              <w:bottom w:val="single" w:sz="4" w:space="0" w:color="auto"/>
              <w:right w:val="single" w:sz="4" w:space="0" w:color="auto"/>
            </w:tcBorders>
            <w:shd w:val="clear" w:color="000000" w:fill="C0C0C0"/>
            <w:vAlign w:val="bottom"/>
            <w:hideMark/>
          </w:tcPr>
          <w:p w14:paraId="6440EB96"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Izvršenje proračuna 2025. godina</w:t>
            </w:r>
          </w:p>
        </w:tc>
        <w:tc>
          <w:tcPr>
            <w:tcW w:w="1080" w:type="dxa"/>
            <w:tcBorders>
              <w:top w:val="single" w:sz="4" w:space="0" w:color="auto"/>
              <w:left w:val="nil"/>
              <w:bottom w:val="single" w:sz="4" w:space="0" w:color="auto"/>
              <w:right w:val="single" w:sz="4" w:space="0" w:color="auto"/>
            </w:tcBorders>
            <w:shd w:val="clear" w:color="000000" w:fill="C0C0C0"/>
            <w:vAlign w:val="bottom"/>
            <w:hideMark/>
          </w:tcPr>
          <w:p w14:paraId="299AC8C3"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Indeks  4/1</w:t>
            </w:r>
          </w:p>
        </w:tc>
        <w:tc>
          <w:tcPr>
            <w:tcW w:w="980" w:type="dxa"/>
            <w:tcBorders>
              <w:top w:val="single" w:sz="4" w:space="0" w:color="auto"/>
              <w:left w:val="nil"/>
              <w:bottom w:val="single" w:sz="4" w:space="0" w:color="auto"/>
              <w:right w:val="single" w:sz="4" w:space="0" w:color="auto"/>
            </w:tcBorders>
            <w:shd w:val="clear" w:color="000000" w:fill="C0C0C0"/>
            <w:vAlign w:val="bottom"/>
            <w:hideMark/>
          </w:tcPr>
          <w:p w14:paraId="3214B091" w14:textId="77777777" w:rsidR="00416D67" w:rsidRPr="00416D67" w:rsidRDefault="00416D67" w:rsidP="00416D67">
            <w:pPr>
              <w:jc w:val="center"/>
              <w:rPr>
                <w:rFonts w:ascii="Arial" w:hAnsi="Arial" w:cs="Arial"/>
                <w:sz w:val="16"/>
                <w:szCs w:val="16"/>
              </w:rPr>
            </w:pPr>
            <w:r w:rsidRPr="00416D67">
              <w:rPr>
                <w:rFonts w:ascii="Arial" w:hAnsi="Arial" w:cs="Arial"/>
                <w:sz w:val="16"/>
                <w:szCs w:val="16"/>
              </w:rPr>
              <w:t>Indeks  4/3</w:t>
            </w:r>
          </w:p>
        </w:tc>
      </w:tr>
      <w:tr w:rsidR="00416D67" w:rsidRPr="00416D67" w14:paraId="168C3A71" w14:textId="77777777" w:rsidTr="00BB1392">
        <w:trPr>
          <w:trHeight w:val="255"/>
        </w:trPr>
        <w:tc>
          <w:tcPr>
            <w:tcW w:w="6780" w:type="dxa"/>
            <w:tcBorders>
              <w:top w:val="single" w:sz="4" w:space="0" w:color="auto"/>
              <w:left w:val="single" w:sz="4" w:space="0" w:color="auto"/>
              <w:bottom w:val="single" w:sz="4" w:space="0" w:color="auto"/>
              <w:right w:val="single" w:sz="4" w:space="0" w:color="auto"/>
            </w:tcBorders>
            <w:vAlign w:val="bottom"/>
            <w:hideMark/>
          </w:tcPr>
          <w:p w14:paraId="7C9DBE40"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37 Naknade građanima i kućanstvima na temelju osiguranja i druge naknade</w:t>
            </w:r>
          </w:p>
        </w:tc>
        <w:tc>
          <w:tcPr>
            <w:tcW w:w="1520" w:type="dxa"/>
            <w:tcBorders>
              <w:top w:val="single" w:sz="4" w:space="0" w:color="auto"/>
              <w:left w:val="nil"/>
              <w:bottom w:val="single" w:sz="4" w:space="0" w:color="auto"/>
              <w:right w:val="single" w:sz="4" w:space="0" w:color="auto"/>
            </w:tcBorders>
            <w:noWrap/>
            <w:vAlign w:val="bottom"/>
            <w:hideMark/>
          </w:tcPr>
          <w:p w14:paraId="4A9885A0"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223.197,45</w:t>
            </w:r>
          </w:p>
        </w:tc>
        <w:tc>
          <w:tcPr>
            <w:tcW w:w="1280" w:type="dxa"/>
            <w:tcBorders>
              <w:top w:val="single" w:sz="4" w:space="0" w:color="auto"/>
              <w:left w:val="nil"/>
              <w:bottom w:val="single" w:sz="4" w:space="0" w:color="auto"/>
              <w:right w:val="single" w:sz="4" w:space="0" w:color="auto"/>
            </w:tcBorders>
            <w:noWrap/>
            <w:vAlign w:val="bottom"/>
            <w:hideMark/>
          </w:tcPr>
          <w:p w14:paraId="584B2603"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251.357,00</w:t>
            </w:r>
          </w:p>
        </w:tc>
        <w:tc>
          <w:tcPr>
            <w:tcW w:w="1260" w:type="dxa"/>
            <w:tcBorders>
              <w:top w:val="single" w:sz="4" w:space="0" w:color="auto"/>
              <w:left w:val="nil"/>
              <w:bottom w:val="single" w:sz="4" w:space="0" w:color="auto"/>
              <w:right w:val="single" w:sz="4" w:space="0" w:color="auto"/>
            </w:tcBorders>
            <w:noWrap/>
            <w:vAlign w:val="bottom"/>
            <w:hideMark/>
          </w:tcPr>
          <w:p w14:paraId="55FE2797"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257.937,00</w:t>
            </w:r>
          </w:p>
        </w:tc>
        <w:tc>
          <w:tcPr>
            <w:tcW w:w="1320" w:type="dxa"/>
            <w:tcBorders>
              <w:top w:val="single" w:sz="4" w:space="0" w:color="auto"/>
              <w:left w:val="nil"/>
              <w:bottom w:val="single" w:sz="4" w:space="0" w:color="auto"/>
              <w:right w:val="single" w:sz="4" w:space="0" w:color="auto"/>
            </w:tcBorders>
            <w:noWrap/>
            <w:vAlign w:val="bottom"/>
            <w:hideMark/>
          </w:tcPr>
          <w:p w14:paraId="1241B848"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231.323,21</w:t>
            </w:r>
          </w:p>
        </w:tc>
        <w:tc>
          <w:tcPr>
            <w:tcW w:w="1080" w:type="dxa"/>
            <w:tcBorders>
              <w:top w:val="single" w:sz="4" w:space="0" w:color="auto"/>
              <w:left w:val="nil"/>
              <w:bottom w:val="single" w:sz="4" w:space="0" w:color="auto"/>
              <w:right w:val="single" w:sz="4" w:space="0" w:color="auto"/>
            </w:tcBorders>
            <w:noWrap/>
            <w:vAlign w:val="bottom"/>
            <w:hideMark/>
          </w:tcPr>
          <w:p w14:paraId="7E474F42"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103,64%</w:t>
            </w:r>
          </w:p>
        </w:tc>
        <w:tc>
          <w:tcPr>
            <w:tcW w:w="980" w:type="dxa"/>
            <w:tcBorders>
              <w:top w:val="single" w:sz="4" w:space="0" w:color="auto"/>
              <w:left w:val="nil"/>
              <w:bottom w:val="single" w:sz="4" w:space="0" w:color="auto"/>
              <w:right w:val="single" w:sz="4" w:space="0" w:color="auto"/>
            </w:tcBorders>
            <w:noWrap/>
            <w:vAlign w:val="bottom"/>
            <w:hideMark/>
          </w:tcPr>
          <w:p w14:paraId="10B8A485"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89,68%</w:t>
            </w:r>
          </w:p>
        </w:tc>
      </w:tr>
      <w:tr w:rsidR="00416D67" w:rsidRPr="00416D67" w14:paraId="1BFAD8C3"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1CAAB667"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372 Ostale naknade građanima i kućanstvima iz proračuna</w:t>
            </w:r>
          </w:p>
        </w:tc>
        <w:tc>
          <w:tcPr>
            <w:tcW w:w="1520" w:type="dxa"/>
            <w:tcBorders>
              <w:top w:val="single" w:sz="4" w:space="0" w:color="auto"/>
              <w:left w:val="nil"/>
              <w:bottom w:val="single" w:sz="4" w:space="0" w:color="auto"/>
              <w:right w:val="single" w:sz="4" w:space="0" w:color="auto"/>
            </w:tcBorders>
            <w:noWrap/>
            <w:vAlign w:val="bottom"/>
            <w:hideMark/>
          </w:tcPr>
          <w:p w14:paraId="5C244D7B"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223.197,45</w:t>
            </w:r>
          </w:p>
        </w:tc>
        <w:tc>
          <w:tcPr>
            <w:tcW w:w="1280" w:type="dxa"/>
            <w:tcBorders>
              <w:top w:val="single" w:sz="4" w:space="0" w:color="auto"/>
              <w:left w:val="nil"/>
              <w:bottom w:val="single" w:sz="4" w:space="0" w:color="auto"/>
              <w:right w:val="single" w:sz="4" w:space="0" w:color="auto"/>
            </w:tcBorders>
            <w:noWrap/>
            <w:vAlign w:val="bottom"/>
            <w:hideMark/>
          </w:tcPr>
          <w:p w14:paraId="77BD4D22"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34450F4F"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58690A3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231.323,21</w:t>
            </w:r>
          </w:p>
        </w:tc>
        <w:tc>
          <w:tcPr>
            <w:tcW w:w="1080" w:type="dxa"/>
            <w:tcBorders>
              <w:top w:val="single" w:sz="4" w:space="0" w:color="auto"/>
              <w:left w:val="nil"/>
              <w:bottom w:val="single" w:sz="4" w:space="0" w:color="auto"/>
              <w:right w:val="single" w:sz="4" w:space="0" w:color="auto"/>
            </w:tcBorders>
            <w:noWrap/>
            <w:vAlign w:val="bottom"/>
            <w:hideMark/>
          </w:tcPr>
          <w:p w14:paraId="50B9A284"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103,64%</w:t>
            </w:r>
          </w:p>
        </w:tc>
        <w:tc>
          <w:tcPr>
            <w:tcW w:w="980" w:type="dxa"/>
            <w:tcBorders>
              <w:top w:val="single" w:sz="4" w:space="0" w:color="auto"/>
              <w:left w:val="nil"/>
              <w:bottom w:val="single" w:sz="4" w:space="0" w:color="auto"/>
              <w:right w:val="single" w:sz="4" w:space="0" w:color="auto"/>
            </w:tcBorders>
            <w:noWrap/>
            <w:vAlign w:val="bottom"/>
            <w:hideMark/>
          </w:tcPr>
          <w:p w14:paraId="7C9C872E"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5E3568FD"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015A7DCC" w14:textId="77777777" w:rsidR="00416D67" w:rsidRPr="00416D67" w:rsidRDefault="00416D67" w:rsidP="00416D67">
            <w:pPr>
              <w:rPr>
                <w:rFonts w:ascii="Arial" w:hAnsi="Arial" w:cs="Arial"/>
                <w:sz w:val="16"/>
                <w:szCs w:val="16"/>
              </w:rPr>
            </w:pPr>
            <w:r w:rsidRPr="00416D67">
              <w:rPr>
                <w:rFonts w:ascii="Arial" w:hAnsi="Arial" w:cs="Arial"/>
                <w:sz w:val="16"/>
                <w:szCs w:val="16"/>
              </w:rPr>
              <w:t>3721 Naknade građanima i kućanstvima u novcu</w:t>
            </w:r>
          </w:p>
        </w:tc>
        <w:tc>
          <w:tcPr>
            <w:tcW w:w="1520" w:type="dxa"/>
            <w:tcBorders>
              <w:top w:val="single" w:sz="4" w:space="0" w:color="auto"/>
              <w:left w:val="nil"/>
              <w:bottom w:val="single" w:sz="4" w:space="0" w:color="auto"/>
              <w:right w:val="single" w:sz="4" w:space="0" w:color="auto"/>
            </w:tcBorders>
            <w:noWrap/>
            <w:vAlign w:val="bottom"/>
            <w:hideMark/>
          </w:tcPr>
          <w:p w14:paraId="07989D2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174.302,47</w:t>
            </w:r>
          </w:p>
        </w:tc>
        <w:tc>
          <w:tcPr>
            <w:tcW w:w="1280" w:type="dxa"/>
            <w:tcBorders>
              <w:top w:val="single" w:sz="4" w:space="0" w:color="auto"/>
              <w:left w:val="nil"/>
              <w:bottom w:val="single" w:sz="4" w:space="0" w:color="auto"/>
              <w:right w:val="single" w:sz="4" w:space="0" w:color="auto"/>
            </w:tcBorders>
            <w:noWrap/>
            <w:vAlign w:val="bottom"/>
            <w:hideMark/>
          </w:tcPr>
          <w:p w14:paraId="04D0C04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576E09A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3374116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184.462,75</w:t>
            </w:r>
          </w:p>
        </w:tc>
        <w:tc>
          <w:tcPr>
            <w:tcW w:w="1080" w:type="dxa"/>
            <w:tcBorders>
              <w:top w:val="single" w:sz="4" w:space="0" w:color="auto"/>
              <w:left w:val="nil"/>
              <w:bottom w:val="single" w:sz="4" w:space="0" w:color="auto"/>
              <w:right w:val="single" w:sz="4" w:space="0" w:color="auto"/>
            </w:tcBorders>
            <w:noWrap/>
            <w:vAlign w:val="bottom"/>
            <w:hideMark/>
          </w:tcPr>
          <w:p w14:paraId="06CDAA7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105,83%</w:t>
            </w:r>
          </w:p>
        </w:tc>
        <w:tc>
          <w:tcPr>
            <w:tcW w:w="980" w:type="dxa"/>
            <w:tcBorders>
              <w:top w:val="single" w:sz="4" w:space="0" w:color="auto"/>
              <w:left w:val="nil"/>
              <w:bottom w:val="single" w:sz="4" w:space="0" w:color="auto"/>
              <w:right w:val="single" w:sz="4" w:space="0" w:color="auto"/>
            </w:tcBorders>
            <w:noWrap/>
            <w:vAlign w:val="bottom"/>
            <w:hideMark/>
          </w:tcPr>
          <w:p w14:paraId="1B105FB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5E2FDE0F"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4209ACDE" w14:textId="77777777" w:rsidR="00416D67" w:rsidRPr="00416D67" w:rsidRDefault="00416D67" w:rsidP="00416D67">
            <w:pPr>
              <w:rPr>
                <w:rFonts w:ascii="Arial" w:hAnsi="Arial" w:cs="Arial"/>
                <w:sz w:val="16"/>
                <w:szCs w:val="16"/>
              </w:rPr>
            </w:pPr>
            <w:r w:rsidRPr="00416D67">
              <w:rPr>
                <w:rFonts w:ascii="Arial" w:hAnsi="Arial" w:cs="Arial"/>
                <w:sz w:val="16"/>
                <w:szCs w:val="16"/>
              </w:rPr>
              <w:t>3722 Naknade građanima i kućanstvima u naravi</w:t>
            </w:r>
          </w:p>
        </w:tc>
        <w:tc>
          <w:tcPr>
            <w:tcW w:w="1520" w:type="dxa"/>
            <w:tcBorders>
              <w:top w:val="single" w:sz="4" w:space="0" w:color="auto"/>
              <w:left w:val="nil"/>
              <w:bottom w:val="single" w:sz="4" w:space="0" w:color="auto"/>
              <w:right w:val="single" w:sz="4" w:space="0" w:color="auto"/>
            </w:tcBorders>
            <w:noWrap/>
            <w:vAlign w:val="bottom"/>
            <w:hideMark/>
          </w:tcPr>
          <w:p w14:paraId="08399D43"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48.894,98</w:t>
            </w:r>
          </w:p>
        </w:tc>
        <w:tc>
          <w:tcPr>
            <w:tcW w:w="1280" w:type="dxa"/>
            <w:tcBorders>
              <w:top w:val="single" w:sz="4" w:space="0" w:color="auto"/>
              <w:left w:val="nil"/>
              <w:bottom w:val="single" w:sz="4" w:space="0" w:color="auto"/>
              <w:right w:val="single" w:sz="4" w:space="0" w:color="auto"/>
            </w:tcBorders>
            <w:noWrap/>
            <w:vAlign w:val="bottom"/>
            <w:hideMark/>
          </w:tcPr>
          <w:p w14:paraId="2552DA4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768D6FF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2B0D7F8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46.860,46</w:t>
            </w:r>
          </w:p>
        </w:tc>
        <w:tc>
          <w:tcPr>
            <w:tcW w:w="1080" w:type="dxa"/>
            <w:tcBorders>
              <w:top w:val="single" w:sz="4" w:space="0" w:color="auto"/>
              <w:left w:val="nil"/>
              <w:bottom w:val="single" w:sz="4" w:space="0" w:color="auto"/>
              <w:right w:val="single" w:sz="4" w:space="0" w:color="auto"/>
            </w:tcBorders>
            <w:noWrap/>
            <w:vAlign w:val="bottom"/>
            <w:hideMark/>
          </w:tcPr>
          <w:p w14:paraId="3FE2DA7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95,84%</w:t>
            </w:r>
          </w:p>
        </w:tc>
        <w:tc>
          <w:tcPr>
            <w:tcW w:w="980" w:type="dxa"/>
            <w:tcBorders>
              <w:top w:val="single" w:sz="4" w:space="0" w:color="auto"/>
              <w:left w:val="nil"/>
              <w:bottom w:val="single" w:sz="4" w:space="0" w:color="auto"/>
              <w:right w:val="single" w:sz="4" w:space="0" w:color="auto"/>
            </w:tcBorders>
            <w:noWrap/>
            <w:vAlign w:val="bottom"/>
            <w:hideMark/>
          </w:tcPr>
          <w:p w14:paraId="7CE45222"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2CC46699"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vAlign w:val="bottom"/>
            <w:hideMark/>
          </w:tcPr>
          <w:p w14:paraId="6D66BB17"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38 Rashodi za donacije, kazne, naknade šteta i kapitalne pomoći</w:t>
            </w:r>
          </w:p>
        </w:tc>
        <w:tc>
          <w:tcPr>
            <w:tcW w:w="1520" w:type="dxa"/>
            <w:tcBorders>
              <w:top w:val="single" w:sz="4" w:space="0" w:color="auto"/>
              <w:left w:val="nil"/>
              <w:bottom w:val="single" w:sz="4" w:space="0" w:color="auto"/>
              <w:right w:val="single" w:sz="4" w:space="0" w:color="auto"/>
            </w:tcBorders>
            <w:noWrap/>
            <w:vAlign w:val="bottom"/>
            <w:hideMark/>
          </w:tcPr>
          <w:p w14:paraId="192452CD"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582.912,06</w:t>
            </w:r>
          </w:p>
        </w:tc>
        <w:tc>
          <w:tcPr>
            <w:tcW w:w="1280" w:type="dxa"/>
            <w:tcBorders>
              <w:top w:val="single" w:sz="4" w:space="0" w:color="auto"/>
              <w:left w:val="nil"/>
              <w:bottom w:val="single" w:sz="4" w:space="0" w:color="auto"/>
              <w:right w:val="single" w:sz="4" w:space="0" w:color="auto"/>
            </w:tcBorders>
            <w:noWrap/>
            <w:vAlign w:val="bottom"/>
            <w:hideMark/>
          </w:tcPr>
          <w:p w14:paraId="21893640"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948.023,00</w:t>
            </w:r>
          </w:p>
        </w:tc>
        <w:tc>
          <w:tcPr>
            <w:tcW w:w="1260" w:type="dxa"/>
            <w:tcBorders>
              <w:top w:val="single" w:sz="4" w:space="0" w:color="auto"/>
              <w:left w:val="nil"/>
              <w:bottom w:val="single" w:sz="4" w:space="0" w:color="auto"/>
              <w:right w:val="single" w:sz="4" w:space="0" w:color="auto"/>
            </w:tcBorders>
            <w:noWrap/>
            <w:vAlign w:val="bottom"/>
            <w:hideMark/>
          </w:tcPr>
          <w:p w14:paraId="27F2FC6F"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957.148,00</w:t>
            </w:r>
          </w:p>
        </w:tc>
        <w:tc>
          <w:tcPr>
            <w:tcW w:w="1320" w:type="dxa"/>
            <w:tcBorders>
              <w:top w:val="single" w:sz="4" w:space="0" w:color="auto"/>
              <w:left w:val="nil"/>
              <w:bottom w:val="single" w:sz="4" w:space="0" w:color="auto"/>
              <w:right w:val="single" w:sz="4" w:space="0" w:color="auto"/>
            </w:tcBorders>
            <w:noWrap/>
            <w:vAlign w:val="bottom"/>
            <w:hideMark/>
          </w:tcPr>
          <w:p w14:paraId="2FCAF73B"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778.434,77</w:t>
            </w:r>
          </w:p>
        </w:tc>
        <w:tc>
          <w:tcPr>
            <w:tcW w:w="1080" w:type="dxa"/>
            <w:tcBorders>
              <w:top w:val="single" w:sz="4" w:space="0" w:color="auto"/>
              <w:left w:val="nil"/>
              <w:bottom w:val="single" w:sz="4" w:space="0" w:color="auto"/>
              <w:right w:val="single" w:sz="4" w:space="0" w:color="auto"/>
            </w:tcBorders>
            <w:noWrap/>
            <w:vAlign w:val="bottom"/>
            <w:hideMark/>
          </w:tcPr>
          <w:p w14:paraId="187B6229"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133,54%</w:t>
            </w:r>
          </w:p>
        </w:tc>
        <w:tc>
          <w:tcPr>
            <w:tcW w:w="980" w:type="dxa"/>
            <w:tcBorders>
              <w:top w:val="single" w:sz="4" w:space="0" w:color="auto"/>
              <w:left w:val="nil"/>
              <w:bottom w:val="single" w:sz="4" w:space="0" w:color="auto"/>
              <w:right w:val="single" w:sz="4" w:space="0" w:color="auto"/>
            </w:tcBorders>
            <w:noWrap/>
            <w:vAlign w:val="bottom"/>
            <w:hideMark/>
          </w:tcPr>
          <w:p w14:paraId="50717C8F"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81,33%</w:t>
            </w:r>
          </w:p>
        </w:tc>
      </w:tr>
      <w:tr w:rsidR="00416D67" w:rsidRPr="00416D67" w14:paraId="2B0963F8"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vAlign w:val="bottom"/>
            <w:hideMark/>
          </w:tcPr>
          <w:p w14:paraId="05A0BD99"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381 Tekuće donacije</w:t>
            </w:r>
          </w:p>
        </w:tc>
        <w:tc>
          <w:tcPr>
            <w:tcW w:w="1520" w:type="dxa"/>
            <w:tcBorders>
              <w:top w:val="single" w:sz="4" w:space="0" w:color="auto"/>
              <w:left w:val="nil"/>
              <w:bottom w:val="single" w:sz="4" w:space="0" w:color="auto"/>
              <w:right w:val="single" w:sz="4" w:space="0" w:color="auto"/>
            </w:tcBorders>
            <w:noWrap/>
            <w:vAlign w:val="bottom"/>
            <w:hideMark/>
          </w:tcPr>
          <w:p w14:paraId="02964B09"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418.191,53</w:t>
            </w:r>
          </w:p>
        </w:tc>
        <w:tc>
          <w:tcPr>
            <w:tcW w:w="1280" w:type="dxa"/>
            <w:tcBorders>
              <w:top w:val="single" w:sz="4" w:space="0" w:color="auto"/>
              <w:left w:val="nil"/>
              <w:bottom w:val="single" w:sz="4" w:space="0" w:color="auto"/>
              <w:right w:val="single" w:sz="4" w:space="0" w:color="auto"/>
            </w:tcBorders>
            <w:noWrap/>
            <w:vAlign w:val="bottom"/>
            <w:hideMark/>
          </w:tcPr>
          <w:p w14:paraId="5AC95170"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7846263B"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36358F88"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536.328,27</w:t>
            </w:r>
          </w:p>
        </w:tc>
        <w:tc>
          <w:tcPr>
            <w:tcW w:w="1080" w:type="dxa"/>
            <w:tcBorders>
              <w:top w:val="single" w:sz="4" w:space="0" w:color="auto"/>
              <w:left w:val="nil"/>
              <w:bottom w:val="single" w:sz="4" w:space="0" w:color="auto"/>
              <w:right w:val="single" w:sz="4" w:space="0" w:color="auto"/>
            </w:tcBorders>
            <w:noWrap/>
            <w:vAlign w:val="bottom"/>
            <w:hideMark/>
          </w:tcPr>
          <w:p w14:paraId="3FD0360A"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128,25%</w:t>
            </w:r>
          </w:p>
        </w:tc>
        <w:tc>
          <w:tcPr>
            <w:tcW w:w="980" w:type="dxa"/>
            <w:tcBorders>
              <w:top w:val="single" w:sz="4" w:space="0" w:color="auto"/>
              <w:left w:val="nil"/>
              <w:bottom w:val="single" w:sz="4" w:space="0" w:color="auto"/>
              <w:right w:val="single" w:sz="4" w:space="0" w:color="auto"/>
            </w:tcBorders>
            <w:noWrap/>
            <w:vAlign w:val="bottom"/>
            <w:hideMark/>
          </w:tcPr>
          <w:p w14:paraId="31B5EB1C"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1D71E70E"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224CEFEC" w14:textId="77777777" w:rsidR="00416D67" w:rsidRPr="00416D67" w:rsidRDefault="00416D67" w:rsidP="00416D67">
            <w:pPr>
              <w:rPr>
                <w:rFonts w:ascii="Arial" w:hAnsi="Arial" w:cs="Arial"/>
                <w:sz w:val="16"/>
                <w:szCs w:val="16"/>
              </w:rPr>
            </w:pPr>
            <w:r w:rsidRPr="00416D67">
              <w:rPr>
                <w:rFonts w:ascii="Arial" w:hAnsi="Arial" w:cs="Arial"/>
                <w:sz w:val="16"/>
                <w:szCs w:val="16"/>
              </w:rPr>
              <w:t>3811 Tekuće donacije u novcu</w:t>
            </w:r>
          </w:p>
        </w:tc>
        <w:tc>
          <w:tcPr>
            <w:tcW w:w="1520" w:type="dxa"/>
            <w:tcBorders>
              <w:top w:val="single" w:sz="4" w:space="0" w:color="auto"/>
              <w:left w:val="nil"/>
              <w:bottom w:val="single" w:sz="4" w:space="0" w:color="auto"/>
              <w:right w:val="single" w:sz="4" w:space="0" w:color="auto"/>
            </w:tcBorders>
            <w:noWrap/>
            <w:vAlign w:val="bottom"/>
            <w:hideMark/>
          </w:tcPr>
          <w:p w14:paraId="7C9CE78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418.191,53</w:t>
            </w:r>
          </w:p>
        </w:tc>
        <w:tc>
          <w:tcPr>
            <w:tcW w:w="1280" w:type="dxa"/>
            <w:tcBorders>
              <w:top w:val="single" w:sz="4" w:space="0" w:color="auto"/>
              <w:left w:val="nil"/>
              <w:bottom w:val="single" w:sz="4" w:space="0" w:color="auto"/>
              <w:right w:val="single" w:sz="4" w:space="0" w:color="auto"/>
            </w:tcBorders>
            <w:noWrap/>
            <w:vAlign w:val="bottom"/>
            <w:hideMark/>
          </w:tcPr>
          <w:p w14:paraId="2A6A379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47E3CC9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092D6952"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536.328,27</w:t>
            </w:r>
          </w:p>
        </w:tc>
        <w:tc>
          <w:tcPr>
            <w:tcW w:w="1080" w:type="dxa"/>
            <w:tcBorders>
              <w:top w:val="single" w:sz="4" w:space="0" w:color="auto"/>
              <w:left w:val="nil"/>
              <w:bottom w:val="single" w:sz="4" w:space="0" w:color="auto"/>
              <w:right w:val="single" w:sz="4" w:space="0" w:color="auto"/>
            </w:tcBorders>
            <w:noWrap/>
            <w:vAlign w:val="bottom"/>
            <w:hideMark/>
          </w:tcPr>
          <w:p w14:paraId="2E2E30C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128,25%</w:t>
            </w:r>
          </w:p>
        </w:tc>
        <w:tc>
          <w:tcPr>
            <w:tcW w:w="980" w:type="dxa"/>
            <w:tcBorders>
              <w:top w:val="single" w:sz="4" w:space="0" w:color="auto"/>
              <w:left w:val="nil"/>
              <w:bottom w:val="single" w:sz="4" w:space="0" w:color="auto"/>
              <w:right w:val="single" w:sz="4" w:space="0" w:color="auto"/>
            </w:tcBorders>
            <w:noWrap/>
            <w:vAlign w:val="bottom"/>
            <w:hideMark/>
          </w:tcPr>
          <w:p w14:paraId="3D130349"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32F21204"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35B9CE44"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382 Kapitalne donacije</w:t>
            </w:r>
          </w:p>
        </w:tc>
        <w:tc>
          <w:tcPr>
            <w:tcW w:w="1520" w:type="dxa"/>
            <w:tcBorders>
              <w:top w:val="single" w:sz="4" w:space="0" w:color="auto"/>
              <w:left w:val="nil"/>
              <w:bottom w:val="single" w:sz="4" w:space="0" w:color="auto"/>
              <w:right w:val="single" w:sz="4" w:space="0" w:color="auto"/>
            </w:tcBorders>
            <w:noWrap/>
            <w:vAlign w:val="bottom"/>
            <w:hideMark/>
          </w:tcPr>
          <w:p w14:paraId="342AD9CD"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4.720,53</w:t>
            </w:r>
          </w:p>
        </w:tc>
        <w:tc>
          <w:tcPr>
            <w:tcW w:w="1280" w:type="dxa"/>
            <w:tcBorders>
              <w:top w:val="single" w:sz="4" w:space="0" w:color="auto"/>
              <w:left w:val="nil"/>
              <w:bottom w:val="single" w:sz="4" w:space="0" w:color="auto"/>
              <w:right w:val="single" w:sz="4" w:space="0" w:color="auto"/>
            </w:tcBorders>
            <w:noWrap/>
            <w:vAlign w:val="bottom"/>
            <w:hideMark/>
          </w:tcPr>
          <w:p w14:paraId="6AF251CE"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6D393ED9"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482D0424"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62.106,50</w:t>
            </w:r>
          </w:p>
        </w:tc>
        <w:tc>
          <w:tcPr>
            <w:tcW w:w="1080" w:type="dxa"/>
            <w:tcBorders>
              <w:top w:val="single" w:sz="4" w:space="0" w:color="auto"/>
              <w:left w:val="nil"/>
              <w:bottom w:val="single" w:sz="4" w:space="0" w:color="auto"/>
              <w:right w:val="single" w:sz="4" w:space="0" w:color="auto"/>
            </w:tcBorders>
            <w:noWrap/>
            <w:vAlign w:val="bottom"/>
            <w:hideMark/>
          </w:tcPr>
          <w:p w14:paraId="0204B5EB"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1315,67%</w:t>
            </w:r>
          </w:p>
        </w:tc>
        <w:tc>
          <w:tcPr>
            <w:tcW w:w="980" w:type="dxa"/>
            <w:tcBorders>
              <w:top w:val="single" w:sz="4" w:space="0" w:color="auto"/>
              <w:left w:val="nil"/>
              <w:bottom w:val="single" w:sz="4" w:space="0" w:color="auto"/>
              <w:right w:val="single" w:sz="4" w:space="0" w:color="auto"/>
            </w:tcBorders>
            <w:noWrap/>
            <w:vAlign w:val="bottom"/>
            <w:hideMark/>
          </w:tcPr>
          <w:p w14:paraId="09C3ADE0"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1DB32092"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0BA9F14C" w14:textId="77777777" w:rsidR="00416D67" w:rsidRPr="00416D67" w:rsidRDefault="00416D67" w:rsidP="00416D67">
            <w:pPr>
              <w:rPr>
                <w:rFonts w:ascii="Arial" w:hAnsi="Arial" w:cs="Arial"/>
                <w:sz w:val="16"/>
                <w:szCs w:val="16"/>
              </w:rPr>
            </w:pPr>
            <w:r w:rsidRPr="00416D67">
              <w:rPr>
                <w:rFonts w:ascii="Arial" w:hAnsi="Arial" w:cs="Arial"/>
                <w:sz w:val="16"/>
                <w:szCs w:val="16"/>
              </w:rPr>
              <w:t>3821 Kapitalne donacije neprofitnim organizacijama</w:t>
            </w:r>
          </w:p>
        </w:tc>
        <w:tc>
          <w:tcPr>
            <w:tcW w:w="1520" w:type="dxa"/>
            <w:tcBorders>
              <w:top w:val="single" w:sz="4" w:space="0" w:color="auto"/>
              <w:left w:val="nil"/>
              <w:bottom w:val="single" w:sz="4" w:space="0" w:color="auto"/>
              <w:right w:val="single" w:sz="4" w:space="0" w:color="auto"/>
            </w:tcBorders>
            <w:noWrap/>
            <w:vAlign w:val="bottom"/>
            <w:hideMark/>
          </w:tcPr>
          <w:p w14:paraId="119AB0A4"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4.720,53</w:t>
            </w:r>
          </w:p>
        </w:tc>
        <w:tc>
          <w:tcPr>
            <w:tcW w:w="1280" w:type="dxa"/>
            <w:tcBorders>
              <w:top w:val="single" w:sz="4" w:space="0" w:color="auto"/>
              <w:left w:val="nil"/>
              <w:bottom w:val="single" w:sz="4" w:space="0" w:color="auto"/>
              <w:right w:val="single" w:sz="4" w:space="0" w:color="auto"/>
            </w:tcBorders>
            <w:noWrap/>
            <w:vAlign w:val="bottom"/>
            <w:hideMark/>
          </w:tcPr>
          <w:p w14:paraId="76772C0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54DFE8D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2CF41A1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62.106,50</w:t>
            </w:r>
          </w:p>
        </w:tc>
        <w:tc>
          <w:tcPr>
            <w:tcW w:w="1080" w:type="dxa"/>
            <w:tcBorders>
              <w:top w:val="single" w:sz="4" w:space="0" w:color="auto"/>
              <w:left w:val="nil"/>
              <w:bottom w:val="single" w:sz="4" w:space="0" w:color="auto"/>
              <w:right w:val="single" w:sz="4" w:space="0" w:color="auto"/>
            </w:tcBorders>
            <w:noWrap/>
            <w:vAlign w:val="bottom"/>
            <w:hideMark/>
          </w:tcPr>
          <w:p w14:paraId="2B9A58C6"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1315,67%</w:t>
            </w:r>
          </w:p>
        </w:tc>
        <w:tc>
          <w:tcPr>
            <w:tcW w:w="980" w:type="dxa"/>
            <w:tcBorders>
              <w:top w:val="single" w:sz="4" w:space="0" w:color="auto"/>
              <w:left w:val="nil"/>
              <w:bottom w:val="single" w:sz="4" w:space="0" w:color="auto"/>
              <w:right w:val="single" w:sz="4" w:space="0" w:color="auto"/>
            </w:tcBorders>
            <w:noWrap/>
            <w:vAlign w:val="bottom"/>
            <w:hideMark/>
          </w:tcPr>
          <w:p w14:paraId="5B4C6B09"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51828CD4"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7BF554E1"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386 Kapitalne pomoći</w:t>
            </w:r>
          </w:p>
        </w:tc>
        <w:tc>
          <w:tcPr>
            <w:tcW w:w="1520" w:type="dxa"/>
            <w:tcBorders>
              <w:top w:val="single" w:sz="4" w:space="0" w:color="auto"/>
              <w:left w:val="nil"/>
              <w:bottom w:val="single" w:sz="4" w:space="0" w:color="auto"/>
              <w:right w:val="single" w:sz="4" w:space="0" w:color="auto"/>
            </w:tcBorders>
            <w:noWrap/>
            <w:vAlign w:val="bottom"/>
            <w:hideMark/>
          </w:tcPr>
          <w:p w14:paraId="0DC645C2"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160.000,00</w:t>
            </w:r>
          </w:p>
        </w:tc>
        <w:tc>
          <w:tcPr>
            <w:tcW w:w="1280" w:type="dxa"/>
            <w:tcBorders>
              <w:top w:val="single" w:sz="4" w:space="0" w:color="auto"/>
              <w:left w:val="nil"/>
              <w:bottom w:val="single" w:sz="4" w:space="0" w:color="auto"/>
              <w:right w:val="single" w:sz="4" w:space="0" w:color="auto"/>
            </w:tcBorders>
            <w:noWrap/>
            <w:vAlign w:val="bottom"/>
            <w:hideMark/>
          </w:tcPr>
          <w:p w14:paraId="0A6EED6F"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5C977983"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3A1D8DA7"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180.000,00</w:t>
            </w:r>
          </w:p>
        </w:tc>
        <w:tc>
          <w:tcPr>
            <w:tcW w:w="1080" w:type="dxa"/>
            <w:tcBorders>
              <w:top w:val="single" w:sz="4" w:space="0" w:color="auto"/>
              <w:left w:val="nil"/>
              <w:bottom w:val="single" w:sz="4" w:space="0" w:color="auto"/>
              <w:right w:val="single" w:sz="4" w:space="0" w:color="auto"/>
            </w:tcBorders>
            <w:noWrap/>
            <w:vAlign w:val="bottom"/>
            <w:hideMark/>
          </w:tcPr>
          <w:p w14:paraId="1AD00B33"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112,50%</w:t>
            </w:r>
          </w:p>
        </w:tc>
        <w:tc>
          <w:tcPr>
            <w:tcW w:w="980" w:type="dxa"/>
            <w:tcBorders>
              <w:top w:val="single" w:sz="4" w:space="0" w:color="auto"/>
              <w:left w:val="nil"/>
              <w:bottom w:val="single" w:sz="4" w:space="0" w:color="auto"/>
              <w:right w:val="single" w:sz="4" w:space="0" w:color="auto"/>
            </w:tcBorders>
            <w:noWrap/>
            <w:vAlign w:val="bottom"/>
            <w:hideMark/>
          </w:tcPr>
          <w:p w14:paraId="3A4A5A9A"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3EB5965A" w14:textId="77777777" w:rsidTr="00BB1392">
        <w:trPr>
          <w:trHeight w:val="525"/>
        </w:trPr>
        <w:tc>
          <w:tcPr>
            <w:tcW w:w="6780" w:type="dxa"/>
            <w:tcBorders>
              <w:top w:val="single" w:sz="4" w:space="0" w:color="auto"/>
              <w:left w:val="single" w:sz="4" w:space="0" w:color="auto"/>
              <w:bottom w:val="single" w:sz="4" w:space="0" w:color="auto"/>
              <w:right w:val="single" w:sz="4" w:space="0" w:color="auto"/>
            </w:tcBorders>
            <w:vAlign w:val="bottom"/>
            <w:hideMark/>
          </w:tcPr>
          <w:p w14:paraId="1861746A" w14:textId="77777777" w:rsidR="00416D67" w:rsidRPr="00416D67" w:rsidRDefault="00416D67" w:rsidP="00416D67">
            <w:pPr>
              <w:rPr>
                <w:rFonts w:ascii="Arial" w:hAnsi="Arial" w:cs="Arial"/>
                <w:sz w:val="16"/>
                <w:szCs w:val="16"/>
              </w:rPr>
            </w:pPr>
            <w:r w:rsidRPr="00416D67">
              <w:rPr>
                <w:rFonts w:ascii="Arial" w:hAnsi="Arial" w:cs="Arial"/>
                <w:sz w:val="16"/>
                <w:szCs w:val="16"/>
              </w:rPr>
              <w:t>3861 Kapitalne pomoći kreditnim i ostalim financijskim institucijama te trgovačkim društvima u javnom sektoru</w:t>
            </w:r>
          </w:p>
        </w:tc>
        <w:tc>
          <w:tcPr>
            <w:tcW w:w="1520" w:type="dxa"/>
            <w:tcBorders>
              <w:top w:val="single" w:sz="4" w:space="0" w:color="auto"/>
              <w:left w:val="nil"/>
              <w:bottom w:val="single" w:sz="4" w:space="0" w:color="auto"/>
              <w:right w:val="single" w:sz="4" w:space="0" w:color="auto"/>
            </w:tcBorders>
            <w:noWrap/>
            <w:vAlign w:val="bottom"/>
            <w:hideMark/>
          </w:tcPr>
          <w:p w14:paraId="6DBBC05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160.000,00</w:t>
            </w:r>
          </w:p>
        </w:tc>
        <w:tc>
          <w:tcPr>
            <w:tcW w:w="1280" w:type="dxa"/>
            <w:tcBorders>
              <w:top w:val="single" w:sz="4" w:space="0" w:color="auto"/>
              <w:left w:val="nil"/>
              <w:bottom w:val="single" w:sz="4" w:space="0" w:color="auto"/>
              <w:right w:val="single" w:sz="4" w:space="0" w:color="auto"/>
            </w:tcBorders>
            <w:noWrap/>
            <w:vAlign w:val="bottom"/>
            <w:hideMark/>
          </w:tcPr>
          <w:p w14:paraId="56CF1F3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62EDC883"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57323EA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180.000,00</w:t>
            </w:r>
          </w:p>
        </w:tc>
        <w:tc>
          <w:tcPr>
            <w:tcW w:w="1080" w:type="dxa"/>
            <w:tcBorders>
              <w:top w:val="single" w:sz="4" w:space="0" w:color="auto"/>
              <w:left w:val="nil"/>
              <w:bottom w:val="single" w:sz="4" w:space="0" w:color="auto"/>
              <w:right w:val="single" w:sz="4" w:space="0" w:color="auto"/>
            </w:tcBorders>
            <w:noWrap/>
            <w:vAlign w:val="bottom"/>
            <w:hideMark/>
          </w:tcPr>
          <w:p w14:paraId="3D9975B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112,50%</w:t>
            </w:r>
          </w:p>
        </w:tc>
        <w:tc>
          <w:tcPr>
            <w:tcW w:w="980" w:type="dxa"/>
            <w:tcBorders>
              <w:top w:val="single" w:sz="4" w:space="0" w:color="auto"/>
              <w:left w:val="nil"/>
              <w:bottom w:val="single" w:sz="4" w:space="0" w:color="auto"/>
              <w:right w:val="single" w:sz="4" w:space="0" w:color="auto"/>
            </w:tcBorders>
            <w:noWrap/>
            <w:vAlign w:val="bottom"/>
            <w:hideMark/>
          </w:tcPr>
          <w:p w14:paraId="4344BA8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133E46EE"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5755E072"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4 Rashodi za nabavu nefinancijske imovine</w:t>
            </w:r>
          </w:p>
        </w:tc>
        <w:tc>
          <w:tcPr>
            <w:tcW w:w="1520" w:type="dxa"/>
            <w:tcBorders>
              <w:top w:val="single" w:sz="4" w:space="0" w:color="auto"/>
              <w:left w:val="nil"/>
              <w:bottom w:val="single" w:sz="4" w:space="0" w:color="auto"/>
              <w:right w:val="single" w:sz="4" w:space="0" w:color="auto"/>
            </w:tcBorders>
            <w:noWrap/>
            <w:vAlign w:val="bottom"/>
            <w:hideMark/>
          </w:tcPr>
          <w:p w14:paraId="149068E2"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1.827.066,29</w:t>
            </w:r>
          </w:p>
        </w:tc>
        <w:tc>
          <w:tcPr>
            <w:tcW w:w="1280" w:type="dxa"/>
            <w:tcBorders>
              <w:top w:val="single" w:sz="4" w:space="0" w:color="auto"/>
              <w:left w:val="nil"/>
              <w:bottom w:val="single" w:sz="4" w:space="0" w:color="auto"/>
              <w:right w:val="single" w:sz="4" w:space="0" w:color="auto"/>
            </w:tcBorders>
            <w:noWrap/>
            <w:vAlign w:val="bottom"/>
            <w:hideMark/>
          </w:tcPr>
          <w:p w14:paraId="0314560F"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3.073.694,77</w:t>
            </w:r>
          </w:p>
        </w:tc>
        <w:tc>
          <w:tcPr>
            <w:tcW w:w="1260" w:type="dxa"/>
            <w:tcBorders>
              <w:top w:val="single" w:sz="4" w:space="0" w:color="auto"/>
              <w:left w:val="nil"/>
              <w:bottom w:val="single" w:sz="4" w:space="0" w:color="auto"/>
              <w:right w:val="single" w:sz="4" w:space="0" w:color="auto"/>
            </w:tcBorders>
            <w:noWrap/>
            <w:vAlign w:val="bottom"/>
            <w:hideMark/>
          </w:tcPr>
          <w:p w14:paraId="3E363A84"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3.111.154,77</w:t>
            </w:r>
          </w:p>
        </w:tc>
        <w:tc>
          <w:tcPr>
            <w:tcW w:w="1320" w:type="dxa"/>
            <w:tcBorders>
              <w:top w:val="single" w:sz="4" w:space="0" w:color="auto"/>
              <w:left w:val="nil"/>
              <w:bottom w:val="single" w:sz="4" w:space="0" w:color="auto"/>
              <w:right w:val="single" w:sz="4" w:space="0" w:color="auto"/>
            </w:tcBorders>
            <w:noWrap/>
            <w:vAlign w:val="bottom"/>
            <w:hideMark/>
          </w:tcPr>
          <w:p w14:paraId="416FB538"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2.172.336,49</w:t>
            </w:r>
          </w:p>
        </w:tc>
        <w:tc>
          <w:tcPr>
            <w:tcW w:w="1080" w:type="dxa"/>
            <w:tcBorders>
              <w:top w:val="single" w:sz="4" w:space="0" w:color="auto"/>
              <w:left w:val="nil"/>
              <w:bottom w:val="single" w:sz="4" w:space="0" w:color="auto"/>
              <w:right w:val="single" w:sz="4" w:space="0" w:color="auto"/>
            </w:tcBorders>
            <w:noWrap/>
            <w:vAlign w:val="bottom"/>
            <w:hideMark/>
          </w:tcPr>
          <w:p w14:paraId="7587F8F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118,90%</w:t>
            </w:r>
          </w:p>
        </w:tc>
        <w:tc>
          <w:tcPr>
            <w:tcW w:w="980" w:type="dxa"/>
            <w:tcBorders>
              <w:top w:val="single" w:sz="4" w:space="0" w:color="auto"/>
              <w:left w:val="nil"/>
              <w:bottom w:val="single" w:sz="4" w:space="0" w:color="auto"/>
              <w:right w:val="single" w:sz="4" w:space="0" w:color="auto"/>
            </w:tcBorders>
            <w:noWrap/>
            <w:vAlign w:val="bottom"/>
            <w:hideMark/>
          </w:tcPr>
          <w:p w14:paraId="7C66EA7A"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69,82%</w:t>
            </w:r>
          </w:p>
        </w:tc>
      </w:tr>
      <w:tr w:rsidR="00416D67" w:rsidRPr="00416D67" w14:paraId="79F420B1"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5733CEA2"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 xml:space="preserve">41 Rashodi za nabavu </w:t>
            </w:r>
            <w:proofErr w:type="spellStart"/>
            <w:r w:rsidRPr="00416D67">
              <w:rPr>
                <w:rFonts w:ascii="Arial" w:hAnsi="Arial" w:cs="Arial"/>
                <w:b/>
                <w:bCs/>
                <w:sz w:val="16"/>
                <w:szCs w:val="16"/>
              </w:rPr>
              <w:t>neproizvedene</w:t>
            </w:r>
            <w:proofErr w:type="spellEnd"/>
            <w:r w:rsidRPr="00416D67">
              <w:rPr>
                <w:rFonts w:ascii="Arial" w:hAnsi="Arial" w:cs="Arial"/>
                <w:b/>
                <w:bCs/>
                <w:sz w:val="16"/>
                <w:szCs w:val="16"/>
              </w:rPr>
              <w:t xml:space="preserve"> dugotrajne imovine</w:t>
            </w:r>
          </w:p>
        </w:tc>
        <w:tc>
          <w:tcPr>
            <w:tcW w:w="1520" w:type="dxa"/>
            <w:tcBorders>
              <w:top w:val="single" w:sz="4" w:space="0" w:color="auto"/>
              <w:left w:val="nil"/>
              <w:bottom w:val="single" w:sz="4" w:space="0" w:color="auto"/>
              <w:right w:val="single" w:sz="4" w:space="0" w:color="auto"/>
            </w:tcBorders>
            <w:noWrap/>
            <w:vAlign w:val="bottom"/>
            <w:hideMark/>
          </w:tcPr>
          <w:p w14:paraId="798B0333"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12.121,28</w:t>
            </w:r>
          </w:p>
        </w:tc>
        <w:tc>
          <w:tcPr>
            <w:tcW w:w="1280" w:type="dxa"/>
            <w:tcBorders>
              <w:top w:val="single" w:sz="4" w:space="0" w:color="auto"/>
              <w:left w:val="nil"/>
              <w:bottom w:val="single" w:sz="4" w:space="0" w:color="auto"/>
              <w:right w:val="single" w:sz="4" w:space="0" w:color="auto"/>
            </w:tcBorders>
            <w:noWrap/>
            <w:vAlign w:val="bottom"/>
            <w:hideMark/>
          </w:tcPr>
          <w:p w14:paraId="6506C060"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153.470,00</w:t>
            </w:r>
          </w:p>
        </w:tc>
        <w:tc>
          <w:tcPr>
            <w:tcW w:w="1260" w:type="dxa"/>
            <w:tcBorders>
              <w:top w:val="single" w:sz="4" w:space="0" w:color="auto"/>
              <w:left w:val="nil"/>
              <w:bottom w:val="single" w:sz="4" w:space="0" w:color="auto"/>
              <w:right w:val="single" w:sz="4" w:space="0" w:color="auto"/>
            </w:tcBorders>
            <w:noWrap/>
            <w:vAlign w:val="bottom"/>
            <w:hideMark/>
          </w:tcPr>
          <w:p w14:paraId="4F0EFEA9"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153.470,00</w:t>
            </w:r>
          </w:p>
        </w:tc>
        <w:tc>
          <w:tcPr>
            <w:tcW w:w="1320" w:type="dxa"/>
            <w:tcBorders>
              <w:top w:val="single" w:sz="4" w:space="0" w:color="auto"/>
              <w:left w:val="nil"/>
              <w:bottom w:val="single" w:sz="4" w:space="0" w:color="auto"/>
              <w:right w:val="single" w:sz="4" w:space="0" w:color="auto"/>
            </w:tcBorders>
            <w:noWrap/>
            <w:vAlign w:val="bottom"/>
            <w:hideMark/>
          </w:tcPr>
          <w:p w14:paraId="0D4C86CB"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141.772,96</w:t>
            </w:r>
          </w:p>
        </w:tc>
        <w:tc>
          <w:tcPr>
            <w:tcW w:w="1080" w:type="dxa"/>
            <w:tcBorders>
              <w:top w:val="single" w:sz="4" w:space="0" w:color="auto"/>
              <w:left w:val="nil"/>
              <w:bottom w:val="single" w:sz="4" w:space="0" w:color="auto"/>
              <w:right w:val="single" w:sz="4" w:space="0" w:color="auto"/>
            </w:tcBorders>
            <w:noWrap/>
            <w:vAlign w:val="bottom"/>
            <w:hideMark/>
          </w:tcPr>
          <w:p w14:paraId="4BDBD4B7"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1169,62%</w:t>
            </w:r>
          </w:p>
        </w:tc>
        <w:tc>
          <w:tcPr>
            <w:tcW w:w="980" w:type="dxa"/>
            <w:tcBorders>
              <w:top w:val="single" w:sz="4" w:space="0" w:color="auto"/>
              <w:left w:val="nil"/>
              <w:bottom w:val="single" w:sz="4" w:space="0" w:color="auto"/>
              <w:right w:val="single" w:sz="4" w:space="0" w:color="auto"/>
            </w:tcBorders>
            <w:noWrap/>
            <w:vAlign w:val="bottom"/>
            <w:hideMark/>
          </w:tcPr>
          <w:p w14:paraId="4B7C4872"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92,38%</w:t>
            </w:r>
          </w:p>
        </w:tc>
      </w:tr>
      <w:tr w:rsidR="00416D67" w:rsidRPr="00416D67" w14:paraId="068136B4"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259719FE"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411 Materijalna imovina - prirodna bogatstva</w:t>
            </w:r>
          </w:p>
        </w:tc>
        <w:tc>
          <w:tcPr>
            <w:tcW w:w="1520" w:type="dxa"/>
            <w:tcBorders>
              <w:top w:val="single" w:sz="4" w:space="0" w:color="auto"/>
              <w:left w:val="nil"/>
              <w:bottom w:val="single" w:sz="4" w:space="0" w:color="auto"/>
              <w:right w:val="single" w:sz="4" w:space="0" w:color="auto"/>
            </w:tcBorders>
            <w:noWrap/>
            <w:vAlign w:val="bottom"/>
            <w:hideMark/>
          </w:tcPr>
          <w:p w14:paraId="30CCEA22"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12.121,28</w:t>
            </w:r>
          </w:p>
        </w:tc>
        <w:tc>
          <w:tcPr>
            <w:tcW w:w="1280" w:type="dxa"/>
            <w:tcBorders>
              <w:top w:val="single" w:sz="4" w:space="0" w:color="auto"/>
              <w:left w:val="nil"/>
              <w:bottom w:val="single" w:sz="4" w:space="0" w:color="auto"/>
              <w:right w:val="single" w:sz="4" w:space="0" w:color="auto"/>
            </w:tcBorders>
            <w:noWrap/>
            <w:vAlign w:val="bottom"/>
            <w:hideMark/>
          </w:tcPr>
          <w:p w14:paraId="403EF16B"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49C07242"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76EC2664"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141.772,96</w:t>
            </w:r>
          </w:p>
        </w:tc>
        <w:tc>
          <w:tcPr>
            <w:tcW w:w="1080" w:type="dxa"/>
            <w:tcBorders>
              <w:top w:val="single" w:sz="4" w:space="0" w:color="auto"/>
              <w:left w:val="nil"/>
              <w:bottom w:val="single" w:sz="4" w:space="0" w:color="auto"/>
              <w:right w:val="single" w:sz="4" w:space="0" w:color="auto"/>
            </w:tcBorders>
            <w:noWrap/>
            <w:vAlign w:val="bottom"/>
            <w:hideMark/>
          </w:tcPr>
          <w:p w14:paraId="5C89B10E"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1169,62%</w:t>
            </w:r>
          </w:p>
        </w:tc>
        <w:tc>
          <w:tcPr>
            <w:tcW w:w="980" w:type="dxa"/>
            <w:tcBorders>
              <w:top w:val="single" w:sz="4" w:space="0" w:color="auto"/>
              <w:left w:val="nil"/>
              <w:bottom w:val="single" w:sz="4" w:space="0" w:color="auto"/>
              <w:right w:val="single" w:sz="4" w:space="0" w:color="auto"/>
            </w:tcBorders>
            <w:noWrap/>
            <w:vAlign w:val="bottom"/>
            <w:hideMark/>
          </w:tcPr>
          <w:p w14:paraId="295A4120"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28D00B02"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261C5535" w14:textId="77777777" w:rsidR="00416D67" w:rsidRPr="00416D67" w:rsidRDefault="00416D67" w:rsidP="00416D67">
            <w:pPr>
              <w:rPr>
                <w:rFonts w:ascii="Arial" w:hAnsi="Arial" w:cs="Arial"/>
                <w:sz w:val="16"/>
                <w:szCs w:val="16"/>
              </w:rPr>
            </w:pPr>
            <w:r w:rsidRPr="00416D67">
              <w:rPr>
                <w:rFonts w:ascii="Arial" w:hAnsi="Arial" w:cs="Arial"/>
                <w:sz w:val="16"/>
                <w:szCs w:val="16"/>
              </w:rPr>
              <w:t>4111 Zemljište</w:t>
            </w:r>
          </w:p>
        </w:tc>
        <w:tc>
          <w:tcPr>
            <w:tcW w:w="1520" w:type="dxa"/>
            <w:tcBorders>
              <w:top w:val="single" w:sz="4" w:space="0" w:color="auto"/>
              <w:left w:val="nil"/>
              <w:bottom w:val="single" w:sz="4" w:space="0" w:color="auto"/>
              <w:right w:val="single" w:sz="4" w:space="0" w:color="auto"/>
            </w:tcBorders>
            <w:noWrap/>
            <w:vAlign w:val="bottom"/>
            <w:hideMark/>
          </w:tcPr>
          <w:p w14:paraId="27FDA67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12.121,28</w:t>
            </w:r>
          </w:p>
        </w:tc>
        <w:tc>
          <w:tcPr>
            <w:tcW w:w="1280" w:type="dxa"/>
            <w:tcBorders>
              <w:top w:val="single" w:sz="4" w:space="0" w:color="auto"/>
              <w:left w:val="nil"/>
              <w:bottom w:val="single" w:sz="4" w:space="0" w:color="auto"/>
              <w:right w:val="single" w:sz="4" w:space="0" w:color="auto"/>
            </w:tcBorders>
            <w:noWrap/>
            <w:vAlign w:val="bottom"/>
            <w:hideMark/>
          </w:tcPr>
          <w:p w14:paraId="48E8501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13555DE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4D00D8D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141.772,96</w:t>
            </w:r>
          </w:p>
        </w:tc>
        <w:tc>
          <w:tcPr>
            <w:tcW w:w="1080" w:type="dxa"/>
            <w:tcBorders>
              <w:top w:val="single" w:sz="4" w:space="0" w:color="auto"/>
              <w:left w:val="nil"/>
              <w:bottom w:val="single" w:sz="4" w:space="0" w:color="auto"/>
              <w:right w:val="single" w:sz="4" w:space="0" w:color="auto"/>
            </w:tcBorders>
            <w:noWrap/>
            <w:vAlign w:val="bottom"/>
            <w:hideMark/>
          </w:tcPr>
          <w:p w14:paraId="348C5D9E"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1169,62%</w:t>
            </w:r>
          </w:p>
        </w:tc>
        <w:tc>
          <w:tcPr>
            <w:tcW w:w="980" w:type="dxa"/>
            <w:tcBorders>
              <w:top w:val="single" w:sz="4" w:space="0" w:color="auto"/>
              <w:left w:val="nil"/>
              <w:bottom w:val="single" w:sz="4" w:space="0" w:color="auto"/>
              <w:right w:val="single" w:sz="4" w:space="0" w:color="auto"/>
            </w:tcBorders>
            <w:noWrap/>
            <w:vAlign w:val="bottom"/>
            <w:hideMark/>
          </w:tcPr>
          <w:p w14:paraId="07F04D3E"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5920C771"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50430A24"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42 Rashodi za nabavu proizvedene dugotrajne imovine</w:t>
            </w:r>
          </w:p>
        </w:tc>
        <w:tc>
          <w:tcPr>
            <w:tcW w:w="1520" w:type="dxa"/>
            <w:tcBorders>
              <w:top w:val="single" w:sz="4" w:space="0" w:color="auto"/>
              <w:left w:val="nil"/>
              <w:bottom w:val="single" w:sz="4" w:space="0" w:color="auto"/>
              <w:right w:val="single" w:sz="4" w:space="0" w:color="auto"/>
            </w:tcBorders>
            <w:noWrap/>
            <w:vAlign w:val="bottom"/>
            <w:hideMark/>
          </w:tcPr>
          <w:p w14:paraId="36E8ECAF"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1.678.034,35</w:t>
            </w:r>
          </w:p>
        </w:tc>
        <w:tc>
          <w:tcPr>
            <w:tcW w:w="1280" w:type="dxa"/>
            <w:tcBorders>
              <w:top w:val="single" w:sz="4" w:space="0" w:color="auto"/>
              <w:left w:val="nil"/>
              <w:bottom w:val="single" w:sz="4" w:space="0" w:color="auto"/>
              <w:right w:val="single" w:sz="4" w:space="0" w:color="auto"/>
            </w:tcBorders>
            <w:noWrap/>
            <w:vAlign w:val="bottom"/>
            <w:hideMark/>
          </w:tcPr>
          <w:p w14:paraId="20CCB4BE"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2.709.224,77</w:t>
            </w:r>
          </w:p>
        </w:tc>
        <w:tc>
          <w:tcPr>
            <w:tcW w:w="1260" w:type="dxa"/>
            <w:tcBorders>
              <w:top w:val="single" w:sz="4" w:space="0" w:color="auto"/>
              <w:left w:val="nil"/>
              <w:bottom w:val="single" w:sz="4" w:space="0" w:color="auto"/>
              <w:right w:val="single" w:sz="4" w:space="0" w:color="auto"/>
            </w:tcBorders>
            <w:noWrap/>
            <w:vAlign w:val="bottom"/>
            <w:hideMark/>
          </w:tcPr>
          <w:p w14:paraId="683E9538"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2.702.841,27</w:t>
            </w:r>
          </w:p>
        </w:tc>
        <w:tc>
          <w:tcPr>
            <w:tcW w:w="1320" w:type="dxa"/>
            <w:tcBorders>
              <w:top w:val="single" w:sz="4" w:space="0" w:color="auto"/>
              <w:left w:val="nil"/>
              <w:bottom w:val="single" w:sz="4" w:space="0" w:color="auto"/>
              <w:right w:val="single" w:sz="4" w:space="0" w:color="auto"/>
            </w:tcBorders>
            <w:noWrap/>
            <w:vAlign w:val="bottom"/>
            <w:hideMark/>
          </w:tcPr>
          <w:p w14:paraId="43EF680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1.752.058,67</w:t>
            </w:r>
          </w:p>
        </w:tc>
        <w:tc>
          <w:tcPr>
            <w:tcW w:w="1080" w:type="dxa"/>
            <w:tcBorders>
              <w:top w:val="single" w:sz="4" w:space="0" w:color="auto"/>
              <w:left w:val="nil"/>
              <w:bottom w:val="single" w:sz="4" w:space="0" w:color="auto"/>
              <w:right w:val="single" w:sz="4" w:space="0" w:color="auto"/>
            </w:tcBorders>
            <w:noWrap/>
            <w:vAlign w:val="bottom"/>
            <w:hideMark/>
          </w:tcPr>
          <w:p w14:paraId="5276907C"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104,41%</w:t>
            </w:r>
          </w:p>
        </w:tc>
        <w:tc>
          <w:tcPr>
            <w:tcW w:w="980" w:type="dxa"/>
            <w:tcBorders>
              <w:top w:val="single" w:sz="4" w:space="0" w:color="auto"/>
              <w:left w:val="nil"/>
              <w:bottom w:val="single" w:sz="4" w:space="0" w:color="auto"/>
              <w:right w:val="single" w:sz="4" w:space="0" w:color="auto"/>
            </w:tcBorders>
            <w:noWrap/>
            <w:vAlign w:val="bottom"/>
            <w:hideMark/>
          </w:tcPr>
          <w:p w14:paraId="2991CAE0"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64,82%</w:t>
            </w:r>
          </w:p>
        </w:tc>
      </w:tr>
      <w:tr w:rsidR="00416D67" w:rsidRPr="00416D67" w14:paraId="600B3648"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5990329C"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421 Građevinski objekti</w:t>
            </w:r>
          </w:p>
        </w:tc>
        <w:tc>
          <w:tcPr>
            <w:tcW w:w="1520" w:type="dxa"/>
            <w:tcBorders>
              <w:top w:val="single" w:sz="4" w:space="0" w:color="auto"/>
              <w:left w:val="nil"/>
              <w:bottom w:val="single" w:sz="4" w:space="0" w:color="auto"/>
              <w:right w:val="single" w:sz="4" w:space="0" w:color="auto"/>
            </w:tcBorders>
            <w:noWrap/>
            <w:vAlign w:val="bottom"/>
            <w:hideMark/>
          </w:tcPr>
          <w:p w14:paraId="0BF26E7B"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1.607.634,31</w:t>
            </w:r>
          </w:p>
        </w:tc>
        <w:tc>
          <w:tcPr>
            <w:tcW w:w="1280" w:type="dxa"/>
            <w:tcBorders>
              <w:top w:val="single" w:sz="4" w:space="0" w:color="auto"/>
              <w:left w:val="nil"/>
              <w:bottom w:val="single" w:sz="4" w:space="0" w:color="auto"/>
              <w:right w:val="single" w:sz="4" w:space="0" w:color="auto"/>
            </w:tcBorders>
            <w:noWrap/>
            <w:vAlign w:val="bottom"/>
            <w:hideMark/>
          </w:tcPr>
          <w:p w14:paraId="6E85160F"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02AC3231"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230E3547"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1.693.193,62</w:t>
            </w:r>
          </w:p>
        </w:tc>
        <w:tc>
          <w:tcPr>
            <w:tcW w:w="1080" w:type="dxa"/>
            <w:tcBorders>
              <w:top w:val="single" w:sz="4" w:space="0" w:color="auto"/>
              <w:left w:val="nil"/>
              <w:bottom w:val="single" w:sz="4" w:space="0" w:color="auto"/>
              <w:right w:val="single" w:sz="4" w:space="0" w:color="auto"/>
            </w:tcBorders>
            <w:noWrap/>
            <w:vAlign w:val="bottom"/>
            <w:hideMark/>
          </w:tcPr>
          <w:p w14:paraId="731EB677"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105,32%</w:t>
            </w:r>
          </w:p>
        </w:tc>
        <w:tc>
          <w:tcPr>
            <w:tcW w:w="980" w:type="dxa"/>
            <w:tcBorders>
              <w:top w:val="single" w:sz="4" w:space="0" w:color="auto"/>
              <w:left w:val="nil"/>
              <w:bottom w:val="single" w:sz="4" w:space="0" w:color="auto"/>
              <w:right w:val="single" w:sz="4" w:space="0" w:color="auto"/>
            </w:tcBorders>
            <w:noWrap/>
            <w:vAlign w:val="bottom"/>
            <w:hideMark/>
          </w:tcPr>
          <w:p w14:paraId="7C4AE39F"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62CD15DB"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292E5B2C" w14:textId="77777777" w:rsidR="00416D67" w:rsidRPr="00416D67" w:rsidRDefault="00416D67" w:rsidP="00416D67">
            <w:pPr>
              <w:rPr>
                <w:rFonts w:ascii="Arial" w:hAnsi="Arial" w:cs="Arial"/>
                <w:sz w:val="16"/>
                <w:szCs w:val="16"/>
              </w:rPr>
            </w:pPr>
            <w:r w:rsidRPr="00416D67">
              <w:rPr>
                <w:rFonts w:ascii="Arial" w:hAnsi="Arial" w:cs="Arial"/>
                <w:sz w:val="16"/>
                <w:szCs w:val="16"/>
              </w:rPr>
              <w:t>4212 Poslovni objekti</w:t>
            </w:r>
          </w:p>
        </w:tc>
        <w:tc>
          <w:tcPr>
            <w:tcW w:w="1520" w:type="dxa"/>
            <w:tcBorders>
              <w:top w:val="single" w:sz="4" w:space="0" w:color="auto"/>
              <w:left w:val="nil"/>
              <w:bottom w:val="single" w:sz="4" w:space="0" w:color="auto"/>
              <w:right w:val="single" w:sz="4" w:space="0" w:color="auto"/>
            </w:tcBorders>
            <w:noWrap/>
            <w:vAlign w:val="bottom"/>
            <w:hideMark/>
          </w:tcPr>
          <w:p w14:paraId="726C79D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0,00</w:t>
            </w:r>
          </w:p>
        </w:tc>
        <w:tc>
          <w:tcPr>
            <w:tcW w:w="1280" w:type="dxa"/>
            <w:tcBorders>
              <w:top w:val="single" w:sz="4" w:space="0" w:color="auto"/>
              <w:left w:val="nil"/>
              <w:bottom w:val="single" w:sz="4" w:space="0" w:color="auto"/>
              <w:right w:val="single" w:sz="4" w:space="0" w:color="auto"/>
            </w:tcBorders>
            <w:noWrap/>
            <w:vAlign w:val="bottom"/>
            <w:hideMark/>
          </w:tcPr>
          <w:p w14:paraId="468B9C5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74FA01C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362354B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53.073,75</w:t>
            </w:r>
          </w:p>
        </w:tc>
        <w:tc>
          <w:tcPr>
            <w:tcW w:w="1080" w:type="dxa"/>
            <w:tcBorders>
              <w:top w:val="single" w:sz="4" w:space="0" w:color="auto"/>
              <w:left w:val="nil"/>
              <w:bottom w:val="single" w:sz="4" w:space="0" w:color="auto"/>
              <w:right w:val="single" w:sz="4" w:space="0" w:color="auto"/>
            </w:tcBorders>
            <w:noWrap/>
            <w:vAlign w:val="bottom"/>
            <w:hideMark/>
          </w:tcPr>
          <w:p w14:paraId="04768C8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0,00%</w:t>
            </w:r>
          </w:p>
        </w:tc>
        <w:tc>
          <w:tcPr>
            <w:tcW w:w="980" w:type="dxa"/>
            <w:tcBorders>
              <w:top w:val="single" w:sz="4" w:space="0" w:color="auto"/>
              <w:left w:val="nil"/>
              <w:bottom w:val="single" w:sz="4" w:space="0" w:color="auto"/>
              <w:right w:val="single" w:sz="4" w:space="0" w:color="auto"/>
            </w:tcBorders>
            <w:noWrap/>
            <w:vAlign w:val="bottom"/>
            <w:hideMark/>
          </w:tcPr>
          <w:p w14:paraId="52FA2E3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5D40F92F"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70CC4CC5" w14:textId="77777777" w:rsidR="00416D67" w:rsidRPr="00416D67" w:rsidRDefault="00416D67" w:rsidP="00416D67">
            <w:pPr>
              <w:rPr>
                <w:rFonts w:ascii="Arial" w:hAnsi="Arial" w:cs="Arial"/>
                <w:sz w:val="16"/>
                <w:szCs w:val="16"/>
              </w:rPr>
            </w:pPr>
            <w:r w:rsidRPr="00416D67">
              <w:rPr>
                <w:rFonts w:ascii="Arial" w:hAnsi="Arial" w:cs="Arial"/>
                <w:sz w:val="16"/>
                <w:szCs w:val="16"/>
              </w:rPr>
              <w:t>4213 Ceste, željeznice i ostali prometni objekti</w:t>
            </w:r>
          </w:p>
        </w:tc>
        <w:tc>
          <w:tcPr>
            <w:tcW w:w="1520" w:type="dxa"/>
            <w:tcBorders>
              <w:top w:val="single" w:sz="4" w:space="0" w:color="auto"/>
              <w:left w:val="nil"/>
              <w:bottom w:val="single" w:sz="4" w:space="0" w:color="auto"/>
              <w:right w:val="single" w:sz="4" w:space="0" w:color="auto"/>
            </w:tcBorders>
            <w:noWrap/>
            <w:vAlign w:val="bottom"/>
            <w:hideMark/>
          </w:tcPr>
          <w:p w14:paraId="68AA1614"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396.915,95</w:t>
            </w:r>
          </w:p>
        </w:tc>
        <w:tc>
          <w:tcPr>
            <w:tcW w:w="1280" w:type="dxa"/>
            <w:tcBorders>
              <w:top w:val="single" w:sz="4" w:space="0" w:color="auto"/>
              <w:left w:val="nil"/>
              <w:bottom w:val="single" w:sz="4" w:space="0" w:color="auto"/>
              <w:right w:val="single" w:sz="4" w:space="0" w:color="auto"/>
            </w:tcBorders>
            <w:noWrap/>
            <w:vAlign w:val="bottom"/>
            <w:hideMark/>
          </w:tcPr>
          <w:p w14:paraId="601DE87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766CDA79"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490656B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730.343,12</w:t>
            </w:r>
          </w:p>
        </w:tc>
        <w:tc>
          <w:tcPr>
            <w:tcW w:w="1080" w:type="dxa"/>
            <w:tcBorders>
              <w:top w:val="single" w:sz="4" w:space="0" w:color="auto"/>
              <w:left w:val="nil"/>
              <w:bottom w:val="single" w:sz="4" w:space="0" w:color="auto"/>
              <w:right w:val="single" w:sz="4" w:space="0" w:color="auto"/>
            </w:tcBorders>
            <w:noWrap/>
            <w:vAlign w:val="bottom"/>
            <w:hideMark/>
          </w:tcPr>
          <w:p w14:paraId="1339363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184,00%</w:t>
            </w:r>
          </w:p>
        </w:tc>
        <w:tc>
          <w:tcPr>
            <w:tcW w:w="980" w:type="dxa"/>
            <w:tcBorders>
              <w:top w:val="single" w:sz="4" w:space="0" w:color="auto"/>
              <w:left w:val="nil"/>
              <w:bottom w:val="single" w:sz="4" w:space="0" w:color="auto"/>
              <w:right w:val="single" w:sz="4" w:space="0" w:color="auto"/>
            </w:tcBorders>
            <w:noWrap/>
            <w:vAlign w:val="bottom"/>
            <w:hideMark/>
          </w:tcPr>
          <w:p w14:paraId="14E2D639"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7AD62E03"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20A46DEC" w14:textId="77777777" w:rsidR="00416D67" w:rsidRPr="00416D67" w:rsidRDefault="00416D67" w:rsidP="00416D67">
            <w:pPr>
              <w:rPr>
                <w:rFonts w:ascii="Arial" w:hAnsi="Arial" w:cs="Arial"/>
                <w:sz w:val="16"/>
                <w:szCs w:val="16"/>
              </w:rPr>
            </w:pPr>
            <w:r w:rsidRPr="00416D67">
              <w:rPr>
                <w:rFonts w:ascii="Arial" w:hAnsi="Arial" w:cs="Arial"/>
                <w:sz w:val="16"/>
                <w:szCs w:val="16"/>
              </w:rPr>
              <w:t>4214 Ostali građevinski objekti</w:t>
            </w:r>
          </w:p>
        </w:tc>
        <w:tc>
          <w:tcPr>
            <w:tcW w:w="1520" w:type="dxa"/>
            <w:tcBorders>
              <w:top w:val="single" w:sz="4" w:space="0" w:color="auto"/>
              <w:left w:val="nil"/>
              <w:bottom w:val="single" w:sz="4" w:space="0" w:color="auto"/>
              <w:right w:val="single" w:sz="4" w:space="0" w:color="auto"/>
            </w:tcBorders>
            <w:noWrap/>
            <w:vAlign w:val="bottom"/>
            <w:hideMark/>
          </w:tcPr>
          <w:p w14:paraId="5F19B526"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1.210.718,36</w:t>
            </w:r>
          </w:p>
        </w:tc>
        <w:tc>
          <w:tcPr>
            <w:tcW w:w="1280" w:type="dxa"/>
            <w:tcBorders>
              <w:top w:val="single" w:sz="4" w:space="0" w:color="auto"/>
              <w:left w:val="nil"/>
              <w:bottom w:val="single" w:sz="4" w:space="0" w:color="auto"/>
              <w:right w:val="single" w:sz="4" w:space="0" w:color="auto"/>
            </w:tcBorders>
            <w:noWrap/>
            <w:vAlign w:val="bottom"/>
            <w:hideMark/>
          </w:tcPr>
          <w:p w14:paraId="7847586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6417734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72AF7C5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909.776,75</w:t>
            </w:r>
          </w:p>
        </w:tc>
        <w:tc>
          <w:tcPr>
            <w:tcW w:w="1080" w:type="dxa"/>
            <w:tcBorders>
              <w:top w:val="single" w:sz="4" w:space="0" w:color="auto"/>
              <w:left w:val="nil"/>
              <w:bottom w:val="single" w:sz="4" w:space="0" w:color="auto"/>
              <w:right w:val="single" w:sz="4" w:space="0" w:color="auto"/>
            </w:tcBorders>
            <w:noWrap/>
            <w:vAlign w:val="bottom"/>
            <w:hideMark/>
          </w:tcPr>
          <w:p w14:paraId="5141B287"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75,14%</w:t>
            </w:r>
          </w:p>
        </w:tc>
        <w:tc>
          <w:tcPr>
            <w:tcW w:w="980" w:type="dxa"/>
            <w:tcBorders>
              <w:top w:val="single" w:sz="4" w:space="0" w:color="auto"/>
              <w:left w:val="nil"/>
              <w:bottom w:val="single" w:sz="4" w:space="0" w:color="auto"/>
              <w:right w:val="single" w:sz="4" w:space="0" w:color="auto"/>
            </w:tcBorders>
            <w:noWrap/>
            <w:vAlign w:val="bottom"/>
            <w:hideMark/>
          </w:tcPr>
          <w:p w14:paraId="606AC36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356545A7"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05B017C3"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422 Postrojenja i oprema</w:t>
            </w:r>
          </w:p>
        </w:tc>
        <w:tc>
          <w:tcPr>
            <w:tcW w:w="1520" w:type="dxa"/>
            <w:tcBorders>
              <w:top w:val="single" w:sz="4" w:space="0" w:color="auto"/>
              <w:left w:val="nil"/>
              <w:bottom w:val="single" w:sz="4" w:space="0" w:color="auto"/>
              <w:right w:val="single" w:sz="4" w:space="0" w:color="auto"/>
            </w:tcBorders>
            <w:noWrap/>
            <w:vAlign w:val="bottom"/>
            <w:hideMark/>
          </w:tcPr>
          <w:p w14:paraId="4F8C5241"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69.175,00</w:t>
            </w:r>
          </w:p>
        </w:tc>
        <w:tc>
          <w:tcPr>
            <w:tcW w:w="1280" w:type="dxa"/>
            <w:tcBorders>
              <w:top w:val="single" w:sz="4" w:space="0" w:color="auto"/>
              <w:left w:val="nil"/>
              <w:bottom w:val="single" w:sz="4" w:space="0" w:color="auto"/>
              <w:right w:val="single" w:sz="4" w:space="0" w:color="auto"/>
            </w:tcBorders>
            <w:noWrap/>
            <w:vAlign w:val="bottom"/>
            <w:hideMark/>
          </w:tcPr>
          <w:p w14:paraId="553C6D37"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0A36BC83"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70EAA5C9"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58.865,05</w:t>
            </w:r>
          </w:p>
        </w:tc>
        <w:tc>
          <w:tcPr>
            <w:tcW w:w="1080" w:type="dxa"/>
            <w:tcBorders>
              <w:top w:val="single" w:sz="4" w:space="0" w:color="auto"/>
              <w:left w:val="nil"/>
              <w:bottom w:val="single" w:sz="4" w:space="0" w:color="auto"/>
              <w:right w:val="single" w:sz="4" w:space="0" w:color="auto"/>
            </w:tcBorders>
            <w:noWrap/>
            <w:vAlign w:val="bottom"/>
            <w:hideMark/>
          </w:tcPr>
          <w:p w14:paraId="74E6F2B2"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85,10%</w:t>
            </w:r>
          </w:p>
        </w:tc>
        <w:tc>
          <w:tcPr>
            <w:tcW w:w="980" w:type="dxa"/>
            <w:tcBorders>
              <w:top w:val="single" w:sz="4" w:space="0" w:color="auto"/>
              <w:left w:val="nil"/>
              <w:bottom w:val="single" w:sz="4" w:space="0" w:color="auto"/>
              <w:right w:val="single" w:sz="4" w:space="0" w:color="auto"/>
            </w:tcBorders>
            <w:noWrap/>
            <w:vAlign w:val="bottom"/>
            <w:hideMark/>
          </w:tcPr>
          <w:p w14:paraId="5AF99F68"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6BD8C311"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092DEE97" w14:textId="77777777" w:rsidR="00416D67" w:rsidRPr="00416D67" w:rsidRDefault="00416D67" w:rsidP="00416D67">
            <w:pPr>
              <w:rPr>
                <w:rFonts w:ascii="Arial" w:hAnsi="Arial" w:cs="Arial"/>
                <w:sz w:val="16"/>
                <w:szCs w:val="16"/>
              </w:rPr>
            </w:pPr>
            <w:r w:rsidRPr="00416D67">
              <w:rPr>
                <w:rFonts w:ascii="Arial" w:hAnsi="Arial" w:cs="Arial"/>
                <w:sz w:val="16"/>
                <w:szCs w:val="16"/>
              </w:rPr>
              <w:t>4221 Uredska oprema i namještaj</w:t>
            </w:r>
          </w:p>
        </w:tc>
        <w:tc>
          <w:tcPr>
            <w:tcW w:w="1520" w:type="dxa"/>
            <w:tcBorders>
              <w:top w:val="single" w:sz="4" w:space="0" w:color="auto"/>
              <w:left w:val="nil"/>
              <w:bottom w:val="single" w:sz="4" w:space="0" w:color="auto"/>
              <w:right w:val="single" w:sz="4" w:space="0" w:color="auto"/>
            </w:tcBorders>
            <w:noWrap/>
            <w:vAlign w:val="bottom"/>
            <w:hideMark/>
          </w:tcPr>
          <w:p w14:paraId="4226BEF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3.955,00</w:t>
            </w:r>
          </w:p>
        </w:tc>
        <w:tc>
          <w:tcPr>
            <w:tcW w:w="1280" w:type="dxa"/>
            <w:tcBorders>
              <w:top w:val="single" w:sz="4" w:space="0" w:color="auto"/>
              <w:left w:val="nil"/>
              <w:bottom w:val="single" w:sz="4" w:space="0" w:color="auto"/>
              <w:right w:val="single" w:sz="4" w:space="0" w:color="auto"/>
            </w:tcBorders>
            <w:noWrap/>
            <w:vAlign w:val="bottom"/>
            <w:hideMark/>
          </w:tcPr>
          <w:p w14:paraId="6378043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0E464B3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39C0F87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9.973,75</w:t>
            </w:r>
          </w:p>
        </w:tc>
        <w:tc>
          <w:tcPr>
            <w:tcW w:w="1080" w:type="dxa"/>
            <w:tcBorders>
              <w:top w:val="single" w:sz="4" w:space="0" w:color="auto"/>
              <w:left w:val="nil"/>
              <w:bottom w:val="single" w:sz="4" w:space="0" w:color="auto"/>
              <w:right w:val="single" w:sz="4" w:space="0" w:color="auto"/>
            </w:tcBorders>
            <w:noWrap/>
            <w:vAlign w:val="bottom"/>
            <w:hideMark/>
          </w:tcPr>
          <w:p w14:paraId="3B07D10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252,18%</w:t>
            </w:r>
          </w:p>
        </w:tc>
        <w:tc>
          <w:tcPr>
            <w:tcW w:w="980" w:type="dxa"/>
            <w:tcBorders>
              <w:top w:val="single" w:sz="4" w:space="0" w:color="auto"/>
              <w:left w:val="nil"/>
              <w:bottom w:val="single" w:sz="4" w:space="0" w:color="auto"/>
              <w:right w:val="single" w:sz="4" w:space="0" w:color="auto"/>
            </w:tcBorders>
            <w:noWrap/>
            <w:vAlign w:val="bottom"/>
            <w:hideMark/>
          </w:tcPr>
          <w:p w14:paraId="35E9F7E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45C52D1B"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75C05510" w14:textId="77777777" w:rsidR="00416D67" w:rsidRPr="00416D67" w:rsidRDefault="00416D67" w:rsidP="00416D67">
            <w:pPr>
              <w:rPr>
                <w:rFonts w:ascii="Arial" w:hAnsi="Arial" w:cs="Arial"/>
                <w:sz w:val="16"/>
                <w:szCs w:val="16"/>
              </w:rPr>
            </w:pPr>
            <w:r w:rsidRPr="00416D67">
              <w:rPr>
                <w:rFonts w:ascii="Arial" w:hAnsi="Arial" w:cs="Arial"/>
                <w:sz w:val="16"/>
                <w:szCs w:val="16"/>
              </w:rPr>
              <w:t>4222 Komunikacijska oprema</w:t>
            </w:r>
          </w:p>
        </w:tc>
        <w:tc>
          <w:tcPr>
            <w:tcW w:w="1520" w:type="dxa"/>
            <w:tcBorders>
              <w:top w:val="single" w:sz="4" w:space="0" w:color="auto"/>
              <w:left w:val="nil"/>
              <w:bottom w:val="single" w:sz="4" w:space="0" w:color="auto"/>
              <w:right w:val="single" w:sz="4" w:space="0" w:color="auto"/>
            </w:tcBorders>
            <w:noWrap/>
            <w:vAlign w:val="bottom"/>
            <w:hideMark/>
          </w:tcPr>
          <w:p w14:paraId="6E8C4A9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80" w:type="dxa"/>
            <w:tcBorders>
              <w:top w:val="single" w:sz="4" w:space="0" w:color="auto"/>
              <w:left w:val="nil"/>
              <w:bottom w:val="single" w:sz="4" w:space="0" w:color="auto"/>
              <w:right w:val="single" w:sz="4" w:space="0" w:color="auto"/>
            </w:tcBorders>
            <w:noWrap/>
            <w:vAlign w:val="bottom"/>
            <w:hideMark/>
          </w:tcPr>
          <w:p w14:paraId="17172FF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6F98FDB6"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5B4A122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769,80</w:t>
            </w:r>
          </w:p>
        </w:tc>
        <w:tc>
          <w:tcPr>
            <w:tcW w:w="1080" w:type="dxa"/>
            <w:tcBorders>
              <w:top w:val="single" w:sz="4" w:space="0" w:color="auto"/>
              <w:left w:val="nil"/>
              <w:bottom w:val="single" w:sz="4" w:space="0" w:color="auto"/>
              <w:right w:val="single" w:sz="4" w:space="0" w:color="auto"/>
            </w:tcBorders>
            <w:noWrap/>
            <w:vAlign w:val="bottom"/>
            <w:hideMark/>
          </w:tcPr>
          <w:p w14:paraId="43A800E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0,00%</w:t>
            </w:r>
          </w:p>
        </w:tc>
        <w:tc>
          <w:tcPr>
            <w:tcW w:w="980" w:type="dxa"/>
            <w:tcBorders>
              <w:top w:val="single" w:sz="4" w:space="0" w:color="auto"/>
              <w:left w:val="nil"/>
              <w:bottom w:val="single" w:sz="4" w:space="0" w:color="auto"/>
              <w:right w:val="single" w:sz="4" w:space="0" w:color="auto"/>
            </w:tcBorders>
            <w:noWrap/>
            <w:vAlign w:val="bottom"/>
            <w:hideMark/>
          </w:tcPr>
          <w:p w14:paraId="1F38168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547E81CC"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38604C83" w14:textId="77777777" w:rsidR="00416D67" w:rsidRPr="00416D67" w:rsidRDefault="00416D67" w:rsidP="00416D67">
            <w:pPr>
              <w:rPr>
                <w:rFonts w:ascii="Arial" w:hAnsi="Arial" w:cs="Arial"/>
                <w:sz w:val="16"/>
                <w:szCs w:val="16"/>
              </w:rPr>
            </w:pPr>
            <w:r w:rsidRPr="00416D67">
              <w:rPr>
                <w:rFonts w:ascii="Arial" w:hAnsi="Arial" w:cs="Arial"/>
                <w:sz w:val="16"/>
                <w:szCs w:val="16"/>
              </w:rPr>
              <w:t>4227 Uređaji, strojevi i oprema za ostale namjene</w:t>
            </w:r>
          </w:p>
        </w:tc>
        <w:tc>
          <w:tcPr>
            <w:tcW w:w="1520" w:type="dxa"/>
            <w:tcBorders>
              <w:top w:val="single" w:sz="4" w:space="0" w:color="auto"/>
              <w:left w:val="nil"/>
              <w:bottom w:val="single" w:sz="4" w:space="0" w:color="auto"/>
              <w:right w:val="single" w:sz="4" w:space="0" w:color="auto"/>
            </w:tcBorders>
            <w:noWrap/>
            <w:vAlign w:val="bottom"/>
            <w:hideMark/>
          </w:tcPr>
          <w:p w14:paraId="6164000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65.220,00</w:t>
            </w:r>
          </w:p>
        </w:tc>
        <w:tc>
          <w:tcPr>
            <w:tcW w:w="1280" w:type="dxa"/>
            <w:tcBorders>
              <w:top w:val="single" w:sz="4" w:space="0" w:color="auto"/>
              <w:left w:val="nil"/>
              <w:bottom w:val="single" w:sz="4" w:space="0" w:color="auto"/>
              <w:right w:val="single" w:sz="4" w:space="0" w:color="auto"/>
            </w:tcBorders>
            <w:noWrap/>
            <w:vAlign w:val="bottom"/>
            <w:hideMark/>
          </w:tcPr>
          <w:p w14:paraId="5462D0F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6DF81A5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6217E17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48.121,50</w:t>
            </w:r>
          </w:p>
        </w:tc>
        <w:tc>
          <w:tcPr>
            <w:tcW w:w="1080" w:type="dxa"/>
            <w:tcBorders>
              <w:top w:val="single" w:sz="4" w:space="0" w:color="auto"/>
              <w:left w:val="nil"/>
              <w:bottom w:val="single" w:sz="4" w:space="0" w:color="auto"/>
              <w:right w:val="single" w:sz="4" w:space="0" w:color="auto"/>
            </w:tcBorders>
            <w:noWrap/>
            <w:vAlign w:val="bottom"/>
            <w:hideMark/>
          </w:tcPr>
          <w:p w14:paraId="49323660"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73,78%</w:t>
            </w:r>
          </w:p>
        </w:tc>
        <w:tc>
          <w:tcPr>
            <w:tcW w:w="980" w:type="dxa"/>
            <w:tcBorders>
              <w:top w:val="single" w:sz="4" w:space="0" w:color="auto"/>
              <w:left w:val="nil"/>
              <w:bottom w:val="single" w:sz="4" w:space="0" w:color="auto"/>
              <w:right w:val="single" w:sz="4" w:space="0" w:color="auto"/>
            </w:tcBorders>
            <w:noWrap/>
            <w:vAlign w:val="bottom"/>
            <w:hideMark/>
          </w:tcPr>
          <w:p w14:paraId="265CE308"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45BC70CD"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14464B6D"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426 Nematerijalna proizvedena imovina</w:t>
            </w:r>
          </w:p>
        </w:tc>
        <w:tc>
          <w:tcPr>
            <w:tcW w:w="1520" w:type="dxa"/>
            <w:tcBorders>
              <w:top w:val="single" w:sz="4" w:space="0" w:color="auto"/>
              <w:left w:val="nil"/>
              <w:bottom w:val="single" w:sz="4" w:space="0" w:color="auto"/>
              <w:right w:val="single" w:sz="4" w:space="0" w:color="auto"/>
            </w:tcBorders>
            <w:noWrap/>
            <w:vAlign w:val="bottom"/>
            <w:hideMark/>
          </w:tcPr>
          <w:p w14:paraId="67C83FAE"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1.225,04</w:t>
            </w:r>
          </w:p>
        </w:tc>
        <w:tc>
          <w:tcPr>
            <w:tcW w:w="1280" w:type="dxa"/>
            <w:tcBorders>
              <w:top w:val="single" w:sz="4" w:space="0" w:color="auto"/>
              <w:left w:val="nil"/>
              <w:bottom w:val="single" w:sz="4" w:space="0" w:color="auto"/>
              <w:right w:val="single" w:sz="4" w:space="0" w:color="auto"/>
            </w:tcBorders>
            <w:noWrap/>
            <w:vAlign w:val="bottom"/>
            <w:hideMark/>
          </w:tcPr>
          <w:p w14:paraId="083FE110"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15A9D70A"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2FAB6543"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080" w:type="dxa"/>
            <w:tcBorders>
              <w:top w:val="single" w:sz="4" w:space="0" w:color="auto"/>
              <w:left w:val="nil"/>
              <w:bottom w:val="single" w:sz="4" w:space="0" w:color="auto"/>
              <w:right w:val="single" w:sz="4" w:space="0" w:color="auto"/>
            </w:tcBorders>
            <w:noWrap/>
            <w:vAlign w:val="bottom"/>
            <w:hideMark/>
          </w:tcPr>
          <w:p w14:paraId="5D5891E1"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0,00%</w:t>
            </w:r>
          </w:p>
        </w:tc>
        <w:tc>
          <w:tcPr>
            <w:tcW w:w="980" w:type="dxa"/>
            <w:tcBorders>
              <w:top w:val="single" w:sz="4" w:space="0" w:color="auto"/>
              <w:left w:val="nil"/>
              <w:bottom w:val="single" w:sz="4" w:space="0" w:color="auto"/>
              <w:right w:val="single" w:sz="4" w:space="0" w:color="auto"/>
            </w:tcBorders>
            <w:noWrap/>
            <w:vAlign w:val="bottom"/>
            <w:hideMark/>
          </w:tcPr>
          <w:p w14:paraId="29E15D13"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775C28A2"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69404C93" w14:textId="77777777" w:rsidR="00416D67" w:rsidRPr="00416D67" w:rsidRDefault="00416D67" w:rsidP="00416D67">
            <w:pPr>
              <w:rPr>
                <w:rFonts w:ascii="Arial" w:hAnsi="Arial" w:cs="Arial"/>
                <w:sz w:val="16"/>
                <w:szCs w:val="16"/>
              </w:rPr>
            </w:pPr>
            <w:r w:rsidRPr="00416D67">
              <w:rPr>
                <w:rFonts w:ascii="Arial" w:hAnsi="Arial" w:cs="Arial"/>
                <w:sz w:val="16"/>
                <w:szCs w:val="16"/>
              </w:rPr>
              <w:t>4262 Ulaganja u računalne programe</w:t>
            </w:r>
          </w:p>
        </w:tc>
        <w:tc>
          <w:tcPr>
            <w:tcW w:w="1520" w:type="dxa"/>
            <w:tcBorders>
              <w:top w:val="single" w:sz="4" w:space="0" w:color="auto"/>
              <w:left w:val="nil"/>
              <w:bottom w:val="single" w:sz="4" w:space="0" w:color="auto"/>
              <w:right w:val="single" w:sz="4" w:space="0" w:color="auto"/>
            </w:tcBorders>
            <w:noWrap/>
            <w:vAlign w:val="bottom"/>
            <w:hideMark/>
          </w:tcPr>
          <w:p w14:paraId="62C69704"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1.225,04</w:t>
            </w:r>
          </w:p>
        </w:tc>
        <w:tc>
          <w:tcPr>
            <w:tcW w:w="1280" w:type="dxa"/>
            <w:tcBorders>
              <w:top w:val="single" w:sz="4" w:space="0" w:color="auto"/>
              <w:left w:val="nil"/>
              <w:bottom w:val="single" w:sz="4" w:space="0" w:color="auto"/>
              <w:right w:val="single" w:sz="4" w:space="0" w:color="auto"/>
            </w:tcBorders>
            <w:noWrap/>
            <w:vAlign w:val="bottom"/>
            <w:hideMark/>
          </w:tcPr>
          <w:p w14:paraId="779C58B4"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4403F2F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668BE3A3"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080" w:type="dxa"/>
            <w:tcBorders>
              <w:top w:val="single" w:sz="4" w:space="0" w:color="auto"/>
              <w:left w:val="nil"/>
              <w:bottom w:val="single" w:sz="4" w:space="0" w:color="auto"/>
              <w:right w:val="single" w:sz="4" w:space="0" w:color="auto"/>
            </w:tcBorders>
            <w:noWrap/>
            <w:vAlign w:val="bottom"/>
            <w:hideMark/>
          </w:tcPr>
          <w:p w14:paraId="1FA8C71F"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0,00%</w:t>
            </w:r>
          </w:p>
        </w:tc>
        <w:tc>
          <w:tcPr>
            <w:tcW w:w="980" w:type="dxa"/>
            <w:tcBorders>
              <w:top w:val="single" w:sz="4" w:space="0" w:color="auto"/>
              <w:left w:val="nil"/>
              <w:bottom w:val="single" w:sz="4" w:space="0" w:color="auto"/>
              <w:right w:val="single" w:sz="4" w:space="0" w:color="auto"/>
            </w:tcBorders>
            <w:noWrap/>
            <w:vAlign w:val="bottom"/>
            <w:hideMark/>
          </w:tcPr>
          <w:p w14:paraId="28EBC11C"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r w:rsidR="00416D67" w:rsidRPr="00416D67" w14:paraId="61EA5A79"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258FCA69"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45 Rashodi za dodatna ulaganja na nefinancijskoj imovini</w:t>
            </w:r>
          </w:p>
        </w:tc>
        <w:tc>
          <w:tcPr>
            <w:tcW w:w="1520" w:type="dxa"/>
            <w:tcBorders>
              <w:top w:val="single" w:sz="4" w:space="0" w:color="auto"/>
              <w:left w:val="nil"/>
              <w:bottom w:val="single" w:sz="4" w:space="0" w:color="auto"/>
              <w:right w:val="single" w:sz="4" w:space="0" w:color="auto"/>
            </w:tcBorders>
            <w:noWrap/>
            <w:vAlign w:val="bottom"/>
            <w:hideMark/>
          </w:tcPr>
          <w:p w14:paraId="1854E5DB"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136.910,66</w:t>
            </w:r>
          </w:p>
        </w:tc>
        <w:tc>
          <w:tcPr>
            <w:tcW w:w="1280" w:type="dxa"/>
            <w:tcBorders>
              <w:top w:val="single" w:sz="4" w:space="0" w:color="auto"/>
              <w:left w:val="nil"/>
              <w:bottom w:val="single" w:sz="4" w:space="0" w:color="auto"/>
              <w:right w:val="single" w:sz="4" w:space="0" w:color="auto"/>
            </w:tcBorders>
            <w:noWrap/>
            <w:vAlign w:val="bottom"/>
            <w:hideMark/>
          </w:tcPr>
          <w:p w14:paraId="0C02AF85"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211.000,00</w:t>
            </w:r>
          </w:p>
        </w:tc>
        <w:tc>
          <w:tcPr>
            <w:tcW w:w="1260" w:type="dxa"/>
            <w:tcBorders>
              <w:top w:val="single" w:sz="4" w:space="0" w:color="auto"/>
              <w:left w:val="nil"/>
              <w:bottom w:val="single" w:sz="4" w:space="0" w:color="auto"/>
              <w:right w:val="single" w:sz="4" w:space="0" w:color="auto"/>
            </w:tcBorders>
            <w:noWrap/>
            <w:vAlign w:val="bottom"/>
            <w:hideMark/>
          </w:tcPr>
          <w:p w14:paraId="5E143431"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254.843,50</w:t>
            </w:r>
          </w:p>
        </w:tc>
        <w:tc>
          <w:tcPr>
            <w:tcW w:w="1320" w:type="dxa"/>
            <w:tcBorders>
              <w:top w:val="single" w:sz="4" w:space="0" w:color="auto"/>
              <w:left w:val="nil"/>
              <w:bottom w:val="single" w:sz="4" w:space="0" w:color="auto"/>
              <w:right w:val="single" w:sz="4" w:space="0" w:color="auto"/>
            </w:tcBorders>
            <w:noWrap/>
            <w:vAlign w:val="bottom"/>
            <w:hideMark/>
          </w:tcPr>
          <w:p w14:paraId="48232274"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278.504,86</w:t>
            </w:r>
          </w:p>
        </w:tc>
        <w:tc>
          <w:tcPr>
            <w:tcW w:w="1080" w:type="dxa"/>
            <w:tcBorders>
              <w:top w:val="single" w:sz="4" w:space="0" w:color="auto"/>
              <w:left w:val="nil"/>
              <w:bottom w:val="single" w:sz="4" w:space="0" w:color="auto"/>
              <w:right w:val="single" w:sz="4" w:space="0" w:color="auto"/>
            </w:tcBorders>
            <w:noWrap/>
            <w:vAlign w:val="bottom"/>
            <w:hideMark/>
          </w:tcPr>
          <w:p w14:paraId="06ED9024"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203,42%</w:t>
            </w:r>
          </w:p>
        </w:tc>
        <w:tc>
          <w:tcPr>
            <w:tcW w:w="980" w:type="dxa"/>
            <w:tcBorders>
              <w:top w:val="single" w:sz="4" w:space="0" w:color="auto"/>
              <w:left w:val="nil"/>
              <w:bottom w:val="single" w:sz="4" w:space="0" w:color="auto"/>
              <w:right w:val="single" w:sz="4" w:space="0" w:color="auto"/>
            </w:tcBorders>
            <w:noWrap/>
            <w:vAlign w:val="bottom"/>
            <w:hideMark/>
          </w:tcPr>
          <w:p w14:paraId="62BF59F1"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109,28%</w:t>
            </w:r>
          </w:p>
        </w:tc>
      </w:tr>
      <w:tr w:rsidR="00416D67" w:rsidRPr="00416D67" w14:paraId="0A41F3F5"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769DD1AF" w14:textId="77777777" w:rsidR="00416D67" w:rsidRPr="00416D67" w:rsidRDefault="00416D67" w:rsidP="00416D67">
            <w:pPr>
              <w:rPr>
                <w:rFonts w:ascii="Arial" w:hAnsi="Arial" w:cs="Arial"/>
                <w:b/>
                <w:bCs/>
                <w:sz w:val="16"/>
                <w:szCs w:val="16"/>
              </w:rPr>
            </w:pPr>
            <w:r w:rsidRPr="00416D67">
              <w:rPr>
                <w:rFonts w:ascii="Arial" w:hAnsi="Arial" w:cs="Arial"/>
                <w:b/>
                <w:bCs/>
                <w:sz w:val="16"/>
                <w:szCs w:val="16"/>
              </w:rPr>
              <w:t>451 Dodatna ulaganja na građevinskim objektima</w:t>
            </w:r>
          </w:p>
        </w:tc>
        <w:tc>
          <w:tcPr>
            <w:tcW w:w="1520" w:type="dxa"/>
            <w:tcBorders>
              <w:top w:val="single" w:sz="4" w:space="0" w:color="auto"/>
              <w:left w:val="nil"/>
              <w:bottom w:val="single" w:sz="4" w:space="0" w:color="auto"/>
              <w:right w:val="single" w:sz="4" w:space="0" w:color="auto"/>
            </w:tcBorders>
            <w:noWrap/>
            <w:vAlign w:val="bottom"/>
            <w:hideMark/>
          </w:tcPr>
          <w:p w14:paraId="1F821ED6"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136.910,66</w:t>
            </w:r>
          </w:p>
        </w:tc>
        <w:tc>
          <w:tcPr>
            <w:tcW w:w="1280" w:type="dxa"/>
            <w:tcBorders>
              <w:top w:val="single" w:sz="4" w:space="0" w:color="auto"/>
              <w:left w:val="nil"/>
              <w:bottom w:val="single" w:sz="4" w:space="0" w:color="auto"/>
              <w:right w:val="single" w:sz="4" w:space="0" w:color="auto"/>
            </w:tcBorders>
            <w:noWrap/>
            <w:vAlign w:val="bottom"/>
            <w:hideMark/>
          </w:tcPr>
          <w:p w14:paraId="5DE5BFBF"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51F9F194"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7CB5A9E2"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278.504,86</w:t>
            </w:r>
          </w:p>
        </w:tc>
        <w:tc>
          <w:tcPr>
            <w:tcW w:w="1080" w:type="dxa"/>
            <w:tcBorders>
              <w:top w:val="single" w:sz="4" w:space="0" w:color="auto"/>
              <w:left w:val="nil"/>
              <w:bottom w:val="single" w:sz="4" w:space="0" w:color="auto"/>
              <w:right w:val="single" w:sz="4" w:space="0" w:color="auto"/>
            </w:tcBorders>
            <w:noWrap/>
            <w:vAlign w:val="bottom"/>
            <w:hideMark/>
          </w:tcPr>
          <w:p w14:paraId="60432B40"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203,42%</w:t>
            </w:r>
          </w:p>
        </w:tc>
        <w:tc>
          <w:tcPr>
            <w:tcW w:w="980" w:type="dxa"/>
            <w:tcBorders>
              <w:top w:val="single" w:sz="4" w:space="0" w:color="auto"/>
              <w:left w:val="nil"/>
              <w:bottom w:val="single" w:sz="4" w:space="0" w:color="auto"/>
              <w:right w:val="single" w:sz="4" w:space="0" w:color="auto"/>
            </w:tcBorders>
            <w:noWrap/>
            <w:vAlign w:val="bottom"/>
            <w:hideMark/>
          </w:tcPr>
          <w:p w14:paraId="0BDF22AD" w14:textId="77777777" w:rsidR="00416D67" w:rsidRPr="00416D67" w:rsidRDefault="00416D67" w:rsidP="00416D67">
            <w:pPr>
              <w:jc w:val="right"/>
              <w:rPr>
                <w:rFonts w:ascii="Arial" w:hAnsi="Arial" w:cs="Arial"/>
                <w:b/>
                <w:bCs/>
                <w:sz w:val="16"/>
                <w:szCs w:val="16"/>
              </w:rPr>
            </w:pPr>
            <w:r w:rsidRPr="00416D67">
              <w:rPr>
                <w:rFonts w:ascii="Arial" w:hAnsi="Arial" w:cs="Arial"/>
                <w:b/>
                <w:bCs/>
                <w:sz w:val="16"/>
                <w:szCs w:val="16"/>
              </w:rPr>
              <w:t> </w:t>
            </w:r>
          </w:p>
        </w:tc>
      </w:tr>
      <w:tr w:rsidR="00416D67" w:rsidRPr="00416D67" w14:paraId="09C1EDD0" w14:textId="77777777" w:rsidTr="00BB1392">
        <w:trPr>
          <w:trHeight w:val="225"/>
        </w:trPr>
        <w:tc>
          <w:tcPr>
            <w:tcW w:w="6780" w:type="dxa"/>
            <w:tcBorders>
              <w:top w:val="single" w:sz="4" w:space="0" w:color="auto"/>
              <w:left w:val="single" w:sz="4" w:space="0" w:color="auto"/>
              <w:bottom w:val="single" w:sz="4" w:space="0" w:color="auto"/>
              <w:right w:val="single" w:sz="4" w:space="0" w:color="auto"/>
            </w:tcBorders>
            <w:noWrap/>
            <w:vAlign w:val="bottom"/>
            <w:hideMark/>
          </w:tcPr>
          <w:p w14:paraId="1F38BED2" w14:textId="77777777" w:rsidR="00416D67" w:rsidRPr="00416D67" w:rsidRDefault="00416D67" w:rsidP="00416D67">
            <w:pPr>
              <w:rPr>
                <w:rFonts w:ascii="Arial" w:hAnsi="Arial" w:cs="Arial"/>
                <w:sz w:val="16"/>
                <w:szCs w:val="16"/>
              </w:rPr>
            </w:pPr>
            <w:r w:rsidRPr="00416D67">
              <w:rPr>
                <w:rFonts w:ascii="Arial" w:hAnsi="Arial" w:cs="Arial"/>
                <w:sz w:val="16"/>
                <w:szCs w:val="16"/>
              </w:rPr>
              <w:t>4511 Dodatna ulaganja na građevinskim objektima</w:t>
            </w:r>
          </w:p>
        </w:tc>
        <w:tc>
          <w:tcPr>
            <w:tcW w:w="1520" w:type="dxa"/>
            <w:tcBorders>
              <w:top w:val="single" w:sz="4" w:space="0" w:color="auto"/>
              <w:left w:val="nil"/>
              <w:bottom w:val="single" w:sz="4" w:space="0" w:color="auto"/>
              <w:right w:val="single" w:sz="4" w:space="0" w:color="auto"/>
            </w:tcBorders>
            <w:noWrap/>
            <w:vAlign w:val="bottom"/>
            <w:hideMark/>
          </w:tcPr>
          <w:p w14:paraId="5EFD3655"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136.910,66</w:t>
            </w:r>
          </w:p>
        </w:tc>
        <w:tc>
          <w:tcPr>
            <w:tcW w:w="1280" w:type="dxa"/>
            <w:tcBorders>
              <w:top w:val="single" w:sz="4" w:space="0" w:color="auto"/>
              <w:left w:val="nil"/>
              <w:bottom w:val="single" w:sz="4" w:space="0" w:color="auto"/>
              <w:right w:val="single" w:sz="4" w:space="0" w:color="auto"/>
            </w:tcBorders>
            <w:noWrap/>
            <w:vAlign w:val="bottom"/>
            <w:hideMark/>
          </w:tcPr>
          <w:p w14:paraId="331A55FD"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260" w:type="dxa"/>
            <w:tcBorders>
              <w:top w:val="single" w:sz="4" w:space="0" w:color="auto"/>
              <w:left w:val="nil"/>
              <w:bottom w:val="single" w:sz="4" w:space="0" w:color="auto"/>
              <w:right w:val="single" w:sz="4" w:space="0" w:color="auto"/>
            </w:tcBorders>
            <w:noWrap/>
            <w:vAlign w:val="bottom"/>
            <w:hideMark/>
          </w:tcPr>
          <w:p w14:paraId="14618F19"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c>
          <w:tcPr>
            <w:tcW w:w="1320" w:type="dxa"/>
            <w:tcBorders>
              <w:top w:val="single" w:sz="4" w:space="0" w:color="auto"/>
              <w:left w:val="nil"/>
              <w:bottom w:val="single" w:sz="4" w:space="0" w:color="auto"/>
              <w:right w:val="single" w:sz="4" w:space="0" w:color="auto"/>
            </w:tcBorders>
            <w:noWrap/>
            <w:vAlign w:val="bottom"/>
            <w:hideMark/>
          </w:tcPr>
          <w:p w14:paraId="7DBB70CB"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278.504,86</w:t>
            </w:r>
          </w:p>
        </w:tc>
        <w:tc>
          <w:tcPr>
            <w:tcW w:w="1080" w:type="dxa"/>
            <w:tcBorders>
              <w:top w:val="single" w:sz="4" w:space="0" w:color="auto"/>
              <w:left w:val="nil"/>
              <w:bottom w:val="single" w:sz="4" w:space="0" w:color="auto"/>
              <w:right w:val="single" w:sz="4" w:space="0" w:color="auto"/>
            </w:tcBorders>
            <w:noWrap/>
            <w:vAlign w:val="bottom"/>
            <w:hideMark/>
          </w:tcPr>
          <w:p w14:paraId="1AE31D3A"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203,42%</w:t>
            </w:r>
          </w:p>
        </w:tc>
        <w:tc>
          <w:tcPr>
            <w:tcW w:w="980" w:type="dxa"/>
            <w:tcBorders>
              <w:top w:val="single" w:sz="4" w:space="0" w:color="auto"/>
              <w:left w:val="nil"/>
              <w:bottom w:val="single" w:sz="4" w:space="0" w:color="auto"/>
              <w:right w:val="single" w:sz="4" w:space="0" w:color="auto"/>
            </w:tcBorders>
            <w:noWrap/>
            <w:vAlign w:val="bottom"/>
            <w:hideMark/>
          </w:tcPr>
          <w:p w14:paraId="15E4E8C1" w14:textId="77777777" w:rsidR="00416D67" w:rsidRPr="00416D67" w:rsidRDefault="00416D67" w:rsidP="00416D67">
            <w:pPr>
              <w:jc w:val="right"/>
              <w:rPr>
                <w:rFonts w:ascii="Arial" w:hAnsi="Arial" w:cs="Arial"/>
                <w:sz w:val="16"/>
                <w:szCs w:val="16"/>
              </w:rPr>
            </w:pPr>
            <w:r w:rsidRPr="00416D67">
              <w:rPr>
                <w:rFonts w:ascii="Arial" w:hAnsi="Arial" w:cs="Arial"/>
                <w:sz w:val="16"/>
                <w:szCs w:val="16"/>
              </w:rPr>
              <w:t> </w:t>
            </w:r>
          </w:p>
        </w:tc>
      </w:tr>
    </w:tbl>
    <w:p w14:paraId="6FCCF2CA" w14:textId="77777777" w:rsidR="00416D67" w:rsidRPr="00416D67" w:rsidRDefault="00416D67" w:rsidP="00416D67">
      <w:pPr>
        <w:jc w:val="both"/>
        <w:rPr>
          <w:b/>
        </w:rPr>
      </w:pPr>
    </w:p>
    <w:p w14:paraId="248B325C" w14:textId="77777777" w:rsidR="00416D67" w:rsidRPr="00416D67" w:rsidRDefault="00416D67" w:rsidP="00416D67">
      <w:pPr>
        <w:jc w:val="both"/>
        <w:rPr>
          <w:b/>
        </w:rPr>
      </w:pPr>
    </w:p>
    <w:p w14:paraId="0B17BA62" w14:textId="77777777" w:rsidR="00416D67" w:rsidRPr="00416D67" w:rsidRDefault="00416D67" w:rsidP="00416D67">
      <w:pPr>
        <w:jc w:val="both"/>
        <w:rPr>
          <w:b/>
        </w:rPr>
      </w:pPr>
    </w:p>
    <w:p w14:paraId="2855F59B" w14:textId="77777777" w:rsidR="00416D67" w:rsidRPr="00416D67" w:rsidRDefault="00416D67" w:rsidP="00416D67">
      <w:pPr>
        <w:jc w:val="both"/>
        <w:rPr>
          <w:b/>
        </w:rPr>
      </w:pPr>
    </w:p>
    <w:p w14:paraId="04BBF109" w14:textId="77777777" w:rsidR="00416D67" w:rsidRPr="00416D67" w:rsidRDefault="00416D67" w:rsidP="00416D67">
      <w:pPr>
        <w:jc w:val="both"/>
        <w:rPr>
          <w:b/>
        </w:rPr>
      </w:pPr>
      <w:r w:rsidRPr="00416D67">
        <w:rPr>
          <w:b/>
        </w:rPr>
        <w:lastRenderedPageBreak/>
        <w:t>Račun prihoda i rashoda prema izvorima financiranja</w:t>
      </w:r>
    </w:p>
    <w:p w14:paraId="391AA2D0" w14:textId="77777777" w:rsidR="00416D67" w:rsidRPr="00416D67" w:rsidRDefault="00416D67" w:rsidP="00416D67">
      <w:pPr>
        <w:jc w:val="both"/>
        <w:rPr>
          <w:b/>
        </w:rPr>
      </w:pPr>
      <w:r w:rsidRPr="00416D67">
        <w:rPr>
          <w:b/>
        </w:rPr>
        <w:t>Prihodi prema izvorima financiranja</w:t>
      </w:r>
    </w:p>
    <w:tbl>
      <w:tblPr>
        <w:tblW w:w="15200" w:type="dxa"/>
        <w:tblInd w:w="93" w:type="dxa"/>
        <w:tblLook w:val="04A0" w:firstRow="1" w:lastRow="0" w:firstColumn="1" w:lastColumn="0" w:noHBand="0" w:noVBand="1"/>
      </w:tblPr>
      <w:tblGrid>
        <w:gridCol w:w="6800"/>
        <w:gridCol w:w="1540"/>
        <w:gridCol w:w="1620"/>
        <w:gridCol w:w="1600"/>
        <w:gridCol w:w="1660"/>
        <w:gridCol w:w="1020"/>
        <w:gridCol w:w="960"/>
      </w:tblGrid>
      <w:tr w:rsidR="00416D67" w:rsidRPr="00416D67" w14:paraId="61D3FAD2" w14:textId="77777777" w:rsidTr="00BB1392">
        <w:trPr>
          <w:trHeight w:val="720"/>
        </w:trPr>
        <w:tc>
          <w:tcPr>
            <w:tcW w:w="68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DE4D669"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 xml:space="preserve">Prihodi prema izvorima financiranja </w:t>
            </w:r>
          </w:p>
        </w:tc>
        <w:tc>
          <w:tcPr>
            <w:tcW w:w="1540" w:type="dxa"/>
            <w:tcBorders>
              <w:top w:val="single" w:sz="4" w:space="0" w:color="auto"/>
              <w:left w:val="nil"/>
              <w:bottom w:val="single" w:sz="4" w:space="0" w:color="auto"/>
              <w:right w:val="single" w:sz="4" w:space="0" w:color="auto"/>
            </w:tcBorders>
            <w:shd w:val="clear" w:color="000000" w:fill="C0C0C0"/>
            <w:vAlign w:val="center"/>
            <w:hideMark/>
          </w:tcPr>
          <w:p w14:paraId="5F02539B"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2024. godina</w:t>
            </w:r>
          </w:p>
        </w:tc>
        <w:tc>
          <w:tcPr>
            <w:tcW w:w="1620" w:type="dxa"/>
            <w:tcBorders>
              <w:top w:val="single" w:sz="4" w:space="0" w:color="auto"/>
              <w:left w:val="nil"/>
              <w:bottom w:val="single" w:sz="4" w:space="0" w:color="auto"/>
              <w:right w:val="single" w:sz="4" w:space="0" w:color="auto"/>
            </w:tcBorders>
            <w:shd w:val="clear" w:color="000000" w:fill="C0C0C0"/>
            <w:vAlign w:val="center"/>
            <w:hideMark/>
          </w:tcPr>
          <w:p w14:paraId="774E5CDD"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600" w:type="dxa"/>
            <w:tcBorders>
              <w:top w:val="single" w:sz="4" w:space="0" w:color="auto"/>
              <w:left w:val="nil"/>
              <w:bottom w:val="single" w:sz="4" w:space="0" w:color="auto"/>
              <w:right w:val="single" w:sz="4" w:space="0" w:color="auto"/>
            </w:tcBorders>
            <w:shd w:val="clear" w:color="000000" w:fill="C0C0C0"/>
            <w:vAlign w:val="center"/>
            <w:hideMark/>
          </w:tcPr>
          <w:p w14:paraId="144D7848"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660" w:type="dxa"/>
            <w:tcBorders>
              <w:top w:val="single" w:sz="4" w:space="0" w:color="auto"/>
              <w:left w:val="nil"/>
              <w:bottom w:val="single" w:sz="4" w:space="0" w:color="auto"/>
              <w:right w:val="single" w:sz="4" w:space="0" w:color="auto"/>
            </w:tcBorders>
            <w:shd w:val="clear" w:color="000000" w:fill="C0C0C0"/>
            <w:vAlign w:val="center"/>
            <w:hideMark/>
          </w:tcPr>
          <w:p w14:paraId="7B0C2E81"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102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1D610E97"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4/1</w:t>
            </w:r>
          </w:p>
        </w:tc>
        <w:tc>
          <w:tcPr>
            <w:tcW w:w="96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F7976EC"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4/3</w:t>
            </w:r>
          </w:p>
        </w:tc>
      </w:tr>
      <w:tr w:rsidR="00416D67" w:rsidRPr="00416D67" w14:paraId="789FE47B"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C4A483F"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 xml:space="preserve"> </w:t>
            </w:r>
          </w:p>
        </w:tc>
        <w:tc>
          <w:tcPr>
            <w:tcW w:w="1540" w:type="dxa"/>
            <w:tcBorders>
              <w:top w:val="single" w:sz="4" w:space="0" w:color="auto"/>
              <w:left w:val="nil"/>
              <w:bottom w:val="single" w:sz="4" w:space="0" w:color="auto"/>
              <w:right w:val="single" w:sz="4" w:space="0" w:color="auto"/>
            </w:tcBorders>
            <w:shd w:val="clear" w:color="000000" w:fill="C0C0C0"/>
            <w:noWrap/>
            <w:vAlign w:val="bottom"/>
            <w:hideMark/>
          </w:tcPr>
          <w:p w14:paraId="68C25953"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1</w:t>
            </w:r>
          </w:p>
        </w:tc>
        <w:tc>
          <w:tcPr>
            <w:tcW w:w="1620" w:type="dxa"/>
            <w:tcBorders>
              <w:top w:val="single" w:sz="4" w:space="0" w:color="auto"/>
              <w:left w:val="nil"/>
              <w:bottom w:val="single" w:sz="4" w:space="0" w:color="auto"/>
              <w:right w:val="single" w:sz="4" w:space="0" w:color="auto"/>
            </w:tcBorders>
            <w:shd w:val="clear" w:color="000000" w:fill="C0C0C0"/>
            <w:noWrap/>
            <w:vAlign w:val="bottom"/>
            <w:hideMark/>
          </w:tcPr>
          <w:p w14:paraId="02E9A716"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2</w:t>
            </w:r>
          </w:p>
        </w:tc>
        <w:tc>
          <w:tcPr>
            <w:tcW w:w="1600" w:type="dxa"/>
            <w:tcBorders>
              <w:top w:val="single" w:sz="4" w:space="0" w:color="auto"/>
              <w:left w:val="nil"/>
              <w:bottom w:val="single" w:sz="4" w:space="0" w:color="auto"/>
              <w:right w:val="single" w:sz="4" w:space="0" w:color="auto"/>
            </w:tcBorders>
            <w:shd w:val="clear" w:color="000000" w:fill="C0C0C0"/>
            <w:noWrap/>
            <w:vAlign w:val="bottom"/>
            <w:hideMark/>
          </w:tcPr>
          <w:p w14:paraId="58BBB9FA"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3</w:t>
            </w:r>
          </w:p>
        </w:tc>
        <w:tc>
          <w:tcPr>
            <w:tcW w:w="1660" w:type="dxa"/>
            <w:tcBorders>
              <w:top w:val="single" w:sz="4" w:space="0" w:color="auto"/>
              <w:left w:val="nil"/>
              <w:bottom w:val="single" w:sz="4" w:space="0" w:color="auto"/>
              <w:right w:val="single" w:sz="4" w:space="0" w:color="auto"/>
            </w:tcBorders>
            <w:shd w:val="clear" w:color="000000" w:fill="C0C0C0"/>
            <w:noWrap/>
            <w:vAlign w:val="bottom"/>
            <w:hideMark/>
          </w:tcPr>
          <w:p w14:paraId="34DA9480"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4</w:t>
            </w:r>
          </w:p>
        </w:tc>
        <w:tc>
          <w:tcPr>
            <w:tcW w:w="102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07FB377"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5</w:t>
            </w:r>
          </w:p>
        </w:tc>
        <w:tc>
          <w:tcPr>
            <w:tcW w:w="96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E14A236"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6</w:t>
            </w:r>
          </w:p>
        </w:tc>
      </w:tr>
      <w:tr w:rsidR="00416D67" w:rsidRPr="00416D67" w14:paraId="1785FEC4"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290D2E0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 SVEUKUPNI PRIHODI</w:t>
            </w:r>
          </w:p>
        </w:tc>
        <w:tc>
          <w:tcPr>
            <w:tcW w:w="1540" w:type="dxa"/>
            <w:tcBorders>
              <w:top w:val="single" w:sz="4" w:space="0" w:color="auto"/>
              <w:left w:val="nil"/>
              <w:bottom w:val="single" w:sz="4" w:space="0" w:color="auto"/>
              <w:right w:val="single" w:sz="4" w:space="0" w:color="auto"/>
            </w:tcBorders>
            <w:noWrap/>
            <w:vAlign w:val="bottom"/>
            <w:hideMark/>
          </w:tcPr>
          <w:p w14:paraId="79ACB42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5.816.430,37</w:t>
            </w:r>
          </w:p>
        </w:tc>
        <w:tc>
          <w:tcPr>
            <w:tcW w:w="1620" w:type="dxa"/>
            <w:tcBorders>
              <w:top w:val="single" w:sz="4" w:space="0" w:color="auto"/>
              <w:left w:val="nil"/>
              <w:bottom w:val="single" w:sz="4" w:space="0" w:color="auto"/>
              <w:right w:val="single" w:sz="4" w:space="0" w:color="auto"/>
            </w:tcBorders>
            <w:noWrap/>
            <w:vAlign w:val="bottom"/>
            <w:hideMark/>
          </w:tcPr>
          <w:p w14:paraId="71888A5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7.346.186,18</w:t>
            </w:r>
          </w:p>
        </w:tc>
        <w:tc>
          <w:tcPr>
            <w:tcW w:w="1600" w:type="dxa"/>
            <w:tcBorders>
              <w:top w:val="single" w:sz="4" w:space="0" w:color="auto"/>
              <w:left w:val="nil"/>
              <w:bottom w:val="single" w:sz="4" w:space="0" w:color="auto"/>
              <w:right w:val="single" w:sz="4" w:space="0" w:color="auto"/>
            </w:tcBorders>
            <w:noWrap/>
            <w:vAlign w:val="bottom"/>
            <w:hideMark/>
          </w:tcPr>
          <w:p w14:paraId="1E31338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7.346.186,18</w:t>
            </w:r>
          </w:p>
        </w:tc>
        <w:tc>
          <w:tcPr>
            <w:tcW w:w="1660" w:type="dxa"/>
            <w:tcBorders>
              <w:top w:val="single" w:sz="4" w:space="0" w:color="auto"/>
              <w:left w:val="nil"/>
              <w:bottom w:val="single" w:sz="4" w:space="0" w:color="auto"/>
              <w:right w:val="single" w:sz="4" w:space="0" w:color="auto"/>
            </w:tcBorders>
            <w:noWrap/>
            <w:vAlign w:val="bottom"/>
            <w:hideMark/>
          </w:tcPr>
          <w:p w14:paraId="6093AEB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7.552.638,82</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1CA2A46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129,11%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68A024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102,23%</w:t>
            </w:r>
          </w:p>
        </w:tc>
      </w:tr>
      <w:tr w:rsidR="00416D67" w:rsidRPr="00416D67" w14:paraId="32492F20"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A8B55A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1. Opći prihodi i primici</w:t>
            </w:r>
          </w:p>
        </w:tc>
        <w:tc>
          <w:tcPr>
            <w:tcW w:w="1540" w:type="dxa"/>
            <w:tcBorders>
              <w:top w:val="single" w:sz="4" w:space="0" w:color="auto"/>
              <w:left w:val="nil"/>
              <w:bottom w:val="single" w:sz="4" w:space="0" w:color="auto"/>
              <w:right w:val="single" w:sz="4" w:space="0" w:color="auto"/>
            </w:tcBorders>
            <w:shd w:val="clear" w:color="000000" w:fill="FFFF00"/>
            <w:noWrap/>
            <w:vAlign w:val="bottom"/>
            <w:hideMark/>
          </w:tcPr>
          <w:p w14:paraId="1E62E20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3.897.010,81</w:t>
            </w:r>
          </w:p>
        </w:tc>
        <w:tc>
          <w:tcPr>
            <w:tcW w:w="1620" w:type="dxa"/>
            <w:tcBorders>
              <w:top w:val="single" w:sz="4" w:space="0" w:color="auto"/>
              <w:left w:val="nil"/>
              <w:bottom w:val="single" w:sz="4" w:space="0" w:color="auto"/>
              <w:right w:val="single" w:sz="4" w:space="0" w:color="auto"/>
            </w:tcBorders>
            <w:shd w:val="clear" w:color="000000" w:fill="FFFF00"/>
            <w:noWrap/>
            <w:vAlign w:val="bottom"/>
            <w:hideMark/>
          </w:tcPr>
          <w:p w14:paraId="528717D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3.970.946,85</w:t>
            </w:r>
          </w:p>
        </w:tc>
        <w:tc>
          <w:tcPr>
            <w:tcW w:w="1600" w:type="dxa"/>
            <w:tcBorders>
              <w:top w:val="single" w:sz="4" w:space="0" w:color="auto"/>
              <w:left w:val="nil"/>
              <w:bottom w:val="single" w:sz="4" w:space="0" w:color="auto"/>
              <w:right w:val="single" w:sz="4" w:space="0" w:color="auto"/>
            </w:tcBorders>
            <w:shd w:val="clear" w:color="000000" w:fill="FFFF00"/>
            <w:noWrap/>
            <w:vAlign w:val="bottom"/>
            <w:hideMark/>
          </w:tcPr>
          <w:p w14:paraId="23AB5EE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3.970.946,85</w:t>
            </w:r>
          </w:p>
        </w:tc>
        <w:tc>
          <w:tcPr>
            <w:tcW w:w="1660" w:type="dxa"/>
            <w:tcBorders>
              <w:top w:val="single" w:sz="4" w:space="0" w:color="auto"/>
              <w:left w:val="nil"/>
              <w:bottom w:val="single" w:sz="4" w:space="0" w:color="auto"/>
              <w:right w:val="single" w:sz="4" w:space="0" w:color="auto"/>
            </w:tcBorders>
            <w:shd w:val="clear" w:color="000000" w:fill="FFFF00"/>
            <w:noWrap/>
            <w:vAlign w:val="bottom"/>
            <w:hideMark/>
          </w:tcPr>
          <w:p w14:paraId="00640FF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4.184.675,12</w:t>
            </w:r>
          </w:p>
        </w:tc>
        <w:tc>
          <w:tcPr>
            <w:tcW w:w="10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9C661D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106,28%</w:t>
            </w:r>
          </w:p>
        </w:tc>
        <w:tc>
          <w:tcPr>
            <w:tcW w:w="9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AA40B0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104,31%</w:t>
            </w:r>
          </w:p>
        </w:tc>
      </w:tr>
      <w:tr w:rsidR="00416D67" w:rsidRPr="00416D67" w14:paraId="5595F515"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3CA1A12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1.1. 01 Opći prihodi i primici</w:t>
            </w:r>
          </w:p>
        </w:tc>
        <w:tc>
          <w:tcPr>
            <w:tcW w:w="1540" w:type="dxa"/>
            <w:tcBorders>
              <w:top w:val="single" w:sz="4" w:space="0" w:color="auto"/>
              <w:left w:val="nil"/>
              <w:bottom w:val="single" w:sz="4" w:space="0" w:color="auto"/>
              <w:right w:val="single" w:sz="4" w:space="0" w:color="auto"/>
            </w:tcBorders>
            <w:noWrap/>
            <w:vAlign w:val="bottom"/>
            <w:hideMark/>
          </w:tcPr>
          <w:p w14:paraId="1FB0872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3.897.010,81</w:t>
            </w:r>
          </w:p>
        </w:tc>
        <w:tc>
          <w:tcPr>
            <w:tcW w:w="1620" w:type="dxa"/>
            <w:tcBorders>
              <w:top w:val="single" w:sz="4" w:space="0" w:color="auto"/>
              <w:left w:val="nil"/>
              <w:bottom w:val="single" w:sz="4" w:space="0" w:color="auto"/>
              <w:right w:val="single" w:sz="4" w:space="0" w:color="auto"/>
            </w:tcBorders>
            <w:noWrap/>
            <w:vAlign w:val="bottom"/>
            <w:hideMark/>
          </w:tcPr>
          <w:p w14:paraId="523C994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3.933.446,85</w:t>
            </w:r>
          </w:p>
        </w:tc>
        <w:tc>
          <w:tcPr>
            <w:tcW w:w="1600" w:type="dxa"/>
            <w:tcBorders>
              <w:top w:val="single" w:sz="4" w:space="0" w:color="auto"/>
              <w:left w:val="nil"/>
              <w:bottom w:val="single" w:sz="4" w:space="0" w:color="auto"/>
              <w:right w:val="single" w:sz="4" w:space="0" w:color="auto"/>
            </w:tcBorders>
            <w:noWrap/>
            <w:vAlign w:val="bottom"/>
            <w:hideMark/>
          </w:tcPr>
          <w:p w14:paraId="79D25ED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3.933.446,85</w:t>
            </w:r>
          </w:p>
        </w:tc>
        <w:tc>
          <w:tcPr>
            <w:tcW w:w="1660" w:type="dxa"/>
            <w:tcBorders>
              <w:top w:val="single" w:sz="4" w:space="0" w:color="auto"/>
              <w:left w:val="nil"/>
              <w:bottom w:val="single" w:sz="4" w:space="0" w:color="auto"/>
              <w:right w:val="single" w:sz="4" w:space="0" w:color="auto"/>
            </w:tcBorders>
            <w:noWrap/>
            <w:vAlign w:val="bottom"/>
            <w:hideMark/>
          </w:tcPr>
          <w:p w14:paraId="168E251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4.153.058,57</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6631D74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106,28%</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11C4BD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105,30%</w:t>
            </w:r>
          </w:p>
        </w:tc>
      </w:tr>
      <w:tr w:rsidR="00416D67" w:rsidRPr="00416D67" w14:paraId="23839B64"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74E8042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1.1.3 Porez ustupljeni dio za vatrogasne postrojbe</w:t>
            </w:r>
          </w:p>
        </w:tc>
        <w:tc>
          <w:tcPr>
            <w:tcW w:w="1540" w:type="dxa"/>
            <w:tcBorders>
              <w:top w:val="single" w:sz="4" w:space="0" w:color="auto"/>
              <w:left w:val="nil"/>
              <w:bottom w:val="single" w:sz="4" w:space="0" w:color="auto"/>
              <w:right w:val="single" w:sz="4" w:space="0" w:color="auto"/>
            </w:tcBorders>
            <w:noWrap/>
            <w:vAlign w:val="bottom"/>
            <w:hideMark/>
          </w:tcPr>
          <w:p w14:paraId="03F3A6E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620" w:type="dxa"/>
            <w:tcBorders>
              <w:top w:val="single" w:sz="4" w:space="0" w:color="auto"/>
              <w:left w:val="nil"/>
              <w:bottom w:val="single" w:sz="4" w:space="0" w:color="auto"/>
              <w:right w:val="single" w:sz="4" w:space="0" w:color="auto"/>
            </w:tcBorders>
            <w:noWrap/>
            <w:vAlign w:val="bottom"/>
            <w:hideMark/>
          </w:tcPr>
          <w:p w14:paraId="3557C7D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37.500,00</w:t>
            </w:r>
          </w:p>
        </w:tc>
        <w:tc>
          <w:tcPr>
            <w:tcW w:w="1600" w:type="dxa"/>
            <w:tcBorders>
              <w:top w:val="single" w:sz="4" w:space="0" w:color="auto"/>
              <w:left w:val="nil"/>
              <w:bottom w:val="single" w:sz="4" w:space="0" w:color="auto"/>
              <w:right w:val="single" w:sz="4" w:space="0" w:color="auto"/>
            </w:tcBorders>
            <w:noWrap/>
            <w:vAlign w:val="bottom"/>
            <w:hideMark/>
          </w:tcPr>
          <w:p w14:paraId="039937C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37.500,00</w:t>
            </w:r>
          </w:p>
        </w:tc>
        <w:tc>
          <w:tcPr>
            <w:tcW w:w="1660" w:type="dxa"/>
            <w:tcBorders>
              <w:top w:val="single" w:sz="4" w:space="0" w:color="auto"/>
              <w:left w:val="nil"/>
              <w:bottom w:val="single" w:sz="4" w:space="0" w:color="auto"/>
              <w:right w:val="single" w:sz="4" w:space="0" w:color="auto"/>
            </w:tcBorders>
            <w:noWrap/>
            <w:vAlign w:val="bottom"/>
            <w:hideMark/>
          </w:tcPr>
          <w:p w14:paraId="27FC9BA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31.616,55</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20EBA2B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ACE32E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77E8E29D"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AED0C2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3. Vlastiti prihodi</w:t>
            </w:r>
          </w:p>
        </w:tc>
        <w:tc>
          <w:tcPr>
            <w:tcW w:w="1540" w:type="dxa"/>
            <w:tcBorders>
              <w:top w:val="single" w:sz="4" w:space="0" w:color="auto"/>
              <w:left w:val="nil"/>
              <w:bottom w:val="single" w:sz="4" w:space="0" w:color="auto"/>
              <w:right w:val="single" w:sz="4" w:space="0" w:color="auto"/>
            </w:tcBorders>
            <w:shd w:val="clear" w:color="000000" w:fill="FFFF00"/>
            <w:noWrap/>
            <w:vAlign w:val="bottom"/>
            <w:hideMark/>
          </w:tcPr>
          <w:p w14:paraId="42F79F7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42.133,47</w:t>
            </w:r>
          </w:p>
        </w:tc>
        <w:tc>
          <w:tcPr>
            <w:tcW w:w="1620" w:type="dxa"/>
            <w:tcBorders>
              <w:top w:val="single" w:sz="4" w:space="0" w:color="auto"/>
              <w:left w:val="nil"/>
              <w:bottom w:val="single" w:sz="4" w:space="0" w:color="auto"/>
              <w:right w:val="single" w:sz="4" w:space="0" w:color="auto"/>
            </w:tcBorders>
            <w:shd w:val="clear" w:color="000000" w:fill="FFFF00"/>
            <w:noWrap/>
            <w:vAlign w:val="bottom"/>
            <w:hideMark/>
          </w:tcPr>
          <w:p w14:paraId="30AE532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43.830,20</w:t>
            </w:r>
          </w:p>
        </w:tc>
        <w:tc>
          <w:tcPr>
            <w:tcW w:w="1600" w:type="dxa"/>
            <w:tcBorders>
              <w:top w:val="single" w:sz="4" w:space="0" w:color="auto"/>
              <w:left w:val="nil"/>
              <w:bottom w:val="single" w:sz="4" w:space="0" w:color="auto"/>
              <w:right w:val="single" w:sz="4" w:space="0" w:color="auto"/>
            </w:tcBorders>
            <w:shd w:val="clear" w:color="000000" w:fill="FFFF00"/>
            <w:noWrap/>
            <w:vAlign w:val="bottom"/>
            <w:hideMark/>
          </w:tcPr>
          <w:p w14:paraId="2AB8E9B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43.830,20</w:t>
            </w:r>
          </w:p>
        </w:tc>
        <w:tc>
          <w:tcPr>
            <w:tcW w:w="1660" w:type="dxa"/>
            <w:tcBorders>
              <w:top w:val="single" w:sz="4" w:space="0" w:color="auto"/>
              <w:left w:val="nil"/>
              <w:bottom w:val="single" w:sz="4" w:space="0" w:color="auto"/>
              <w:right w:val="single" w:sz="4" w:space="0" w:color="auto"/>
            </w:tcBorders>
            <w:shd w:val="clear" w:color="000000" w:fill="FFFF00"/>
            <w:noWrap/>
            <w:vAlign w:val="bottom"/>
            <w:hideMark/>
          </w:tcPr>
          <w:p w14:paraId="12EAF69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42.174,92</w:t>
            </w:r>
          </w:p>
        </w:tc>
        <w:tc>
          <w:tcPr>
            <w:tcW w:w="10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B01A71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100,10%</w:t>
            </w:r>
          </w:p>
        </w:tc>
        <w:tc>
          <w:tcPr>
            <w:tcW w:w="9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972E5D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96,22%</w:t>
            </w:r>
          </w:p>
        </w:tc>
      </w:tr>
      <w:tr w:rsidR="00416D67" w:rsidRPr="00416D67" w14:paraId="2C1CB1F3"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3C4A9BF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3.1. 03 Vlastiti prihodi</w:t>
            </w:r>
          </w:p>
        </w:tc>
        <w:tc>
          <w:tcPr>
            <w:tcW w:w="1540" w:type="dxa"/>
            <w:tcBorders>
              <w:top w:val="single" w:sz="4" w:space="0" w:color="auto"/>
              <w:left w:val="nil"/>
              <w:bottom w:val="single" w:sz="4" w:space="0" w:color="auto"/>
              <w:right w:val="single" w:sz="4" w:space="0" w:color="auto"/>
            </w:tcBorders>
            <w:noWrap/>
            <w:vAlign w:val="bottom"/>
            <w:hideMark/>
          </w:tcPr>
          <w:p w14:paraId="154F3BF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13.175,67</w:t>
            </w:r>
          </w:p>
        </w:tc>
        <w:tc>
          <w:tcPr>
            <w:tcW w:w="1620" w:type="dxa"/>
            <w:tcBorders>
              <w:top w:val="single" w:sz="4" w:space="0" w:color="auto"/>
              <w:left w:val="nil"/>
              <w:bottom w:val="single" w:sz="4" w:space="0" w:color="auto"/>
              <w:right w:val="single" w:sz="4" w:space="0" w:color="auto"/>
            </w:tcBorders>
            <w:noWrap/>
            <w:vAlign w:val="bottom"/>
            <w:hideMark/>
          </w:tcPr>
          <w:p w14:paraId="1BBC1A4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15.830,20</w:t>
            </w:r>
          </w:p>
        </w:tc>
        <w:tc>
          <w:tcPr>
            <w:tcW w:w="1600" w:type="dxa"/>
            <w:tcBorders>
              <w:top w:val="single" w:sz="4" w:space="0" w:color="auto"/>
              <w:left w:val="nil"/>
              <w:bottom w:val="single" w:sz="4" w:space="0" w:color="auto"/>
              <w:right w:val="single" w:sz="4" w:space="0" w:color="auto"/>
            </w:tcBorders>
            <w:noWrap/>
            <w:vAlign w:val="bottom"/>
            <w:hideMark/>
          </w:tcPr>
          <w:p w14:paraId="1A49857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15.830,20</w:t>
            </w:r>
          </w:p>
        </w:tc>
        <w:tc>
          <w:tcPr>
            <w:tcW w:w="1660" w:type="dxa"/>
            <w:tcBorders>
              <w:top w:val="single" w:sz="4" w:space="0" w:color="auto"/>
              <w:left w:val="nil"/>
              <w:bottom w:val="single" w:sz="4" w:space="0" w:color="auto"/>
              <w:right w:val="single" w:sz="4" w:space="0" w:color="auto"/>
            </w:tcBorders>
            <w:noWrap/>
            <w:vAlign w:val="bottom"/>
            <w:hideMark/>
          </w:tcPr>
          <w:p w14:paraId="1192E8E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14.770,52</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4BFC926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112,10%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3890F4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93,31%</w:t>
            </w:r>
          </w:p>
        </w:tc>
      </w:tr>
      <w:tr w:rsidR="00416D67" w:rsidRPr="00416D67" w14:paraId="0D33B8B5"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63E37AD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3.4. Vlastiti prihodi PK</w:t>
            </w:r>
          </w:p>
        </w:tc>
        <w:tc>
          <w:tcPr>
            <w:tcW w:w="1540" w:type="dxa"/>
            <w:tcBorders>
              <w:top w:val="single" w:sz="4" w:space="0" w:color="auto"/>
              <w:left w:val="nil"/>
              <w:bottom w:val="single" w:sz="4" w:space="0" w:color="auto"/>
              <w:right w:val="single" w:sz="4" w:space="0" w:color="auto"/>
            </w:tcBorders>
            <w:noWrap/>
            <w:vAlign w:val="bottom"/>
            <w:hideMark/>
          </w:tcPr>
          <w:p w14:paraId="28ED43F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28.957,80</w:t>
            </w:r>
          </w:p>
        </w:tc>
        <w:tc>
          <w:tcPr>
            <w:tcW w:w="1620" w:type="dxa"/>
            <w:tcBorders>
              <w:top w:val="single" w:sz="4" w:space="0" w:color="auto"/>
              <w:left w:val="nil"/>
              <w:bottom w:val="single" w:sz="4" w:space="0" w:color="auto"/>
              <w:right w:val="single" w:sz="4" w:space="0" w:color="auto"/>
            </w:tcBorders>
            <w:noWrap/>
            <w:vAlign w:val="bottom"/>
            <w:hideMark/>
          </w:tcPr>
          <w:p w14:paraId="3155C9E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28.000,00</w:t>
            </w:r>
          </w:p>
        </w:tc>
        <w:tc>
          <w:tcPr>
            <w:tcW w:w="1600" w:type="dxa"/>
            <w:tcBorders>
              <w:top w:val="single" w:sz="4" w:space="0" w:color="auto"/>
              <w:left w:val="nil"/>
              <w:bottom w:val="single" w:sz="4" w:space="0" w:color="auto"/>
              <w:right w:val="single" w:sz="4" w:space="0" w:color="auto"/>
            </w:tcBorders>
            <w:noWrap/>
            <w:vAlign w:val="bottom"/>
            <w:hideMark/>
          </w:tcPr>
          <w:p w14:paraId="432F74F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28.000,00</w:t>
            </w:r>
          </w:p>
        </w:tc>
        <w:tc>
          <w:tcPr>
            <w:tcW w:w="1660" w:type="dxa"/>
            <w:tcBorders>
              <w:top w:val="single" w:sz="4" w:space="0" w:color="auto"/>
              <w:left w:val="nil"/>
              <w:bottom w:val="single" w:sz="4" w:space="0" w:color="auto"/>
              <w:right w:val="single" w:sz="4" w:space="0" w:color="auto"/>
            </w:tcBorders>
            <w:noWrap/>
            <w:vAlign w:val="bottom"/>
            <w:hideMark/>
          </w:tcPr>
          <w:p w14:paraId="0EA6FD9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27.404,40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375BB69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94,64%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477A64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97,87%</w:t>
            </w:r>
          </w:p>
        </w:tc>
      </w:tr>
      <w:tr w:rsidR="00416D67" w:rsidRPr="00416D67" w14:paraId="1F93FDD8"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441BE5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4. Prihodi za posebne namjene</w:t>
            </w:r>
          </w:p>
        </w:tc>
        <w:tc>
          <w:tcPr>
            <w:tcW w:w="1540" w:type="dxa"/>
            <w:tcBorders>
              <w:top w:val="single" w:sz="4" w:space="0" w:color="auto"/>
              <w:left w:val="nil"/>
              <w:bottom w:val="single" w:sz="4" w:space="0" w:color="auto"/>
              <w:right w:val="single" w:sz="4" w:space="0" w:color="auto"/>
            </w:tcBorders>
            <w:shd w:val="clear" w:color="000000" w:fill="FFFF00"/>
            <w:noWrap/>
            <w:vAlign w:val="bottom"/>
            <w:hideMark/>
          </w:tcPr>
          <w:p w14:paraId="392FC72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1.261.886,53</w:t>
            </w:r>
          </w:p>
        </w:tc>
        <w:tc>
          <w:tcPr>
            <w:tcW w:w="1620" w:type="dxa"/>
            <w:tcBorders>
              <w:top w:val="single" w:sz="4" w:space="0" w:color="auto"/>
              <w:left w:val="nil"/>
              <w:bottom w:val="single" w:sz="4" w:space="0" w:color="auto"/>
              <w:right w:val="single" w:sz="4" w:space="0" w:color="auto"/>
            </w:tcBorders>
            <w:shd w:val="clear" w:color="000000" w:fill="FFFF00"/>
            <w:noWrap/>
            <w:vAlign w:val="bottom"/>
            <w:hideMark/>
          </w:tcPr>
          <w:p w14:paraId="78F7075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1.351.541,43</w:t>
            </w:r>
          </w:p>
        </w:tc>
        <w:tc>
          <w:tcPr>
            <w:tcW w:w="1600" w:type="dxa"/>
            <w:tcBorders>
              <w:top w:val="single" w:sz="4" w:space="0" w:color="auto"/>
              <w:left w:val="nil"/>
              <w:bottom w:val="single" w:sz="4" w:space="0" w:color="auto"/>
              <w:right w:val="single" w:sz="4" w:space="0" w:color="auto"/>
            </w:tcBorders>
            <w:shd w:val="clear" w:color="000000" w:fill="FFFF00"/>
            <w:noWrap/>
            <w:vAlign w:val="bottom"/>
            <w:hideMark/>
          </w:tcPr>
          <w:p w14:paraId="37E08F7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1.351.541,43</w:t>
            </w:r>
          </w:p>
        </w:tc>
        <w:tc>
          <w:tcPr>
            <w:tcW w:w="1660" w:type="dxa"/>
            <w:tcBorders>
              <w:top w:val="single" w:sz="4" w:space="0" w:color="auto"/>
              <w:left w:val="nil"/>
              <w:bottom w:val="single" w:sz="4" w:space="0" w:color="auto"/>
              <w:right w:val="single" w:sz="4" w:space="0" w:color="auto"/>
            </w:tcBorders>
            <w:shd w:val="clear" w:color="000000" w:fill="FFFF00"/>
            <w:noWrap/>
            <w:vAlign w:val="bottom"/>
            <w:hideMark/>
          </w:tcPr>
          <w:p w14:paraId="3CEC5E0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1.357.561,79</w:t>
            </w:r>
          </w:p>
        </w:tc>
        <w:tc>
          <w:tcPr>
            <w:tcW w:w="10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2E053A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107,58%</w:t>
            </w:r>
          </w:p>
        </w:tc>
        <w:tc>
          <w:tcPr>
            <w:tcW w:w="9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2F5824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100,45%</w:t>
            </w:r>
          </w:p>
        </w:tc>
      </w:tr>
      <w:tr w:rsidR="00416D67" w:rsidRPr="00416D67" w14:paraId="281E592A"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0B7DFA5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4.1. Prihodi za posebne namjene komunalna naknada</w:t>
            </w:r>
          </w:p>
        </w:tc>
        <w:tc>
          <w:tcPr>
            <w:tcW w:w="1540" w:type="dxa"/>
            <w:tcBorders>
              <w:top w:val="single" w:sz="4" w:space="0" w:color="auto"/>
              <w:left w:val="nil"/>
              <w:bottom w:val="single" w:sz="4" w:space="0" w:color="auto"/>
              <w:right w:val="single" w:sz="4" w:space="0" w:color="auto"/>
            </w:tcBorders>
            <w:noWrap/>
            <w:vAlign w:val="bottom"/>
            <w:hideMark/>
          </w:tcPr>
          <w:p w14:paraId="7AF9FF9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191.099,55</w:t>
            </w:r>
          </w:p>
        </w:tc>
        <w:tc>
          <w:tcPr>
            <w:tcW w:w="1620" w:type="dxa"/>
            <w:tcBorders>
              <w:top w:val="single" w:sz="4" w:space="0" w:color="auto"/>
              <w:left w:val="nil"/>
              <w:bottom w:val="single" w:sz="4" w:space="0" w:color="auto"/>
              <w:right w:val="single" w:sz="4" w:space="0" w:color="auto"/>
            </w:tcBorders>
            <w:noWrap/>
            <w:vAlign w:val="bottom"/>
            <w:hideMark/>
          </w:tcPr>
          <w:p w14:paraId="63D0680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210.000,00</w:t>
            </w:r>
          </w:p>
        </w:tc>
        <w:tc>
          <w:tcPr>
            <w:tcW w:w="1600" w:type="dxa"/>
            <w:tcBorders>
              <w:top w:val="single" w:sz="4" w:space="0" w:color="auto"/>
              <w:left w:val="nil"/>
              <w:bottom w:val="single" w:sz="4" w:space="0" w:color="auto"/>
              <w:right w:val="single" w:sz="4" w:space="0" w:color="auto"/>
            </w:tcBorders>
            <w:noWrap/>
            <w:vAlign w:val="bottom"/>
            <w:hideMark/>
          </w:tcPr>
          <w:p w14:paraId="4D34AD2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210.000,00</w:t>
            </w:r>
          </w:p>
        </w:tc>
        <w:tc>
          <w:tcPr>
            <w:tcW w:w="1660" w:type="dxa"/>
            <w:tcBorders>
              <w:top w:val="single" w:sz="4" w:space="0" w:color="auto"/>
              <w:left w:val="nil"/>
              <w:bottom w:val="single" w:sz="4" w:space="0" w:color="auto"/>
              <w:right w:val="single" w:sz="4" w:space="0" w:color="auto"/>
            </w:tcBorders>
            <w:noWrap/>
            <w:vAlign w:val="bottom"/>
            <w:hideMark/>
          </w:tcPr>
          <w:p w14:paraId="78E2FF9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195.690,03</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37732E1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102,40%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8BB64F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93,19%</w:t>
            </w:r>
          </w:p>
        </w:tc>
      </w:tr>
      <w:tr w:rsidR="00416D67" w:rsidRPr="00416D67" w14:paraId="11D3C393"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2F4F618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4.2. Prihodi za posebne namjene komunalni doprinos</w:t>
            </w:r>
          </w:p>
        </w:tc>
        <w:tc>
          <w:tcPr>
            <w:tcW w:w="1540" w:type="dxa"/>
            <w:tcBorders>
              <w:top w:val="single" w:sz="4" w:space="0" w:color="auto"/>
              <w:left w:val="nil"/>
              <w:bottom w:val="single" w:sz="4" w:space="0" w:color="auto"/>
              <w:right w:val="single" w:sz="4" w:space="0" w:color="auto"/>
            </w:tcBorders>
            <w:noWrap/>
            <w:vAlign w:val="bottom"/>
            <w:hideMark/>
          </w:tcPr>
          <w:p w14:paraId="135D0D2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836.800,70</w:t>
            </w:r>
          </w:p>
        </w:tc>
        <w:tc>
          <w:tcPr>
            <w:tcW w:w="1620" w:type="dxa"/>
            <w:tcBorders>
              <w:top w:val="single" w:sz="4" w:space="0" w:color="auto"/>
              <w:left w:val="nil"/>
              <w:bottom w:val="single" w:sz="4" w:space="0" w:color="auto"/>
              <w:right w:val="single" w:sz="4" w:space="0" w:color="auto"/>
            </w:tcBorders>
            <w:noWrap/>
            <w:vAlign w:val="bottom"/>
            <w:hideMark/>
          </w:tcPr>
          <w:p w14:paraId="73CF335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850.000,00</w:t>
            </w:r>
          </w:p>
        </w:tc>
        <w:tc>
          <w:tcPr>
            <w:tcW w:w="1600" w:type="dxa"/>
            <w:tcBorders>
              <w:top w:val="single" w:sz="4" w:space="0" w:color="auto"/>
              <w:left w:val="nil"/>
              <w:bottom w:val="single" w:sz="4" w:space="0" w:color="auto"/>
              <w:right w:val="single" w:sz="4" w:space="0" w:color="auto"/>
            </w:tcBorders>
            <w:noWrap/>
            <w:vAlign w:val="bottom"/>
            <w:hideMark/>
          </w:tcPr>
          <w:p w14:paraId="6EF2639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850.000,00</w:t>
            </w:r>
          </w:p>
        </w:tc>
        <w:tc>
          <w:tcPr>
            <w:tcW w:w="1660" w:type="dxa"/>
            <w:tcBorders>
              <w:top w:val="single" w:sz="4" w:space="0" w:color="auto"/>
              <w:left w:val="nil"/>
              <w:bottom w:val="single" w:sz="4" w:space="0" w:color="auto"/>
              <w:right w:val="single" w:sz="4" w:space="0" w:color="auto"/>
            </w:tcBorders>
            <w:noWrap/>
            <w:vAlign w:val="bottom"/>
            <w:hideMark/>
          </w:tcPr>
          <w:p w14:paraId="63E31B1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892.583,16</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1A92A0E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106,67%</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633F1E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105,01%</w:t>
            </w:r>
          </w:p>
        </w:tc>
      </w:tr>
      <w:tr w:rsidR="00416D67" w:rsidRPr="00416D67" w14:paraId="6F642D0E"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040288A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Izvor 4.3. Prihodi za </w:t>
            </w:r>
            <w:proofErr w:type="spellStart"/>
            <w:r w:rsidRPr="00416D67">
              <w:rPr>
                <w:rFonts w:ascii="Arial" w:hAnsi="Arial" w:cs="Arial"/>
                <w:b/>
                <w:bCs/>
                <w:sz w:val="14"/>
                <w:szCs w:val="14"/>
              </w:rPr>
              <w:t>pos.namjene</w:t>
            </w:r>
            <w:proofErr w:type="spellEnd"/>
            <w:r w:rsidRPr="00416D67">
              <w:rPr>
                <w:rFonts w:ascii="Arial" w:hAnsi="Arial" w:cs="Arial"/>
                <w:b/>
                <w:bCs/>
                <w:sz w:val="14"/>
                <w:szCs w:val="14"/>
              </w:rPr>
              <w:t xml:space="preserve"> ostali namjenski prihodi</w:t>
            </w:r>
          </w:p>
        </w:tc>
        <w:tc>
          <w:tcPr>
            <w:tcW w:w="1540" w:type="dxa"/>
            <w:tcBorders>
              <w:top w:val="single" w:sz="4" w:space="0" w:color="auto"/>
              <w:left w:val="nil"/>
              <w:bottom w:val="single" w:sz="4" w:space="0" w:color="auto"/>
              <w:right w:val="single" w:sz="4" w:space="0" w:color="auto"/>
            </w:tcBorders>
            <w:noWrap/>
            <w:vAlign w:val="bottom"/>
            <w:hideMark/>
          </w:tcPr>
          <w:p w14:paraId="7041A65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141.942,89</w:t>
            </w:r>
          </w:p>
        </w:tc>
        <w:tc>
          <w:tcPr>
            <w:tcW w:w="1620" w:type="dxa"/>
            <w:tcBorders>
              <w:top w:val="single" w:sz="4" w:space="0" w:color="auto"/>
              <w:left w:val="nil"/>
              <w:bottom w:val="single" w:sz="4" w:space="0" w:color="auto"/>
              <w:right w:val="single" w:sz="4" w:space="0" w:color="auto"/>
            </w:tcBorders>
            <w:noWrap/>
            <w:vAlign w:val="bottom"/>
            <w:hideMark/>
          </w:tcPr>
          <w:p w14:paraId="219652F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182.822,40</w:t>
            </w:r>
          </w:p>
        </w:tc>
        <w:tc>
          <w:tcPr>
            <w:tcW w:w="1600" w:type="dxa"/>
            <w:tcBorders>
              <w:top w:val="single" w:sz="4" w:space="0" w:color="auto"/>
              <w:left w:val="nil"/>
              <w:bottom w:val="single" w:sz="4" w:space="0" w:color="auto"/>
              <w:right w:val="single" w:sz="4" w:space="0" w:color="auto"/>
            </w:tcBorders>
            <w:noWrap/>
            <w:vAlign w:val="bottom"/>
            <w:hideMark/>
          </w:tcPr>
          <w:p w14:paraId="1EFA543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182.822,40</w:t>
            </w:r>
          </w:p>
        </w:tc>
        <w:tc>
          <w:tcPr>
            <w:tcW w:w="1660" w:type="dxa"/>
            <w:tcBorders>
              <w:top w:val="single" w:sz="4" w:space="0" w:color="auto"/>
              <w:left w:val="nil"/>
              <w:bottom w:val="single" w:sz="4" w:space="0" w:color="auto"/>
              <w:right w:val="single" w:sz="4" w:space="0" w:color="auto"/>
            </w:tcBorders>
            <w:noWrap/>
            <w:vAlign w:val="bottom"/>
            <w:hideMark/>
          </w:tcPr>
          <w:p w14:paraId="047D33C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163.687,62</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5236EC9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01F64A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02DC1C3C"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7121779B" w14:textId="77777777" w:rsidR="00416D67" w:rsidRPr="00416D67" w:rsidRDefault="00416D67" w:rsidP="00416D67">
            <w:pPr>
              <w:rPr>
                <w:rFonts w:ascii="Arial" w:hAnsi="Arial" w:cs="Arial"/>
                <w:sz w:val="14"/>
                <w:szCs w:val="14"/>
              </w:rPr>
            </w:pPr>
            <w:r w:rsidRPr="00416D67">
              <w:rPr>
                <w:rFonts w:ascii="Arial" w:hAnsi="Arial" w:cs="Arial"/>
                <w:sz w:val="14"/>
                <w:szCs w:val="14"/>
              </w:rPr>
              <w:t>Izvor 4.3.1 Turistička  pristojba</w:t>
            </w:r>
          </w:p>
        </w:tc>
        <w:tc>
          <w:tcPr>
            <w:tcW w:w="1540" w:type="dxa"/>
            <w:tcBorders>
              <w:top w:val="single" w:sz="4" w:space="0" w:color="auto"/>
              <w:left w:val="nil"/>
              <w:bottom w:val="single" w:sz="4" w:space="0" w:color="auto"/>
              <w:right w:val="single" w:sz="4" w:space="0" w:color="auto"/>
            </w:tcBorders>
            <w:noWrap/>
            <w:vAlign w:val="bottom"/>
            <w:hideMark/>
          </w:tcPr>
          <w:p w14:paraId="2BF6698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64.874,32</w:t>
            </w:r>
          </w:p>
        </w:tc>
        <w:tc>
          <w:tcPr>
            <w:tcW w:w="1620" w:type="dxa"/>
            <w:tcBorders>
              <w:top w:val="single" w:sz="4" w:space="0" w:color="auto"/>
              <w:left w:val="nil"/>
              <w:bottom w:val="single" w:sz="4" w:space="0" w:color="auto"/>
              <w:right w:val="single" w:sz="4" w:space="0" w:color="auto"/>
            </w:tcBorders>
            <w:noWrap/>
            <w:vAlign w:val="bottom"/>
            <w:hideMark/>
          </w:tcPr>
          <w:p w14:paraId="273B090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75.074,00</w:t>
            </w:r>
          </w:p>
        </w:tc>
        <w:tc>
          <w:tcPr>
            <w:tcW w:w="1600" w:type="dxa"/>
            <w:tcBorders>
              <w:top w:val="single" w:sz="4" w:space="0" w:color="auto"/>
              <w:left w:val="nil"/>
              <w:bottom w:val="single" w:sz="4" w:space="0" w:color="auto"/>
              <w:right w:val="single" w:sz="4" w:space="0" w:color="auto"/>
            </w:tcBorders>
            <w:noWrap/>
            <w:vAlign w:val="bottom"/>
            <w:hideMark/>
          </w:tcPr>
          <w:p w14:paraId="1ED6391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75.074,00</w:t>
            </w:r>
          </w:p>
        </w:tc>
        <w:tc>
          <w:tcPr>
            <w:tcW w:w="1660" w:type="dxa"/>
            <w:tcBorders>
              <w:top w:val="single" w:sz="4" w:space="0" w:color="auto"/>
              <w:left w:val="nil"/>
              <w:bottom w:val="single" w:sz="4" w:space="0" w:color="auto"/>
              <w:right w:val="single" w:sz="4" w:space="0" w:color="auto"/>
            </w:tcBorders>
            <w:noWrap/>
            <w:vAlign w:val="bottom"/>
            <w:hideMark/>
          </w:tcPr>
          <w:p w14:paraId="1B59289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61.093,02</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4677A8C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94,17%</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793F99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81,38%</w:t>
            </w:r>
          </w:p>
        </w:tc>
      </w:tr>
      <w:tr w:rsidR="00416D67" w:rsidRPr="00416D67" w14:paraId="53AE945D"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5133EAC2" w14:textId="77777777" w:rsidR="00416D67" w:rsidRPr="00416D67" w:rsidRDefault="00416D67" w:rsidP="00416D67">
            <w:pPr>
              <w:rPr>
                <w:rFonts w:ascii="Arial" w:hAnsi="Arial" w:cs="Arial"/>
                <w:sz w:val="14"/>
                <w:szCs w:val="14"/>
              </w:rPr>
            </w:pPr>
            <w:r w:rsidRPr="00416D67">
              <w:rPr>
                <w:rFonts w:ascii="Arial" w:hAnsi="Arial" w:cs="Arial"/>
                <w:sz w:val="14"/>
                <w:szCs w:val="14"/>
              </w:rPr>
              <w:t>Izvor 4.3.10 Ostali prihodi za posebne namjene spomenička renta</w:t>
            </w:r>
          </w:p>
        </w:tc>
        <w:tc>
          <w:tcPr>
            <w:tcW w:w="1540" w:type="dxa"/>
            <w:tcBorders>
              <w:top w:val="single" w:sz="4" w:space="0" w:color="auto"/>
              <w:left w:val="nil"/>
              <w:bottom w:val="single" w:sz="4" w:space="0" w:color="auto"/>
              <w:right w:val="single" w:sz="4" w:space="0" w:color="auto"/>
            </w:tcBorders>
            <w:noWrap/>
            <w:vAlign w:val="bottom"/>
            <w:hideMark/>
          </w:tcPr>
          <w:p w14:paraId="4FC200D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4,41</w:t>
            </w:r>
          </w:p>
        </w:tc>
        <w:tc>
          <w:tcPr>
            <w:tcW w:w="1620" w:type="dxa"/>
            <w:tcBorders>
              <w:top w:val="single" w:sz="4" w:space="0" w:color="auto"/>
              <w:left w:val="nil"/>
              <w:bottom w:val="single" w:sz="4" w:space="0" w:color="auto"/>
              <w:right w:val="single" w:sz="4" w:space="0" w:color="auto"/>
            </w:tcBorders>
            <w:noWrap/>
            <w:vAlign w:val="bottom"/>
            <w:hideMark/>
          </w:tcPr>
          <w:p w14:paraId="60A6822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w:t>
            </w:r>
          </w:p>
        </w:tc>
        <w:tc>
          <w:tcPr>
            <w:tcW w:w="1600" w:type="dxa"/>
            <w:tcBorders>
              <w:top w:val="single" w:sz="4" w:space="0" w:color="auto"/>
              <w:left w:val="nil"/>
              <w:bottom w:val="single" w:sz="4" w:space="0" w:color="auto"/>
              <w:right w:val="single" w:sz="4" w:space="0" w:color="auto"/>
            </w:tcBorders>
            <w:noWrap/>
            <w:vAlign w:val="bottom"/>
            <w:hideMark/>
          </w:tcPr>
          <w:p w14:paraId="6EDC1AC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w:t>
            </w:r>
          </w:p>
        </w:tc>
        <w:tc>
          <w:tcPr>
            <w:tcW w:w="1660" w:type="dxa"/>
            <w:tcBorders>
              <w:top w:val="single" w:sz="4" w:space="0" w:color="auto"/>
              <w:left w:val="nil"/>
              <w:bottom w:val="single" w:sz="4" w:space="0" w:color="auto"/>
              <w:right w:val="single" w:sz="4" w:space="0" w:color="auto"/>
            </w:tcBorders>
            <w:noWrap/>
            <w:vAlign w:val="bottom"/>
            <w:hideMark/>
          </w:tcPr>
          <w:p w14:paraId="0CFB89B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2,24</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28DE705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50,79%</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889A5E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22,40%</w:t>
            </w:r>
          </w:p>
        </w:tc>
      </w:tr>
      <w:tr w:rsidR="00416D67" w:rsidRPr="00416D67" w14:paraId="557628EE"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6B7EA0F4"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4.3.12 Koncesija pružanja javne usluge pražnjenja </w:t>
            </w:r>
          </w:p>
        </w:tc>
        <w:tc>
          <w:tcPr>
            <w:tcW w:w="1540" w:type="dxa"/>
            <w:tcBorders>
              <w:top w:val="single" w:sz="4" w:space="0" w:color="auto"/>
              <w:left w:val="nil"/>
              <w:bottom w:val="single" w:sz="4" w:space="0" w:color="auto"/>
              <w:right w:val="single" w:sz="4" w:space="0" w:color="auto"/>
            </w:tcBorders>
            <w:noWrap/>
            <w:vAlign w:val="bottom"/>
            <w:hideMark/>
          </w:tcPr>
          <w:p w14:paraId="73F1A36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2.585,02</w:t>
            </w:r>
          </w:p>
        </w:tc>
        <w:tc>
          <w:tcPr>
            <w:tcW w:w="1620" w:type="dxa"/>
            <w:tcBorders>
              <w:top w:val="single" w:sz="4" w:space="0" w:color="auto"/>
              <w:left w:val="nil"/>
              <w:bottom w:val="single" w:sz="4" w:space="0" w:color="auto"/>
              <w:right w:val="single" w:sz="4" w:space="0" w:color="auto"/>
            </w:tcBorders>
            <w:noWrap/>
            <w:vAlign w:val="bottom"/>
            <w:hideMark/>
          </w:tcPr>
          <w:p w14:paraId="1817974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265,00</w:t>
            </w:r>
          </w:p>
        </w:tc>
        <w:tc>
          <w:tcPr>
            <w:tcW w:w="1600" w:type="dxa"/>
            <w:tcBorders>
              <w:top w:val="single" w:sz="4" w:space="0" w:color="auto"/>
              <w:left w:val="nil"/>
              <w:bottom w:val="single" w:sz="4" w:space="0" w:color="auto"/>
              <w:right w:val="single" w:sz="4" w:space="0" w:color="auto"/>
            </w:tcBorders>
            <w:noWrap/>
            <w:vAlign w:val="bottom"/>
            <w:hideMark/>
          </w:tcPr>
          <w:p w14:paraId="5C13D41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265,00</w:t>
            </w:r>
          </w:p>
        </w:tc>
        <w:tc>
          <w:tcPr>
            <w:tcW w:w="1660" w:type="dxa"/>
            <w:tcBorders>
              <w:top w:val="single" w:sz="4" w:space="0" w:color="auto"/>
              <w:left w:val="nil"/>
              <w:bottom w:val="single" w:sz="4" w:space="0" w:color="auto"/>
              <w:right w:val="single" w:sz="4" w:space="0" w:color="auto"/>
            </w:tcBorders>
            <w:noWrap/>
            <w:vAlign w:val="bottom"/>
            <w:hideMark/>
          </w:tcPr>
          <w:p w14:paraId="7FBD3B6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199C69E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096D50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2E0FA3F6"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310D1AB0" w14:textId="77777777" w:rsidR="00416D67" w:rsidRPr="00416D67" w:rsidRDefault="00416D67" w:rsidP="00416D67">
            <w:pPr>
              <w:rPr>
                <w:rFonts w:ascii="Arial" w:hAnsi="Arial" w:cs="Arial"/>
                <w:sz w:val="14"/>
                <w:szCs w:val="14"/>
              </w:rPr>
            </w:pPr>
            <w:r w:rsidRPr="00416D67">
              <w:rPr>
                <w:rFonts w:ascii="Arial" w:hAnsi="Arial" w:cs="Arial"/>
                <w:sz w:val="14"/>
                <w:szCs w:val="14"/>
              </w:rPr>
              <w:t>Izvor 4.3.13 Naknada za koncesiju taxi prijevoz</w:t>
            </w:r>
          </w:p>
        </w:tc>
        <w:tc>
          <w:tcPr>
            <w:tcW w:w="1540" w:type="dxa"/>
            <w:tcBorders>
              <w:top w:val="single" w:sz="4" w:space="0" w:color="auto"/>
              <w:left w:val="nil"/>
              <w:bottom w:val="single" w:sz="4" w:space="0" w:color="auto"/>
              <w:right w:val="single" w:sz="4" w:space="0" w:color="auto"/>
            </w:tcBorders>
            <w:noWrap/>
            <w:vAlign w:val="bottom"/>
            <w:hideMark/>
          </w:tcPr>
          <w:p w14:paraId="5EC59ED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620" w:type="dxa"/>
            <w:tcBorders>
              <w:top w:val="single" w:sz="4" w:space="0" w:color="auto"/>
              <w:left w:val="nil"/>
              <w:bottom w:val="single" w:sz="4" w:space="0" w:color="auto"/>
              <w:right w:val="single" w:sz="4" w:space="0" w:color="auto"/>
            </w:tcBorders>
            <w:noWrap/>
            <w:vAlign w:val="bottom"/>
            <w:hideMark/>
          </w:tcPr>
          <w:p w14:paraId="5E6A795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450,00</w:t>
            </w:r>
          </w:p>
        </w:tc>
        <w:tc>
          <w:tcPr>
            <w:tcW w:w="1600" w:type="dxa"/>
            <w:tcBorders>
              <w:top w:val="single" w:sz="4" w:space="0" w:color="auto"/>
              <w:left w:val="nil"/>
              <w:bottom w:val="single" w:sz="4" w:space="0" w:color="auto"/>
              <w:right w:val="single" w:sz="4" w:space="0" w:color="auto"/>
            </w:tcBorders>
            <w:noWrap/>
            <w:vAlign w:val="bottom"/>
            <w:hideMark/>
          </w:tcPr>
          <w:p w14:paraId="35BDC80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450,00</w:t>
            </w:r>
          </w:p>
        </w:tc>
        <w:tc>
          <w:tcPr>
            <w:tcW w:w="1660" w:type="dxa"/>
            <w:tcBorders>
              <w:top w:val="single" w:sz="4" w:space="0" w:color="auto"/>
              <w:left w:val="nil"/>
              <w:bottom w:val="single" w:sz="4" w:space="0" w:color="auto"/>
              <w:right w:val="single" w:sz="4" w:space="0" w:color="auto"/>
            </w:tcBorders>
            <w:noWrap/>
            <w:vAlign w:val="bottom"/>
            <w:hideMark/>
          </w:tcPr>
          <w:p w14:paraId="4CAFDB6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450,00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1181125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FA8E96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w:t>
            </w:r>
          </w:p>
        </w:tc>
      </w:tr>
      <w:tr w:rsidR="00416D67" w:rsidRPr="00416D67" w14:paraId="196AD769"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2911D209" w14:textId="77777777" w:rsidR="00416D67" w:rsidRPr="00416D67" w:rsidRDefault="00416D67" w:rsidP="00416D67">
            <w:pPr>
              <w:rPr>
                <w:rFonts w:ascii="Arial" w:hAnsi="Arial" w:cs="Arial"/>
                <w:sz w:val="14"/>
                <w:szCs w:val="14"/>
              </w:rPr>
            </w:pPr>
            <w:r w:rsidRPr="00416D67">
              <w:rPr>
                <w:rFonts w:ascii="Arial" w:hAnsi="Arial" w:cs="Arial"/>
                <w:sz w:val="14"/>
                <w:szCs w:val="14"/>
              </w:rPr>
              <w:t>Izvor 4.3.2 Eksploatacija mineralnih sirovina</w:t>
            </w:r>
          </w:p>
        </w:tc>
        <w:tc>
          <w:tcPr>
            <w:tcW w:w="1540" w:type="dxa"/>
            <w:tcBorders>
              <w:top w:val="single" w:sz="4" w:space="0" w:color="auto"/>
              <w:left w:val="nil"/>
              <w:bottom w:val="single" w:sz="4" w:space="0" w:color="auto"/>
              <w:right w:val="single" w:sz="4" w:space="0" w:color="auto"/>
            </w:tcBorders>
            <w:noWrap/>
            <w:vAlign w:val="bottom"/>
            <w:hideMark/>
          </w:tcPr>
          <w:p w14:paraId="2BB3698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27.524,47</w:t>
            </w:r>
          </w:p>
        </w:tc>
        <w:tc>
          <w:tcPr>
            <w:tcW w:w="1620" w:type="dxa"/>
            <w:tcBorders>
              <w:top w:val="single" w:sz="4" w:space="0" w:color="auto"/>
              <w:left w:val="nil"/>
              <w:bottom w:val="single" w:sz="4" w:space="0" w:color="auto"/>
              <w:right w:val="single" w:sz="4" w:space="0" w:color="auto"/>
            </w:tcBorders>
            <w:noWrap/>
            <w:vAlign w:val="bottom"/>
            <w:hideMark/>
          </w:tcPr>
          <w:p w14:paraId="1CE52E9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56.500,00</w:t>
            </w:r>
          </w:p>
        </w:tc>
        <w:tc>
          <w:tcPr>
            <w:tcW w:w="1600" w:type="dxa"/>
            <w:tcBorders>
              <w:top w:val="single" w:sz="4" w:space="0" w:color="auto"/>
              <w:left w:val="nil"/>
              <w:bottom w:val="single" w:sz="4" w:space="0" w:color="auto"/>
              <w:right w:val="single" w:sz="4" w:space="0" w:color="auto"/>
            </w:tcBorders>
            <w:noWrap/>
            <w:vAlign w:val="bottom"/>
            <w:hideMark/>
          </w:tcPr>
          <w:p w14:paraId="1F397E6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56.500,00</w:t>
            </w:r>
          </w:p>
        </w:tc>
        <w:tc>
          <w:tcPr>
            <w:tcW w:w="1660" w:type="dxa"/>
            <w:tcBorders>
              <w:top w:val="single" w:sz="4" w:space="0" w:color="auto"/>
              <w:left w:val="nil"/>
              <w:bottom w:val="single" w:sz="4" w:space="0" w:color="auto"/>
              <w:right w:val="single" w:sz="4" w:space="0" w:color="auto"/>
            </w:tcBorders>
            <w:noWrap/>
            <w:vAlign w:val="bottom"/>
            <w:hideMark/>
          </w:tcPr>
          <w:p w14:paraId="7BB2C83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56.347,37</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14B8234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204,72%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72D217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99,73%</w:t>
            </w:r>
          </w:p>
        </w:tc>
      </w:tr>
      <w:tr w:rsidR="00416D67" w:rsidRPr="00416D67" w14:paraId="6167776F"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32D69BB4"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4.3.3 Prihodi od zakupa i </w:t>
            </w:r>
            <w:proofErr w:type="spellStart"/>
            <w:r w:rsidRPr="00416D67">
              <w:rPr>
                <w:rFonts w:ascii="Arial" w:hAnsi="Arial" w:cs="Arial"/>
                <w:sz w:val="14"/>
                <w:szCs w:val="14"/>
              </w:rPr>
              <w:t>privr.kor.poljoprivrednog</w:t>
            </w:r>
            <w:proofErr w:type="spellEnd"/>
            <w:r w:rsidRPr="00416D67">
              <w:rPr>
                <w:rFonts w:ascii="Arial" w:hAnsi="Arial" w:cs="Arial"/>
                <w:sz w:val="14"/>
                <w:szCs w:val="14"/>
              </w:rPr>
              <w:t xml:space="preserve"> zemljišta</w:t>
            </w:r>
          </w:p>
        </w:tc>
        <w:tc>
          <w:tcPr>
            <w:tcW w:w="1540" w:type="dxa"/>
            <w:tcBorders>
              <w:top w:val="single" w:sz="4" w:space="0" w:color="auto"/>
              <w:left w:val="nil"/>
              <w:bottom w:val="single" w:sz="4" w:space="0" w:color="auto"/>
              <w:right w:val="single" w:sz="4" w:space="0" w:color="auto"/>
            </w:tcBorders>
            <w:noWrap/>
            <w:vAlign w:val="bottom"/>
            <w:hideMark/>
          </w:tcPr>
          <w:p w14:paraId="6E2029F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150,40</w:t>
            </w:r>
          </w:p>
        </w:tc>
        <w:tc>
          <w:tcPr>
            <w:tcW w:w="1620" w:type="dxa"/>
            <w:tcBorders>
              <w:top w:val="single" w:sz="4" w:space="0" w:color="auto"/>
              <w:left w:val="nil"/>
              <w:bottom w:val="single" w:sz="4" w:space="0" w:color="auto"/>
              <w:right w:val="single" w:sz="4" w:space="0" w:color="auto"/>
            </w:tcBorders>
            <w:noWrap/>
            <w:vAlign w:val="bottom"/>
            <w:hideMark/>
          </w:tcPr>
          <w:p w14:paraId="62F615C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200,00</w:t>
            </w:r>
          </w:p>
        </w:tc>
        <w:tc>
          <w:tcPr>
            <w:tcW w:w="1600" w:type="dxa"/>
            <w:tcBorders>
              <w:top w:val="single" w:sz="4" w:space="0" w:color="auto"/>
              <w:left w:val="nil"/>
              <w:bottom w:val="single" w:sz="4" w:space="0" w:color="auto"/>
              <w:right w:val="single" w:sz="4" w:space="0" w:color="auto"/>
            </w:tcBorders>
            <w:noWrap/>
            <w:vAlign w:val="bottom"/>
            <w:hideMark/>
          </w:tcPr>
          <w:p w14:paraId="15AE970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200,00</w:t>
            </w:r>
          </w:p>
        </w:tc>
        <w:tc>
          <w:tcPr>
            <w:tcW w:w="1660" w:type="dxa"/>
            <w:tcBorders>
              <w:top w:val="single" w:sz="4" w:space="0" w:color="auto"/>
              <w:left w:val="nil"/>
              <w:bottom w:val="single" w:sz="4" w:space="0" w:color="auto"/>
              <w:right w:val="single" w:sz="4" w:space="0" w:color="auto"/>
            </w:tcBorders>
            <w:noWrap/>
            <w:vAlign w:val="bottom"/>
            <w:hideMark/>
          </w:tcPr>
          <w:p w14:paraId="65E4238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50,58</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7C330EC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33,63%</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DCA353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25,29%</w:t>
            </w:r>
          </w:p>
        </w:tc>
      </w:tr>
      <w:tr w:rsidR="00416D67" w:rsidRPr="00416D67" w14:paraId="239E8469"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595DC6F9" w14:textId="77777777" w:rsidR="00416D67" w:rsidRPr="00416D67" w:rsidRDefault="00416D67" w:rsidP="00416D67">
            <w:pPr>
              <w:rPr>
                <w:rFonts w:ascii="Arial" w:hAnsi="Arial" w:cs="Arial"/>
                <w:sz w:val="14"/>
                <w:szCs w:val="14"/>
              </w:rPr>
            </w:pPr>
            <w:r w:rsidRPr="00416D67">
              <w:rPr>
                <w:rFonts w:ascii="Arial" w:hAnsi="Arial" w:cs="Arial"/>
                <w:sz w:val="14"/>
                <w:szCs w:val="14"/>
              </w:rPr>
              <w:t>Izvor 4.3.4 Vodni doprinos</w:t>
            </w:r>
          </w:p>
        </w:tc>
        <w:tc>
          <w:tcPr>
            <w:tcW w:w="1540" w:type="dxa"/>
            <w:tcBorders>
              <w:top w:val="single" w:sz="4" w:space="0" w:color="auto"/>
              <w:left w:val="nil"/>
              <w:bottom w:val="single" w:sz="4" w:space="0" w:color="auto"/>
              <w:right w:val="single" w:sz="4" w:space="0" w:color="auto"/>
            </w:tcBorders>
            <w:noWrap/>
            <w:vAlign w:val="bottom"/>
            <w:hideMark/>
          </w:tcPr>
          <w:p w14:paraId="7DA71CA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2.082,99</w:t>
            </w:r>
          </w:p>
        </w:tc>
        <w:tc>
          <w:tcPr>
            <w:tcW w:w="1620" w:type="dxa"/>
            <w:tcBorders>
              <w:top w:val="single" w:sz="4" w:space="0" w:color="auto"/>
              <w:left w:val="nil"/>
              <w:bottom w:val="single" w:sz="4" w:space="0" w:color="auto"/>
              <w:right w:val="single" w:sz="4" w:space="0" w:color="auto"/>
            </w:tcBorders>
            <w:noWrap/>
            <w:vAlign w:val="bottom"/>
            <w:hideMark/>
          </w:tcPr>
          <w:p w14:paraId="0F02A5C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1.000,00</w:t>
            </w:r>
          </w:p>
        </w:tc>
        <w:tc>
          <w:tcPr>
            <w:tcW w:w="1600" w:type="dxa"/>
            <w:tcBorders>
              <w:top w:val="single" w:sz="4" w:space="0" w:color="auto"/>
              <w:left w:val="nil"/>
              <w:bottom w:val="single" w:sz="4" w:space="0" w:color="auto"/>
              <w:right w:val="single" w:sz="4" w:space="0" w:color="auto"/>
            </w:tcBorders>
            <w:noWrap/>
            <w:vAlign w:val="bottom"/>
            <w:hideMark/>
          </w:tcPr>
          <w:p w14:paraId="739EBA3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1.000,00</w:t>
            </w:r>
          </w:p>
        </w:tc>
        <w:tc>
          <w:tcPr>
            <w:tcW w:w="1660" w:type="dxa"/>
            <w:tcBorders>
              <w:top w:val="single" w:sz="4" w:space="0" w:color="auto"/>
              <w:left w:val="nil"/>
              <w:bottom w:val="single" w:sz="4" w:space="0" w:color="auto"/>
              <w:right w:val="single" w:sz="4" w:space="0" w:color="auto"/>
            </w:tcBorders>
            <w:noWrap/>
            <w:vAlign w:val="bottom"/>
            <w:hideMark/>
          </w:tcPr>
          <w:p w14:paraId="2B5A40D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377,27</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4076844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18,11%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DBE2BA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37,73%</w:t>
            </w:r>
          </w:p>
        </w:tc>
      </w:tr>
      <w:tr w:rsidR="00416D67" w:rsidRPr="00416D67" w14:paraId="29702118"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134A6D97"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4.3.5 Naknada za zadržavanje nezakonito </w:t>
            </w:r>
            <w:proofErr w:type="spellStart"/>
            <w:r w:rsidRPr="00416D67">
              <w:rPr>
                <w:rFonts w:ascii="Arial" w:hAnsi="Arial" w:cs="Arial"/>
                <w:sz w:val="14"/>
                <w:szCs w:val="14"/>
              </w:rPr>
              <w:t>izgr.zgrada</w:t>
            </w:r>
            <w:proofErr w:type="spellEnd"/>
          </w:p>
        </w:tc>
        <w:tc>
          <w:tcPr>
            <w:tcW w:w="1540" w:type="dxa"/>
            <w:tcBorders>
              <w:top w:val="single" w:sz="4" w:space="0" w:color="auto"/>
              <w:left w:val="nil"/>
              <w:bottom w:val="single" w:sz="4" w:space="0" w:color="auto"/>
              <w:right w:val="single" w:sz="4" w:space="0" w:color="auto"/>
            </w:tcBorders>
            <w:noWrap/>
            <w:vAlign w:val="bottom"/>
            <w:hideMark/>
          </w:tcPr>
          <w:p w14:paraId="295AEB3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10.513,30</w:t>
            </w:r>
          </w:p>
        </w:tc>
        <w:tc>
          <w:tcPr>
            <w:tcW w:w="1620" w:type="dxa"/>
            <w:tcBorders>
              <w:top w:val="single" w:sz="4" w:space="0" w:color="auto"/>
              <w:left w:val="nil"/>
              <w:bottom w:val="single" w:sz="4" w:space="0" w:color="auto"/>
              <w:right w:val="single" w:sz="4" w:space="0" w:color="auto"/>
            </w:tcBorders>
            <w:noWrap/>
            <w:vAlign w:val="bottom"/>
            <w:hideMark/>
          </w:tcPr>
          <w:p w14:paraId="1FFF2B2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7.500,00</w:t>
            </w:r>
          </w:p>
        </w:tc>
        <w:tc>
          <w:tcPr>
            <w:tcW w:w="1600" w:type="dxa"/>
            <w:tcBorders>
              <w:top w:val="single" w:sz="4" w:space="0" w:color="auto"/>
              <w:left w:val="nil"/>
              <w:bottom w:val="single" w:sz="4" w:space="0" w:color="auto"/>
              <w:right w:val="single" w:sz="4" w:space="0" w:color="auto"/>
            </w:tcBorders>
            <w:noWrap/>
            <w:vAlign w:val="bottom"/>
            <w:hideMark/>
          </w:tcPr>
          <w:p w14:paraId="1B2810A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7.500,00</w:t>
            </w:r>
          </w:p>
        </w:tc>
        <w:tc>
          <w:tcPr>
            <w:tcW w:w="1660" w:type="dxa"/>
            <w:tcBorders>
              <w:top w:val="single" w:sz="4" w:space="0" w:color="auto"/>
              <w:left w:val="nil"/>
              <w:bottom w:val="single" w:sz="4" w:space="0" w:color="auto"/>
              <w:right w:val="single" w:sz="4" w:space="0" w:color="auto"/>
            </w:tcBorders>
            <w:noWrap/>
            <w:vAlign w:val="bottom"/>
            <w:hideMark/>
          </w:tcPr>
          <w:p w14:paraId="6B14809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5.696,66</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0C95B5C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54,19%</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66AC76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75,96%</w:t>
            </w:r>
          </w:p>
        </w:tc>
      </w:tr>
      <w:tr w:rsidR="00416D67" w:rsidRPr="00416D67" w14:paraId="3E2202AB"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4DB2606C" w14:textId="77777777" w:rsidR="00416D67" w:rsidRPr="00416D67" w:rsidRDefault="00416D67" w:rsidP="00416D67">
            <w:pPr>
              <w:rPr>
                <w:rFonts w:ascii="Arial" w:hAnsi="Arial" w:cs="Arial"/>
                <w:sz w:val="14"/>
                <w:szCs w:val="14"/>
              </w:rPr>
            </w:pPr>
            <w:r w:rsidRPr="00416D67">
              <w:rPr>
                <w:rFonts w:ascii="Arial" w:hAnsi="Arial" w:cs="Arial"/>
                <w:sz w:val="14"/>
                <w:szCs w:val="14"/>
              </w:rPr>
              <w:t>Izvor 4.3.6 Koncesije i koncesijska odobrenja</w:t>
            </w:r>
          </w:p>
        </w:tc>
        <w:tc>
          <w:tcPr>
            <w:tcW w:w="1540" w:type="dxa"/>
            <w:tcBorders>
              <w:top w:val="single" w:sz="4" w:space="0" w:color="auto"/>
              <w:left w:val="nil"/>
              <w:bottom w:val="single" w:sz="4" w:space="0" w:color="auto"/>
              <w:right w:val="single" w:sz="4" w:space="0" w:color="auto"/>
            </w:tcBorders>
            <w:noWrap/>
            <w:vAlign w:val="bottom"/>
            <w:hideMark/>
          </w:tcPr>
          <w:p w14:paraId="4F29ECB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21.801,49</w:t>
            </w:r>
          </w:p>
        </w:tc>
        <w:tc>
          <w:tcPr>
            <w:tcW w:w="1620" w:type="dxa"/>
            <w:tcBorders>
              <w:top w:val="single" w:sz="4" w:space="0" w:color="auto"/>
              <w:left w:val="nil"/>
              <w:bottom w:val="single" w:sz="4" w:space="0" w:color="auto"/>
              <w:right w:val="single" w:sz="4" w:space="0" w:color="auto"/>
            </w:tcBorders>
            <w:noWrap/>
            <w:vAlign w:val="bottom"/>
            <w:hideMark/>
          </w:tcPr>
          <w:p w14:paraId="166C293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28.873,40</w:t>
            </w:r>
          </w:p>
        </w:tc>
        <w:tc>
          <w:tcPr>
            <w:tcW w:w="1600" w:type="dxa"/>
            <w:tcBorders>
              <w:top w:val="single" w:sz="4" w:space="0" w:color="auto"/>
              <w:left w:val="nil"/>
              <w:bottom w:val="single" w:sz="4" w:space="0" w:color="auto"/>
              <w:right w:val="single" w:sz="4" w:space="0" w:color="auto"/>
            </w:tcBorders>
            <w:noWrap/>
            <w:vAlign w:val="bottom"/>
            <w:hideMark/>
          </w:tcPr>
          <w:p w14:paraId="4E76D86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28.873,40</w:t>
            </w:r>
          </w:p>
        </w:tc>
        <w:tc>
          <w:tcPr>
            <w:tcW w:w="1660" w:type="dxa"/>
            <w:tcBorders>
              <w:top w:val="single" w:sz="4" w:space="0" w:color="auto"/>
              <w:left w:val="nil"/>
              <w:bottom w:val="single" w:sz="4" w:space="0" w:color="auto"/>
              <w:right w:val="single" w:sz="4" w:space="0" w:color="auto"/>
            </w:tcBorders>
            <w:noWrap/>
            <w:vAlign w:val="bottom"/>
            <w:hideMark/>
          </w:tcPr>
          <w:p w14:paraId="4059FAE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28.186,43</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56FB754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129,29%</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7CF7E0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97,62%</w:t>
            </w:r>
          </w:p>
        </w:tc>
      </w:tr>
      <w:tr w:rsidR="00416D67" w:rsidRPr="00416D67" w14:paraId="0170B1FB"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39CD4232" w14:textId="77777777" w:rsidR="00416D67" w:rsidRPr="00416D67" w:rsidRDefault="00416D67" w:rsidP="00416D67">
            <w:pPr>
              <w:rPr>
                <w:rFonts w:ascii="Arial" w:hAnsi="Arial" w:cs="Arial"/>
                <w:sz w:val="14"/>
                <w:szCs w:val="14"/>
              </w:rPr>
            </w:pPr>
            <w:r w:rsidRPr="00416D67">
              <w:rPr>
                <w:rFonts w:ascii="Arial" w:hAnsi="Arial" w:cs="Arial"/>
                <w:sz w:val="14"/>
                <w:szCs w:val="14"/>
              </w:rPr>
              <w:t>Izvor 4.3.7 Naknada za dodjelu grobnih mjesta</w:t>
            </w:r>
          </w:p>
        </w:tc>
        <w:tc>
          <w:tcPr>
            <w:tcW w:w="1540" w:type="dxa"/>
            <w:tcBorders>
              <w:top w:val="single" w:sz="4" w:space="0" w:color="auto"/>
              <w:left w:val="nil"/>
              <w:bottom w:val="single" w:sz="4" w:space="0" w:color="auto"/>
              <w:right w:val="single" w:sz="4" w:space="0" w:color="auto"/>
            </w:tcBorders>
            <w:noWrap/>
            <w:vAlign w:val="bottom"/>
            <w:hideMark/>
          </w:tcPr>
          <w:p w14:paraId="12715D7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11.128,69</w:t>
            </w:r>
          </w:p>
        </w:tc>
        <w:tc>
          <w:tcPr>
            <w:tcW w:w="1620" w:type="dxa"/>
            <w:tcBorders>
              <w:top w:val="single" w:sz="4" w:space="0" w:color="auto"/>
              <w:left w:val="nil"/>
              <w:bottom w:val="single" w:sz="4" w:space="0" w:color="auto"/>
              <w:right w:val="single" w:sz="4" w:space="0" w:color="auto"/>
            </w:tcBorders>
            <w:noWrap/>
            <w:vAlign w:val="bottom"/>
            <w:hideMark/>
          </w:tcPr>
          <w:p w14:paraId="221B8E4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10.000,00</w:t>
            </w:r>
          </w:p>
        </w:tc>
        <w:tc>
          <w:tcPr>
            <w:tcW w:w="1600" w:type="dxa"/>
            <w:tcBorders>
              <w:top w:val="single" w:sz="4" w:space="0" w:color="auto"/>
              <w:left w:val="nil"/>
              <w:bottom w:val="single" w:sz="4" w:space="0" w:color="auto"/>
              <w:right w:val="single" w:sz="4" w:space="0" w:color="auto"/>
            </w:tcBorders>
            <w:noWrap/>
            <w:vAlign w:val="bottom"/>
            <w:hideMark/>
          </w:tcPr>
          <w:p w14:paraId="162CF5E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10.000,00</w:t>
            </w:r>
          </w:p>
        </w:tc>
        <w:tc>
          <w:tcPr>
            <w:tcW w:w="1660" w:type="dxa"/>
            <w:tcBorders>
              <w:top w:val="single" w:sz="4" w:space="0" w:color="auto"/>
              <w:left w:val="nil"/>
              <w:bottom w:val="single" w:sz="4" w:space="0" w:color="auto"/>
              <w:right w:val="single" w:sz="4" w:space="0" w:color="auto"/>
            </w:tcBorders>
            <w:noWrap/>
            <w:vAlign w:val="bottom"/>
            <w:hideMark/>
          </w:tcPr>
          <w:p w14:paraId="55E38CA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8.727,06</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15975FF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78,42%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B49989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87,27%</w:t>
            </w:r>
          </w:p>
        </w:tc>
      </w:tr>
      <w:tr w:rsidR="00416D67" w:rsidRPr="00416D67" w14:paraId="17F6F28A"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5B688FDF"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4.3.8 Naknada za promjenu namjene </w:t>
            </w:r>
            <w:proofErr w:type="spellStart"/>
            <w:r w:rsidRPr="00416D67">
              <w:rPr>
                <w:rFonts w:ascii="Arial" w:hAnsi="Arial" w:cs="Arial"/>
                <w:sz w:val="14"/>
                <w:szCs w:val="14"/>
              </w:rPr>
              <w:t>poljopr.zemljišta</w:t>
            </w:r>
            <w:proofErr w:type="spellEnd"/>
          </w:p>
        </w:tc>
        <w:tc>
          <w:tcPr>
            <w:tcW w:w="1540" w:type="dxa"/>
            <w:tcBorders>
              <w:top w:val="single" w:sz="4" w:space="0" w:color="auto"/>
              <w:left w:val="nil"/>
              <w:bottom w:val="single" w:sz="4" w:space="0" w:color="auto"/>
              <w:right w:val="single" w:sz="4" w:space="0" w:color="auto"/>
            </w:tcBorders>
            <w:noWrap/>
            <w:vAlign w:val="bottom"/>
            <w:hideMark/>
          </w:tcPr>
          <w:p w14:paraId="556445D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1.154,41</w:t>
            </w:r>
          </w:p>
        </w:tc>
        <w:tc>
          <w:tcPr>
            <w:tcW w:w="1620" w:type="dxa"/>
            <w:tcBorders>
              <w:top w:val="single" w:sz="4" w:space="0" w:color="auto"/>
              <w:left w:val="nil"/>
              <w:bottom w:val="single" w:sz="4" w:space="0" w:color="auto"/>
              <w:right w:val="single" w:sz="4" w:space="0" w:color="auto"/>
            </w:tcBorders>
            <w:noWrap/>
            <w:vAlign w:val="bottom"/>
            <w:hideMark/>
          </w:tcPr>
          <w:p w14:paraId="02D90B2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2.300,00</w:t>
            </w:r>
          </w:p>
        </w:tc>
        <w:tc>
          <w:tcPr>
            <w:tcW w:w="1600" w:type="dxa"/>
            <w:tcBorders>
              <w:top w:val="single" w:sz="4" w:space="0" w:color="auto"/>
              <w:left w:val="nil"/>
              <w:bottom w:val="single" w:sz="4" w:space="0" w:color="auto"/>
              <w:right w:val="single" w:sz="4" w:space="0" w:color="auto"/>
            </w:tcBorders>
            <w:noWrap/>
            <w:vAlign w:val="bottom"/>
            <w:hideMark/>
          </w:tcPr>
          <w:p w14:paraId="5B8D7EC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2.300,00</w:t>
            </w:r>
          </w:p>
        </w:tc>
        <w:tc>
          <w:tcPr>
            <w:tcW w:w="1660" w:type="dxa"/>
            <w:tcBorders>
              <w:top w:val="single" w:sz="4" w:space="0" w:color="auto"/>
              <w:left w:val="nil"/>
              <w:bottom w:val="single" w:sz="4" w:space="0" w:color="auto"/>
              <w:right w:val="single" w:sz="4" w:space="0" w:color="auto"/>
            </w:tcBorders>
            <w:noWrap/>
            <w:vAlign w:val="bottom"/>
            <w:hideMark/>
          </w:tcPr>
          <w:p w14:paraId="5E46820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2.225,38</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51F7F5B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192,77%</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099D11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96,76%</w:t>
            </w:r>
          </w:p>
        </w:tc>
      </w:tr>
      <w:tr w:rsidR="00416D67" w:rsidRPr="00416D67" w14:paraId="5BC3F754"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77C35ECA" w14:textId="77777777" w:rsidR="00416D67" w:rsidRPr="00416D67" w:rsidRDefault="00416D67" w:rsidP="00416D67">
            <w:pPr>
              <w:rPr>
                <w:rFonts w:ascii="Arial" w:hAnsi="Arial" w:cs="Arial"/>
                <w:sz w:val="14"/>
                <w:szCs w:val="14"/>
              </w:rPr>
            </w:pPr>
            <w:r w:rsidRPr="00416D67">
              <w:rPr>
                <w:rFonts w:ascii="Arial" w:hAnsi="Arial" w:cs="Arial"/>
                <w:sz w:val="14"/>
                <w:szCs w:val="14"/>
              </w:rPr>
              <w:t>Izvor 4.3.9 Doprinos za šume</w:t>
            </w:r>
          </w:p>
        </w:tc>
        <w:tc>
          <w:tcPr>
            <w:tcW w:w="1540" w:type="dxa"/>
            <w:tcBorders>
              <w:top w:val="single" w:sz="4" w:space="0" w:color="auto"/>
              <w:left w:val="nil"/>
              <w:bottom w:val="single" w:sz="4" w:space="0" w:color="auto"/>
              <w:right w:val="single" w:sz="4" w:space="0" w:color="auto"/>
            </w:tcBorders>
            <w:noWrap/>
            <w:vAlign w:val="bottom"/>
            <w:hideMark/>
          </w:tcPr>
          <w:p w14:paraId="1D18503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123,39</w:t>
            </w:r>
          </w:p>
        </w:tc>
        <w:tc>
          <w:tcPr>
            <w:tcW w:w="1620" w:type="dxa"/>
            <w:tcBorders>
              <w:top w:val="single" w:sz="4" w:space="0" w:color="auto"/>
              <w:left w:val="nil"/>
              <w:bottom w:val="single" w:sz="4" w:space="0" w:color="auto"/>
              <w:right w:val="single" w:sz="4" w:space="0" w:color="auto"/>
            </w:tcBorders>
            <w:noWrap/>
            <w:vAlign w:val="bottom"/>
            <w:hideMark/>
          </w:tcPr>
          <w:p w14:paraId="48CAFA8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650,00</w:t>
            </w:r>
          </w:p>
        </w:tc>
        <w:tc>
          <w:tcPr>
            <w:tcW w:w="1600" w:type="dxa"/>
            <w:tcBorders>
              <w:top w:val="single" w:sz="4" w:space="0" w:color="auto"/>
              <w:left w:val="nil"/>
              <w:bottom w:val="single" w:sz="4" w:space="0" w:color="auto"/>
              <w:right w:val="single" w:sz="4" w:space="0" w:color="auto"/>
            </w:tcBorders>
            <w:noWrap/>
            <w:vAlign w:val="bottom"/>
            <w:hideMark/>
          </w:tcPr>
          <w:p w14:paraId="2DF9894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650,00</w:t>
            </w:r>
          </w:p>
        </w:tc>
        <w:tc>
          <w:tcPr>
            <w:tcW w:w="1660" w:type="dxa"/>
            <w:tcBorders>
              <w:top w:val="single" w:sz="4" w:space="0" w:color="auto"/>
              <w:left w:val="nil"/>
              <w:bottom w:val="single" w:sz="4" w:space="0" w:color="auto"/>
              <w:right w:val="single" w:sz="4" w:space="0" w:color="auto"/>
            </w:tcBorders>
            <w:noWrap/>
            <w:vAlign w:val="bottom"/>
            <w:hideMark/>
          </w:tcPr>
          <w:p w14:paraId="5914FF4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531,61</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15930CE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430,84%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56200C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81,79%</w:t>
            </w:r>
          </w:p>
        </w:tc>
      </w:tr>
      <w:tr w:rsidR="00416D67" w:rsidRPr="00416D67" w14:paraId="5670F968"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07F43E1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Izvor 4.4. Prihodi za posebne PK boravak roditelji i </w:t>
            </w:r>
            <w:proofErr w:type="spellStart"/>
            <w:r w:rsidRPr="00416D67">
              <w:rPr>
                <w:rFonts w:ascii="Arial" w:hAnsi="Arial" w:cs="Arial"/>
                <w:b/>
                <w:bCs/>
                <w:sz w:val="14"/>
                <w:szCs w:val="14"/>
              </w:rPr>
              <w:t>soc.program</w:t>
            </w:r>
            <w:proofErr w:type="spellEnd"/>
          </w:p>
        </w:tc>
        <w:tc>
          <w:tcPr>
            <w:tcW w:w="1540" w:type="dxa"/>
            <w:tcBorders>
              <w:top w:val="single" w:sz="4" w:space="0" w:color="auto"/>
              <w:left w:val="nil"/>
              <w:bottom w:val="single" w:sz="4" w:space="0" w:color="auto"/>
              <w:right w:val="single" w:sz="4" w:space="0" w:color="auto"/>
            </w:tcBorders>
            <w:noWrap/>
            <w:vAlign w:val="bottom"/>
            <w:hideMark/>
          </w:tcPr>
          <w:p w14:paraId="3FFEB36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92.043,39</w:t>
            </w:r>
          </w:p>
        </w:tc>
        <w:tc>
          <w:tcPr>
            <w:tcW w:w="1620" w:type="dxa"/>
            <w:tcBorders>
              <w:top w:val="single" w:sz="4" w:space="0" w:color="auto"/>
              <w:left w:val="nil"/>
              <w:bottom w:val="single" w:sz="4" w:space="0" w:color="auto"/>
              <w:right w:val="single" w:sz="4" w:space="0" w:color="auto"/>
            </w:tcBorders>
            <w:noWrap/>
            <w:vAlign w:val="bottom"/>
            <w:hideMark/>
          </w:tcPr>
          <w:p w14:paraId="29352EF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108.719,03</w:t>
            </w:r>
          </w:p>
        </w:tc>
        <w:tc>
          <w:tcPr>
            <w:tcW w:w="1600" w:type="dxa"/>
            <w:tcBorders>
              <w:top w:val="single" w:sz="4" w:space="0" w:color="auto"/>
              <w:left w:val="nil"/>
              <w:bottom w:val="single" w:sz="4" w:space="0" w:color="auto"/>
              <w:right w:val="single" w:sz="4" w:space="0" w:color="auto"/>
            </w:tcBorders>
            <w:noWrap/>
            <w:vAlign w:val="bottom"/>
            <w:hideMark/>
          </w:tcPr>
          <w:p w14:paraId="78587F1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108.719,03</w:t>
            </w:r>
          </w:p>
        </w:tc>
        <w:tc>
          <w:tcPr>
            <w:tcW w:w="1660" w:type="dxa"/>
            <w:tcBorders>
              <w:top w:val="single" w:sz="4" w:space="0" w:color="auto"/>
              <w:left w:val="nil"/>
              <w:bottom w:val="single" w:sz="4" w:space="0" w:color="auto"/>
              <w:right w:val="single" w:sz="4" w:space="0" w:color="auto"/>
            </w:tcBorders>
            <w:noWrap/>
            <w:vAlign w:val="bottom"/>
            <w:hideMark/>
          </w:tcPr>
          <w:p w14:paraId="760FA33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105.600,98</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50F642E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114,73%</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272BAB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97,13%</w:t>
            </w:r>
          </w:p>
        </w:tc>
      </w:tr>
      <w:tr w:rsidR="00416D67" w:rsidRPr="00416D67" w14:paraId="5D1E3F32"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71CF43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5. Pomoći</w:t>
            </w:r>
          </w:p>
        </w:tc>
        <w:tc>
          <w:tcPr>
            <w:tcW w:w="1540" w:type="dxa"/>
            <w:tcBorders>
              <w:top w:val="single" w:sz="4" w:space="0" w:color="auto"/>
              <w:left w:val="nil"/>
              <w:bottom w:val="single" w:sz="4" w:space="0" w:color="auto"/>
              <w:right w:val="single" w:sz="4" w:space="0" w:color="auto"/>
            </w:tcBorders>
            <w:shd w:val="clear" w:color="000000" w:fill="FFFF00"/>
            <w:noWrap/>
            <w:vAlign w:val="bottom"/>
            <w:hideMark/>
          </w:tcPr>
          <w:p w14:paraId="3CD15E8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601.797,97</w:t>
            </w:r>
          </w:p>
        </w:tc>
        <w:tc>
          <w:tcPr>
            <w:tcW w:w="1620" w:type="dxa"/>
            <w:tcBorders>
              <w:top w:val="single" w:sz="4" w:space="0" w:color="auto"/>
              <w:left w:val="nil"/>
              <w:bottom w:val="single" w:sz="4" w:space="0" w:color="auto"/>
              <w:right w:val="single" w:sz="4" w:space="0" w:color="auto"/>
            </w:tcBorders>
            <w:shd w:val="clear" w:color="000000" w:fill="FFFF00"/>
            <w:noWrap/>
            <w:vAlign w:val="bottom"/>
            <w:hideMark/>
          </w:tcPr>
          <w:p w14:paraId="472479F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296.197,70</w:t>
            </w:r>
          </w:p>
        </w:tc>
        <w:tc>
          <w:tcPr>
            <w:tcW w:w="1600" w:type="dxa"/>
            <w:tcBorders>
              <w:top w:val="single" w:sz="4" w:space="0" w:color="auto"/>
              <w:left w:val="nil"/>
              <w:bottom w:val="single" w:sz="4" w:space="0" w:color="auto"/>
              <w:right w:val="single" w:sz="4" w:space="0" w:color="auto"/>
            </w:tcBorders>
            <w:shd w:val="clear" w:color="000000" w:fill="FFFF00"/>
            <w:noWrap/>
            <w:vAlign w:val="bottom"/>
            <w:hideMark/>
          </w:tcPr>
          <w:p w14:paraId="5D6814E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296.197,70</w:t>
            </w:r>
          </w:p>
        </w:tc>
        <w:tc>
          <w:tcPr>
            <w:tcW w:w="1660" w:type="dxa"/>
            <w:tcBorders>
              <w:top w:val="single" w:sz="4" w:space="0" w:color="auto"/>
              <w:left w:val="nil"/>
              <w:bottom w:val="single" w:sz="4" w:space="0" w:color="auto"/>
              <w:right w:val="single" w:sz="4" w:space="0" w:color="auto"/>
            </w:tcBorders>
            <w:shd w:val="clear" w:color="000000" w:fill="FFFF00"/>
            <w:noWrap/>
            <w:vAlign w:val="bottom"/>
            <w:hideMark/>
          </w:tcPr>
          <w:p w14:paraId="7CF5EA4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335.580,34</w:t>
            </w:r>
          </w:p>
        </w:tc>
        <w:tc>
          <w:tcPr>
            <w:tcW w:w="10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128BCB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55,76%</w:t>
            </w:r>
          </w:p>
        </w:tc>
        <w:tc>
          <w:tcPr>
            <w:tcW w:w="9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2DDAC0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113,30%</w:t>
            </w:r>
          </w:p>
        </w:tc>
      </w:tr>
      <w:tr w:rsidR="00416D67" w:rsidRPr="00416D67" w14:paraId="56151966"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6C6B49A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5.1. 05 Pomoći</w:t>
            </w:r>
          </w:p>
        </w:tc>
        <w:tc>
          <w:tcPr>
            <w:tcW w:w="1540" w:type="dxa"/>
            <w:tcBorders>
              <w:top w:val="single" w:sz="4" w:space="0" w:color="auto"/>
              <w:left w:val="nil"/>
              <w:bottom w:val="single" w:sz="4" w:space="0" w:color="auto"/>
              <w:right w:val="single" w:sz="4" w:space="0" w:color="auto"/>
            </w:tcBorders>
            <w:noWrap/>
            <w:vAlign w:val="bottom"/>
            <w:hideMark/>
          </w:tcPr>
          <w:p w14:paraId="6AF55DC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593.524,94</w:t>
            </w:r>
          </w:p>
        </w:tc>
        <w:tc>
          <w:tcPr>
            <w:tcW w:w="1620" w:type="dxa"/>
            <w:tcBorders>
              <w:top w:val="single" w:sz="4" w:space="0" w:color="auto"/>
              <w:left w:val="nil"/>
              <w:bottom w:val="single" w:sz="4" w:space="0" w:color="auto"/>
              <w:right w:val="single" w:sz="4" w:space="0" w:color="auto"/>
            </w:tcBorders>
            <w:noWrap/>
            <w:vAlign w:val="bottom"/>
            <w:hideMark/>
          </w:tcPr>
          <w:p w14:paraId="621BEB3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242.796,00</w:t>
            </w:r>
          </w:p>
        </w:tc>
        <w:tc>
          <w:tcPr>
            <w:tcW w:w="1600" w:type="dxa"/>
            <w:tcBorders>
              <w:top w:val="single" w:sz="4" w:space="0" w:color="auto"/>
              <w:left w:val="nil"/>
              <w:bottom w:val="single" w:sz="4" w:space="0" w:color="auto"/>
              <w:right w:val="single" w:sz="4" w:space="0" w:color="auto"/>
            </w:tcBorders>
            <w:noWrap/>
            <w:vAlign w:val="bottom"/>
            <w:hideMark/>
          </w:tcPr>
          <w:p w14:paraId="641B9F4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242.796,00</w:t>
            </w:r>
          </w:p>
        </w:tc>
        <w:tc>
          <w:tcPr>
            <w:tcW w:w="1660" w:type="dxa"/>
            <w:tcBorders>
              <w:top w:val="single" w:sz="4" w:space="0" w:color="auto"/>
              <w:left w:val="nil"/>
              <w:bottom w:val="single" w:sz="4" w:space="0" w:color="auto"/>
              <w:right w:val="single" w:sz="4" w:space="0" w:color="auto"/>
            </w:tcBorders>
            <w:noWrap/>
            <w:vAlign w:val="bottom"/>
            <w:hideMark/>
          </w:tcPr>
          <w:p w14:paraId="12BA622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282.752,75</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13533EB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B99CB3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449EC0CA"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027C4EFA" w14:textId="77777777" w:rsidR="00416D67" w:rsidRPr="00416D67" w:rsidRDefault="00416D67" w:rsidP="00416D67">
            <w:pPr>
              <w:rPr>
                <w:rFonts w:ascii="Arial" w:hAnsi="Arial" w:cs="Arial"/>
                <w:sz w:val="14"/>
                <w:szCs w:val="14"/>
              </w:rPr>
            </w:pPr>
            <w:r w:rsidRPr="00416D67">
              <w:rPr>
                <w:rFonts w:ascii="Arial" w:hAnsi="Arial" w:cs="Arial"/>
                <w:sz w:val="14"/>
                <w:szCs w:val="14"/>
              </w:rPr>
              <w:t>Izvor 5.1.1 Pomoći Istarska županija</w:t>
            </w:r>
          </w:p>
        </w:tc>
        <w:tc>
          <w:tcPr>
            <w:tcW w:w="1540" w:type="dxa"/>
            <w:tcBorders>
              <w:top w:val="single" w:sz="4" w:space="0" w:color="auto"/>
              <w:left w:val="nil"/>
              <w:bottom w:val="single" w:sz="4" w:space="0" w:color="auto"/>
              <w:right w:val="single" w:sz="4" w:space="0" w:color="auto"/>
            </w:tcBorders>
            <w:noWrap/>
            <w:vAlign w:val="bottom"/>
            <w:hideMark/>
          </w:tcPr>
          <w:p w14:paraId="75EE760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82.109,21</w:t>
            </w:r>
          </w:p>
        </w:tc>
        <w:tc>
          <w:tcPr>
            <w:tcW w:w="1620" w:type="dxa"/>
            <w:tcBorders>
              <w:top w:val="single" w:sz="4" w:space="0" w:color="auto"/>
              <w:left w:val="nil"/>
              <w:bottom w:val="single" w:sz="4" w:space="0" w:color="auto"/>
              <w:right w:val="single" w:sz="4" w:space="0" w:color="auto"/>
            </w:tcBorders>
            <w:noWrap/>
            <w:vAlign w:val="bottom"/>
            <w:hideMark/>
          </w:tcPr>
          <w:p w14:paraId="5832E70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101.060,00</w:t>
            </w:r>
          </w:p>
        </w:tc>
        <w:tc>
          <w:tcPr>
            <w:tcW w:w="1600" w:type="dxa"/>
            <w:tcBorders>
              <w:top w:val="single" w:sz="4" w:space="0" w:color="auto"/>
              <w:left w:val="nil"/>
              <w:bottom w:val="single" w:sz="4" w:space="0" w:color="auto"/>
              <w:right w:val="single" w:sz="4" w:space="0" w:color="auto"/>
            </w:tcBorders>
            <w:noWrap/>
            <w:vAlign w:val="bottom"/>
            <w:hideMark/>
          </w:tcPr>
          <w:p w14:paraId="33D4D08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101.060,00</w:t>
            </w:r>
          </w:p>
        </w:tc>
        <w:tc>
          <w:tcPr>
            <w:tcW w:w="1660" w:type="dxa"/>
            <w:tcBorders>
              <w:top w:val="single" w:sz="4" w:space="0" w:color="auto"/>
              <w:left w:val="nil"/>
              <w:bottom w:val="single" w:sz="4" w:space="0" w:color="auto"/>
              <w:right w:val="single" w:sz="4" w:space="0" w:color="auto"/>
            </w:tcBorders>
            <w:noWrap/>
            <w:vAlign w:val="bottom"/>
            <w:hideMark/>
          </w:tcPr>
          <w:p w14:paraId="0650A99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106.433,40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5F875BA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129,62%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6D2EB6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105,32%</w:t>
            </w:r>
          </w:p>
        </w:tc>
      </w:tr>
      <w:tr w:rsidR="00416D67" w:rsidRPr="00416D67" w14:paraId="66BC1100"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1956D974" w14:textId="77777777" w:rsidR="00416D67" w:rsidRPr="00416D67" w:rsidRDefault="00416D67" w:rsidP="00416D67">
            <w:pPr>
              <w:rPr>
                <w:rFonts w:ascii="Arial" w:hAnsi="Arial" w:cs="Arial"/>
                <w:sz w:val="14"/>
                <w:szCs w:val="14"/>
              </w:rPr>
            </w:pPr>
            <w:r w:rsidRPr="00416D67">
              <w:rPr>
                <w:rFonts w:ascii="Arial" w:hAnsi="Arial" w:cs="Arial"/>
                <w:sz w:val="14"/>
                <w:szCs w:val="14"/>
              </w:rPr>
              <w:t>Izvor 5.1.10 Pomoći Ministarstvo turizma i sporta</w:t>
            </w:r>
          </w:p>
        </w:tc>
        <w:tc>
          <w:tcPr>
            <w:tcW w:w="1540" w:type="dxa"/>
            <w:tcBorders>
              <w:top w:val="single" w:sz="4" w:space="0" w:color="auto"/>
              <w:left w:val="nil"/>
              <w:bottom w:val="single" w:sz="4" w:space="0" w:color="auto"/>
              <w:right w:val="single" w:sz="4" w:space="0" w:color="auto"/>
            </w:tcBorders>
            <w:noWrap/>
            <w:vAlign w:val="bottom"/>
            <w:hideMark/>
          </w:tcPr>
          <w:p w14:paraId="33E1095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53.942,81</w:t>
            </w:r>
          </w:p>
        </w:tc>
        <w:tc>
          <w:tcPr>
            <w:tcW w:w="1620" w:type="dxa"/>
            <w:tcBorders>
              <w:top w:val="single" w:sz="4" w:space="0" w:color="auto"/>
              <w:left w:val="nil"/>
              <w:bottom w:val="single" w:sz="4" w:space="0" w:color="auto"/>
              <w:right w:val="single" w:sz="4" w:space="0" w:color="auto"/>
            </w:tcBorders>
            <w:noWrap/>
            <w:vAlign w:val="bottom"/>
            <w:hideMark/>
          </w:tcPr>
          <w:p w14:paraId="5B300C0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600" w:type="dxa"/>
            <w:tcBorders>
              <w:top w:val="single" w:sz="4" w:space="0" w:color="auto"/>
              <w:left w:val="nil"/>
              <w:bottom w:val="single" w:sz="4" w:space="0" w:color="auto"/>
              <w:right w:val="single" w:sz="4" w:space="0" w:color="auto"/>
            </w:tcBorders>
            <w:noWrap/>
            <w:vAlign w:val="bottom"/>
            <w:hideMark/>
          </w:tcPr>
          <w:p w14:paraId="5D4B001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660" w:type="dxa"/>
            <w:tcBorders>
              <w:top w:val="single" w:sz="4" w:space="0" w:color="auto"/>
              <w:left w:val="nil"/>
              <w:bottom w:val="single" w:sz="4" w:space="0" w:color="auto"/>
              <w:right w:val="single" w:sz="4" w:space="0" w:color="auto"/>
            </w:tcBorders>
            <w:noWrap/>
            <w:vAlign w:val="bottom"/>
            <w:hideMark/>
          </w:tcPr>
          <w:p w14:paraId="214FB3D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09B258F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A0C58E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55985A3B"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57E520D7" w14:textId="77777777" w:rsidR="00416D67" w:rsidRPr="00416D67" w:rsidRDefault="00416D67" w:rsidP="00416D67">
            <w:pPr>
              <w:rPr>
                <w:rFonts w:ascii="Arial" w:hAnsi="Arial" w:cs="Arial"/>
                <w:sz w:val="14"/>
                <w:szCs w:val="14"/>
              </w:rPr>
            </w:pPr>
            <w:r w:rsidRPr="00416D67">
              <w:rPr>
                <w:rFonts w:ascii="Arial" w:hAnsi="Arial" w:cs="Arial"/>
                <w:sz w:val="14"/>
                <w:szCs w:val="14"/>
              </w:rPr>
              <w:t>Izvor 5.1.11 Pomoći Ministarstvo graditeljstva</w:t>
            </w:r>
          </w:p>
        </w:tc>
        <w:tc>
          <w:tcPr>
            <w:tcW w:w="1540" w:type="dxa"/>
            <w:tcBorders>
              <w:top w:val="single" w:sz="4" w:space="0" w:color="auto"/>
              <w:left w:val="nil"/>
              <w:bottom w:val="single" w:sz="4" w:space="0" w:color="auto"/>
              <w:right w:val="single" w:sz="4" w:space="0" w:color="auto"/>
            </w:tcBorders>
            <w:noWrap/>
            <w:vAlign w:val="bottom"/>
            <w:hideMark/>
          </w:tcPr>
          <w:p w14:paraId="0C29AAE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620" w:type="dxa"/>
            <w:tcBorders>
              <w:top w:val="single" w:sz="4" w:space="0" w:color="auto"/>
              <w:left w:val="nil"/>
              <w:bottom w:val="single" w:sz="4" w:space="0" w:color="auto"/>
              <w:right w:val="single" w:sz="4" w:space="0" w:color="auto"/>
            </w:tcBorders>
            <w:noWrap/>
            <w:vAlign w:val="bottom"/>
            <w:hideMark/>
          </w:tcPr>
          <w:p w14:paraId="358E2EB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32.000,00</w:t>
            </w:r>
          </w:p>
        </w:tc>
        <w:tc>
          <w:tcPr>
            <w:tcW w:w="1600" w:type="dxa"/>
            <w:tcBorders>
              <w:top w:val="single" w:sz="4" w:space="0" w:color="auto"/>
              <w:left w:val="nil"/>
              <w:bottom w:val="single" w:sz="4" w:space="0" w:color="auto"/>
              <w:right w:val="single" w:sz="4" w:space="0" w:color="auto"/>
            </w:tcBorders>
            <w:noWrap/>
            <w:vAlign w:val="bottom"/>
            <w:hideMark/>
          </w:tcPr>
          <w:p w14:paraId="2AA40C2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32.000,00</w:t>
            </w:r>
          </w:p>
        </w:tc>
        <w:tc>
          <w:tcPr>
            <w:tcW w:w="1660" w:type="dxa"/>
            <w:tcBorders>
              <w:top w:val="single" w:sz="4" w:space="0" w:color="auto"/>
              <w:left w:val="nil"/>
              <w:bottom w:val="single" w:sz="4" w:space="0" w:color="auto"/>
              <w:right w:val="single" w:sz="4" w:space="0" w:color="auto"/>
            </w:tcBorders>
            <w:noWrap/>
            <w:vAlign w:val="bottom"/>
            <w:hideMark/>
          </w:tcPr>
          <w:p w14:paraId="7273524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4D27DE9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D92D8E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0F9EA385"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50CA5F60" w14:textId="77777777" w:rsidR="00416D67" w:rsidRPr="00416D67" w:rsidRDefault="00416D67" w:rsidP="00416D67">
            <w:pPr>
              <w:rPr>
                <w:rFonts w:ascii="Arial" w:hAnsi="Arial" w:cs="Arial"/>
                <w:sz w:val="14"/>
                <w:szCs w:val="14"/>
              </w:rPr>
            </w:pPr>
            <w:r w:rsidRPr="00416D67">
              <w:rPr>
                <w:rFonts w:ascii="Arial" w:hAnsi="Arial" w:cs="Arial"/>
                <w:sz w:val="14"/>
                <w:szCs w:val="14"/>
              </w:rPr>
              <w:t>Izvor 5.1.12 Pomoć državni proračun troškovi ogrijeva</w:t>
            </w:r>
          </w:p>
        </w:tc>
        <w:tc>
          <w:tcPr>
            <w:tcW w:w="1540" w:type="dxa"/>
            <w:tcBorders>
              <w:top w:val="single" w:sz="4" w:space="0" w:color="auto"/>
              <w:left w:val="nil"/>
              <w:bottom w:val="single" w:sz="4" w:space="0" w:color="auto"/>
              <w:right w:val="single" w:sz="4" w:space="0" w:color="auto"/>
            </w:tcBorders>
            <w:noWrap/>
            <w:vAlign w:val="bottom"/>
            <w:hideMark/>
          </w:tcPr>
          <w:p w14:paraId="7EB9CCD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1.440,00</w:t>
            </w:r>
          </w:p>
        </w:tc>
        <w:tc>
          <w:tcPr>
            <w:tcW w:w="1620" w:type="dxa"/>
            <w:tcBorders>
              <w:top w:val="single" w:sz="4" w:space="0" w:color="auto"/>
              <w:left w:val="nil"/>
              <w:bottom w:val="single" w:sz="4" w:space="0" w:color="auto"/>
              <w:right w:val="single" w:sz="4" w:space="0" w:color="auto"/>
            </w:tcBorders>
            <w:noWrap/>
            <w:vAlign w:val="bottom"/>
            <w:hideMark/>
          </w:tcPr>
          <w:p w14:paraId="38F3AA8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600" w:type="dxa"/>
            <w:tcBorders>
              <w:top w:val="single" w:sz="4" w:space="0" w:color="auto"/>
              <w:left w:val="nil"/>
              <w:bottom w:val="single" w:sz="4" w:space="0" w:color="auto"/>
              <w:right w:val="single" w:sz="4" w:space="0" w:color="auto"/>
            </w:tcBorders>
            <w:noWrap/>
            <w:vAlign w:val="bottom"/>
            <w:hideMark/>
          </w:tcPr>
          <w:p w14:paraId="76E1917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660" w:type="dxa"/>
            <w:tcBorders>
              <w:top w:val="single" w:sz="4" w:space="0" w:color="auto"/>
              <w:left w:val="nil"/>
              <w:bottom w:val="single" w:sz="4" w:space="0" w:color="auto"/>
              <w:right w:val="single" w:sz="4" w:space="0" w:color="auto"/>
            </w:tcBorders>
            <w:noWrap/>
            <w:vAlign w:val="bottom"/>
            <w:hideMark/>
          </w:tcPr>
          <w:p w14:paraId="4697A58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1.600,00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42B6179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111,11%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EB2E24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bl>
    <w:p w14:paraId="53F3D8DE" w14:textId="77777777" w:rsidR="00416D67" w:rsidRPr="00416D67" w:rsidRDefault="00416D67" w:rsidP="00416D67">
      <w:pPr>
        <w:jc w:val="both"/>
        <w:rPr>
          <w:b/>
        </w:rPr>
      </w:pPr>
    </w:p>
    <w:p w14:paraId="4CD3954A" w14:textId="77777777" w:rsidR="00416D67" w:rsidRPr="00416D67" w:rsidRDefault="00416D67" w:rsidP="00416D67">
      <w:pPr>
        <w:jc w:val="both"/>
        <w:rPr>
          <w:b/>
        </w:rPr>
      </w:pPr>
    </w:p>
    <w:p w14:paraId="6C130D26" w14:textId="77777777" w:rsidR="00416D67" w:rsidRPr="00416D67" w:rsidRDefault="00416D67" w:rsidP="00416D67">
      <w:pPr>
        <w:jc w:val="both"/>
        <w:rPr>
          <w:b/>
        </w:rPr>
      </w:pPr>
    </w:p>
    <w:p w14:paraId="31EC5FC5" w14:textId="77777777" w:rsidR="00416D67" w:rsidRPr="00416D67" w:rsidRDefault="00416D67" w:rsidP="00416D67">
      <w:pPr>
        <w:jc w:val="both"/>
        <w:rPr>
          <w:b/>
        </w:rPr>
      </w:pPr>
    </w:p>
    <w:p w14:paraId="5422D0DF" w14:textId="77777777" w:rsidR="00416D67" w:rsidRPr="00416D67" w:rsidRDefault="00416D67" w:rsidP="00416D67">
      <w:pPr>
        <w:jc w:val="both"/>
        <w:rPr>
          <w:b/>
        </w:rPr>
      </w:pPr>
    </w:p>
    <w:p w14:paraId="56B3DFB7" w14:textId="77777777" w:rsidR="00416D67" w:rsidRPr="00416D67" w:rsidRDefault="00416D67" w:rsidP="00416D67">
      <w:pPr>
        <w:jc w:val="both"/>
        <w:rPr>
          <w:b/>
        </w:rPr>
      </w:pPr>
    </w:p>
    <w:tbl>
      <w:tblPr>
        <w:tblW w:w="15200" w:type="dxa"/>
        <w:tblInd w:w="93" w:type="dxa"/>
        <w:tblLook w:val="04A0" w:firstRow="1" w:lastRow="0" w:firstColumn="1" w:lastColumn="0" w:noHBand="0" w:noVBand="1"/>
      </w:tblPr>
      <w:tblGrid>
        <w:gridCol w:w="6800"/>
        <w:gridCol w:w="1540"/>
        <w:gridCol w:w="1620"/>
        <w:gridCol w:w="1600"/>
        <w:gridCol w:w="1660"/>
        <w:gridCol w:w="1020"/>
        <w:gridCol w:w="960"/>
      </w:tblGrid>
      <w:tr w:rsidR="00416D67" w:rsidRPr="00416D67" w14:paraId="516A241A" w14:textId="77777777" w:rsidTr="00BB1392">
        <w:trPr>
          <w:trHeight w:val="720"/>
        </w:trPr>
        <w:tc>
          <w:tcPr>
            <w:tcW w:w="68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4D9A4E1D"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 xml:space="preserve">Prihodi prema izvorima financiranja </w:t>
            </w:r>
          </w:p>
        </w:tc>
        <w:tc>
          <w:tcPr>
            <w:tcW w:w="1540" w:type="dxa"/>
            <w:tcBorders>
              <w:top w:val="single" w:sz="4" w:space="0" w:color="auto"/>
              <w:left w:val="nil"/>
              <w:bottom w:val="single" w:sz="4" w:space="0" w:color="auto"/>
              <w:right w:val="single" w:sz="4" w:space="0" w:color="auto"/>
            </w:tcBorders>
            <w:shd w:val="clear" w:color="000000" w:fill="C0C0C0"/>
            <w:vAlign w:val="center"/>
            <w:hideMark/>
          </w:tcPr>
          <w:p w14:paraId="33B3982F"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2024. godina</w:t>
            </w:r>
          </w:p>
        </w:tc>
        <w:tc>
          <w:tcPr>
            <w:tcW w:w="1620" w:type="dxa"/>
            <w:tcBorders>
              <w:top w:val="single" w:sz="4" w:space="0" w:color="auto"/>
              <w:left w:val="nil"/>
              <w:bottom w:val="single" w:sz="4" w:space="0" w:color="auto"/>
              <w:right w:val="single" w:sz="4" w:space="0" w:color="auto"/>
            </w:tcBorders>
            <w:shd w:val="clear" w:color="000000" w:fill="C0C0C0"/>
            <w:vAlign w:val="center"/>
            <w:hideMark/>
          </w:tcPr>
          <w:p w14:paraId="0BE22143"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600" w:type="dxa"/>
            <w:tcBorders>
              <w:top w:val="single" w:sz="4" w:space="0" w:color="auto"/>
              <w:left w:val="nil"/>
              <w:bottom w:val="single" w:sz="4" w:space="0" w:color="auto"/>
              <w:right w:val="single" w:sz="4" w:space="0" w:color="auto"/>
            </w:tcBorders>
            <w:shd w:val="clear" w:color="000000" w:fill="C0C0C0"/>
            <w:vAlign w:val="center"/>
            <w:hideMark/>
          </w:tcPr>
          <w:p w14:paraId="7D22C72D"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660" w:type="dxa"/>
            <w:tcBorders>
              <w:top w:val="single" w:sz="4" w:space="0" w:color="auto"/>
              <w:left w:val="nil"/>
              <w:bottom w:val="single" w:sz="4" w:space="0" w:color="auto"/>
              <w:right w:val="single" w:sz="4" w:space="0" w:color="auto"/>
            </w:tcBorders>
            <w:shd w:val="clear" w:color="000000" w:fill="C0C0C0"/>
            <w:vAlign w:val="center"/>
            <w:hideMark/>
          </w:tcPr>
          <w:p w14:paraId="3A400042"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102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456C802"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4/1</w:t>
            </w:r>
          </w:p>
        </w:tc>
        <w:tc>
          <w:tcPr>
            <w:tcW w:w="96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5043BB02"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4/3</w:t>
            </w:r>
          </w:p>
        </w:tc>
      </w:tr>
      <w:tr w:rsidR="00416D67" w:rsidRPr="00416D67" w14:paraId="712A144C"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FF7D441"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 xml:space="preserve"> </w:t>
            </w:r>
          </w:p>
        </w:tc>
        <w:tc>
          <w:tcPr>
            <w:tcW w:w="1540" w:type="dxa"/>
            <w:tcBorders>
              <w:top w:val="single" w:sz="4" w:space="0" w:color="auto"/>
              <w:left w:val="nil"/>
              <w:bottom w:val="single" w:sz="4" w:space="0" w:color="auto"/>
              <w:right w:val="single" w:sz="4" w:space="0" w:color="auto"/>
            </w:tcBorders>
            <w:shd w:val="clear" w:color="000000" w:fill="C0C0C0"/>
            <w:noWrap/>
            <w:vAlign w:val="bottom"/>
            <w:hideMark/>
          </w:tcPr>
          <w:p w14:paraId="1196C783"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1</w:t>
            </w:r>
          </w:p>
        </w:tc>
        <w:tc>
          <w:tcPr>
            <w:tcW w:w="1620" w:type="dxa"/>
            <w:tcBorders>
              <w:top w:val="single" w:sz="4" w:space="0" w:color="auto"/>
              <w:left w:val="nil"/>
              <w:bottom w:val="single" w:sz="4" w:space="0" w:color="auto"/>
              <w:right w:val="single" w:sz="4" w:space="0" w:color="auto"/>
            </w:tcBorders>
            <w:shd w:val="clear" w:color="000000" w:fill="C0C0C0"/>
            <w:noWrap/>
            <w:vAlign w:val="bottom"/>
            <w:hideMark/>
          </w:tcPr>
          <w:p w14:paraId="6070B6D8"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2</w:t>
            </w:r>
          </w:p>
        </w:tc>
        <w:tc>
          <w:tcPr>
            <w:tcW w:w="1600" w:type="dxa"/>
            <w:tcBorders>
              <w:top w:val="single" w:sz="4" w:space="0" w:color="auto"/>
              <w:left w:val="nil"/>
              <w:bottom w:val="single" w:sz="4" w:space="0" w:color="auto"/>
              <w:right w:val="single" w:sz="4" w:space="0" w:color="auto"/>
            </w:tcBorders>
            <w:shd w:val="clear" w:color="000000" w:fill="C0C0C0"/>
            <w:noWrap/>
            <w:vAlign w:val="bottom"/>
            <w:hideMark/>
          </w:tcPr>
          <w:p w14:paraId="5F235688"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3</w:t>
            </w:r>
          </w:p>
        </w:tc>
        <w:tc>
          <w:tcPr>
            <w:tcW w:w="1660" w:type="dxa"/>
            <w:tcBorders>
              <w:top w:val="single" w:sz="4" w:space="0" w:color="auto"/>
              <w:left w:val="nil"/>
              <w:bottom w:val="single" w:sz="4" w:space="0" w:color="auto"/>
              <w:right w:val="single" w:sz="4" w:space="0" w:color="auto"/>
            </w:tcBorders>
            <w:shd w:val="clear" w:color="000000" w:fill="C0C0C0"/>
            <w:noWrap/>
            <w:vAlign w:val="bottom"/>
            <w:hideMark/>
          </w:tcPr>
          <w:p w14:paraId="69BB85FB"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4</w:t>
            </w:r>
          </w:p>
        </w:tc>
        <w:tc>
          <w:tcPr>
            <w:tcW w:w="102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A0FE192"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5</w:t>
            </w:r>
          </w:p>
        </w:tc>
        <w:tc>
          <w:tcPr>
            <w:tcW w:w="96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E4D93C1"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6</w:t>
            </w:r>
          </w:p>
        </w:tc>
      </w:tr>
      <w:tr w:rsidR="00416D67" w:rsidRPr="00416D67" w14:paraId="506AB074"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7659A8DC"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5.1.13 Kapitalne pomoći drugih proračuna </w:t>
            </w:r>
          </w:p>
        </w:tc>
        <w:tc>
          <w:tcPr>
            <w:tcW w:w="1540" w:type="dxa"/>
            <w:tcBorders>
              <w:top w:val="single" w:sz="4" w:space="0" w:color="auto"/>
              <w:left w:val="nil"/>
              <w:bottom w:val="single" w:sz="4" w:space="0" w:color="auto"/>
              <w:right w:val="single" w:sz="4" w:space="0" w:color="auto"/>
            </w:tcBorders>
            <w:noWrap/>
            <w:vAlign w:val="bottom"/>
            <w:hideMark/>
          </w:tcPr>
          <w:p w14:paraId="68AFE67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620" w:type="dxa"/>
            <w:tcBorders>
              <w:top w:val="single" w:sz="4" w:space="0" w:color="auto"/>
              <w:left w:val="nil"/>
              <w:bottom w:val="single" w:sz="4" w:space="0" w:color="auto"/>
              <w:right w:val="single" w:sz="4" w:space="0" w:color="auto"/>
            </w:tcBorders>
            <w:noWrap/>
            <w:vAlign w:val="bottom"/>
            <w:hideMark/>
          </w:tcPr>
          <w:p w14:paraId="3F2A899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600" w:type="dxa"/>
            <w:tcBorders>
              <w:top w:val="single" w:sz="4" w:space="0" w:color="auto"/>
              <w:left w:val="nil"/>
              <w:bottom w:val="single" w:sz="4" w:space="0" w:color="auto"/>
              <w:right w:val="single" w:sz="4" w:space="0" w:color="auto"/>
            </w:tcBorders>
            <w:noWrap/>
            <w:vAlign w:val="bottom"/>
            <w:hideMark/>
          </w:tcPr>
          <w:p w14:paraId="5DEDAF4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660" w:type="dxa"/>
            <w:tcBorders>
              <w:top w:val="single" w:sz="4" w:space="0" w:color="auto"/>
              <w:left w:val="nil"/>
              <w:bottom w:val="single" w:sz="4" w:space="0" w:color="auto"/>
              <w:right w:val="single" w:sz="4" w:space="0" w:color="auto"/>
            </w:tcBorders>
            <w:noWrap/>
            <w:vAlign w:val="bottom"/>
            <w:hideMark/>
          </w:tcPr>
          <w:p w14:paraId="026980C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64.513,75</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247DE0D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C27080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6D4DB369"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280044C8"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5.1.2 Pomoći državni  proračun </w:t>
            </w:r>
            <w:proofErr w:type="spellStart"/>
            <w:r w:rsidRPr="00416D67">
              <w:rPr>
                <w:rFonts w:ascii="Arial" w:hAnsi="Arial" w:cs="Arial"/>
                <w:sz w:val="14"/>
                <w:szCs w:val="14"/>
              </w:rPr>
              <w:t>min.kulture</w:t>
            </w:r>
            <w:proofErr w:type="spellEnd"/>
          </w:p>
        </w:tc>
        <w:tc>
          <w:tcPr>
            <w:tcW w:w="1540" w:type="dxa"/>
            <w:tcBorders>
              <w:top w:val="single" w:sz="4" w:space="0" w:color="auto"/>
              <w:left w:val="nil"/>
              <w:bottom w:val="single" w:sz="4" w:space="0" w:color="auto"/>
              <w:right w:val="single" w:sz="4" w:space="0" w:color="auto"/>
            </w:tcBorders>
            <w:noWrap/>
            <w:vAlign w:val="bottom"/>
            <w:hideMark/>
          </w:tcPr>
          <w:p w14:paraId="2D5B830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66.184,69</w:t>
            </w:r>
          </w:p>
        </w:tc>
        <w:tc>
          <w:tcPr>
            <w:tcW w:w="1620" w:type="dxa"/>
            <w:tcBorders>
              <w:top w:val="single" w:sz="4" w:space="0" w:color="auto"/>
              <w:left w:val="nil"/>
              <w:bottom w:val="single" w:sz="4" w:space="0" w:color="auto"/>
              <w:right w:val="single" w:sz="4" w:space="0" w:color="auto"/>
            </w:tcBorders>
            <w:noWrap/>
            <w:vAlign w:val="bottom"/>
            <w:hideMark/>
          </w:tcPr>
          <w:p w14:paraId="2ABF4DC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45.000,00</w:t>
            </w:r>
          </w:p>
        </w:tc>
        <w:tc>
          <w:tcPr>
            <w:tcW w:w="1600" w:type="dxa"/>
            <w:tcBorders>
              <w:top w:val="single" w:sz="4" w:space="0" w:color="auto"/>
              <w:left w:val="nil"/>
              <w:bottom w:val="single" w:sz="4" w:space="0" w:color="auto"/>
              <w:right w:val="single" w:sz="4" w:space="0" w:color="auto"/>
            </w:tcBorders>
            <w:noWrap/>
            <w:vAlign w:val="bottom"/>
            <w:hideMark/>
          </w:tcPr>
          <w:p w14:paraId="0816E29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45.000,00</w:t>
            </w:r>
          </w:p>
        </w:tc>
        <w:tc>
          <w:tcPr>
            <w:tcW w:w="1660" w:type="dxa"/>
            <w:tcBorders>
              <w:top w:val="single" w:sz="4" w:space="0" w:color="auto"/>
              <w:left w:val="nil"/>
              <w:bottom w:val="single" w:sz="4" w:space="0" w:color="auto"/>
              <w:right w:val="single" w:sz="4" w:space="0" w:color="auto"/>
            </w:tcBorders>
            <w:noWrap/>
            <w:vAlign w:val="bottom"/>
            <w:hideMark/>
          </w:tcPr>
          <w:p w14:paraId="7100AAC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45.000,00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41A3826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67,99%</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8CEB6F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w:t>
            </w:r>
          </w:p>
        </w:tc>
      </w:tr>
      <w:tr w:rsidR="00416D67" w:rsidRPr="00416D67" w14:paraId="7EFD2AD3"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58E8BE40" w14:textId="77777777" w:rsidR="00416D67" w:rsidRPr="00416D67" w:rsidRDefault="00416D67" w:rsidP="00416D67">
            <w:pPr>
              <w:rPr>
                <w:rFonts w:ascii="Arial" w:hAnsi="Arial" w:cs="Arial"/>
                <w:sz w:val="14"/>
                <w:szCs w:val="14"/>
              </w:rPr>
            </w:pPr>
            <w:r w:rsidRPr="00416D67">
              <w:rPr>
                <w:rFonts w:ascii="Arial" w:hAnsi="Arial" w:cs="Arial"/>
                <w:sz w:val="14"/>
                <w:szCs w:val="14"/>
              </w:rPr>
              <w:t>Izvor 5.1.3 Pomoć izravnanja decentralizirana sredstva JVP</w:t>
            </w:r>
          </w:p>
        </w:tc>
        <w:tc>
          <w:tcPr>
            <w:tcW w:w="1540" w:type="dxa"/>
            <w:tcBorders>
              <w:top w:val="single" w:sz="4" w:space="0" w:color="auto"/>
              <w:left w:val="nil"/>
              <w:bottom w:val="single" w:sz="4" w:space="0" w:color="auto"/>
              <w:right w:val="single" w:sz="4" w:space="0" w:color="auto"/>
            </w:tcBorders>
            <w:noWrap/>
            <w:vAlign w:val="bottom"/>
            <w:hideMark/>
          </w:tcPr>
          <w:p w14:paraId="73D787D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56.405,30</w:t>
            </w:r>
          </w:p>
        </w:tc>
        <w:tc>
          <w:tcPr>
            <w:tcW w:w="1620" w:type="dxa"/>
            <w:tcBorders>
              <w:top w:val="single" w:sz="4" w:space="0" w:color="auto"/>
              <w:left w:val="nil"/>
              <w:bottom w:val="single" w:sz="4" w:space="0" w:color="auto"/>
              <w:right w:val="single" w:sz="4" w:space="0" w:color="auto"/>
            </w:tcBorders>
            <w:noWrap/>
            <w:vAlign w:val="bottom"/>
            <w:hideMark/>
          </w:tcPr>
          <w:p w14:paraId="2E84620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24.500,00</w:t>
            </w:r>
          </w:p>
        </w:tc>
        <w:tc>
          <w:tcPr>
            <w:tcW w:w="1600" w:type="dxa"/>
            <w:tcBorders>
              <w:top w:val="single" w:sz="4" w:space="0" w:color="auto"/>
              <w:left w:val="nil"/>
              <w:bottom w:val="single" w:sz="4" w:space="0" w:color="auto"/>
              <w:right w:val="single" w:sz="4" w:space="0" w:color="auto"/>
            </w:tcBorders>
            <w:noWrap/>
            <w:vAlign w:val="bottom"/>
            <w:hideMark/>
          </w:tcPr>
          <w:p w14:paraId="27B2B09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24.500,00</w:t>
            </w:r>
          </w:p>
        </w:tc>
        <w:tc>
          <w:tcPr>
            <w:tcW w:w="1660" w:type="dxa"/>
            <w:tcBorders>
              <w:top w:val="single" w:sz="4" w:space="0" w:color="auto"/>
              <w:left w:val="nil"/>
              <w:bottom w:val="single" w:sz="4" w:space="0" w:color="auto"/>
              <w:right w:val="single" w:sz="4" w:space="0" w:color="auto"/>
            </w:tcBorders>
            <w:noWrap/>
            <w:vAlign w:val="bottom"/>
            <w:hideMark/>
          </w:tcPr>
          <w:p w14:paraId="0D2D743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24.969,60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23D00FE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44,27%</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FFF44B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101,92%</w:t>
            </w:r>
          </w:p>
        </w:tc>
      </w:tr>
      <w:tr w:rsidR="00416D67" w:rsidRPr="00416D67" w14:paraId="631ED999"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5160DFF4" w14:textId="77777777" w:rsidR="00416D67" w:rsidRPr="00416D67" w:rsidRDefault="00416D67" w:rsidP="00416D67">
            <w:pPr>
              <w:rPr>
                <w:rFonts w:ascii="Arial" w:hAnsi="Arial" w:cs="Arial"/>
                <w:sz w:val="14"/>
                <w:szCs w:val="14"/>
              </w:rPr>
            </w:pPr>
            <w:r w:rsidRPr="00416D67">
              <w:rPr>
                <w:rFonts w:ascii="Arial" w:hAnsi="Arial" w:cs="Arial"/>
                <w:sz w:val="14"/>
                <w:szCs w:val="14"/>
              </w:rPr>
              <w:t>Izvor 5.1.4 Pomoći Fond za zaštitu okoliša</w:t>
            </w:r>
          </w:p>
        </w:tc>
        <w:tc>
          <w:tcPr>
            <w:tcW w:w="1540" w:type="dxa"/>
            <w:tcBorders>
              <w:top w:val="single" w:sz="4" w:space="0" w:color="auto"/>
              <w:left w:val="nil"/>
              <w:bottom w:val="single" w:sz="4" w:space="0" w:color="auto"/>
              <w:right w:val="single" w:sz="4" w:space="0" w:color="auto"/>
            </w:tcBorders>
            <w:noWrap/>
            <w:vAlign w:val="bottom"/>
            <w:hideMark/>
          </w:tcPr>
          <w:p w14:paraId="0C7C84D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13.160,00</w:t>
            </w:r>
          </w:p>
        </w:tc>
        <w:tc>
          <w:tcPr>
            <w:tcW w:w="1620" w:type="dxa"/>
            <w:tcBorders>
              <w:top w:val="single" w:sz="4" w:space="0" w:color="auto"/>
              <w:left w:val="nil"/>
              <w:bottom w:val="single" w:sz="4" w:space="0" w:color="auto"/>
              <w:right w:val="single" w:sz="4" w:space="0" w:color="auto"/>
            </w:tcBorders>
            <w:noWrap/>
            <w:vAlign w:val="bottom"/>
            <w:hideMark/>
          </w:tcPr>
          <w:p w14:paraId="2001B10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600" w:type="dxa"/>
            <w:tcBorders>
              <w:top w:val="single" w:sz="4" w:space="0" w:color="auto"/>
              <w:left w:val="nil"/>
              <w:bottom w:val="single" w:sz="4" w:space="0" w:color="auto"/>
              <w:right w:val="single" w:sz="4" w:space="0" w:color="auto"/>
            </w:tcBorders>
            <w:noWrap/>
            <w:vAlign w:val="bottom"/>
            <w:hideMark/>
          </w:tcPr>
          <w:p w14:paraId="7BF05F5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660" w:type="dxa"/>
            <w:tcBorders>
              <w:top w:val="single" w:sz="4" w:space="0" w:color="auto"/>
              <w:left w:val="nil"/>
              <w:bottom w:val="single" w:sz="4" w:space="0" w:color="auto"/>
              <w:right w:val="single" w:sz="4" w:space="0" w:color="auto"/>
            </w:tcBorders>
            <w:noWrap/>
            <w:vAlign w:val="bottom"/>
            <w:hideMark/>
          </w:tcPr>
          <w:p w14:paraId="4F86364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6ADCA83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E2F2EB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2894C46C"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318E9D3F" w14:textId="77777777" w:rsidR="00416D67" w:rsidRPr="00416D67" w:rsidRDefault="00416D67" w:rsidP="00416D67">
            <w:pPr>
              <w:rPr>
                <w:rFonts w:ascii="Arial" w:hAnsi="Arial" w:cs="Arial"/>
                <w:sz w:val="14"/>
                <w:szCs w:val="14"/>
              </w:rPr>
            </w:pPr>
            <w:r w:rsidRPr="00416D67">
              <w:rPr>
                <w:rFonts w:ascii="Arial" w:hAnsi="Arial" w:cs="Arial"/>
                <w:sz w:val="14"/>
                <w:szCs w:val="14"/>
              </w:rPr>
              <w:t>Izvor 5.1.8 Pomoć Županijska uprava za ceste IŽ</w:t>
            </w:r>
          </w:p>
        </w:tc>
        <w:tc>
          <w:tcPr>
            <w:tcW w:w="1540" w:type="dxa"/>
            <w:tcBorders>
              <w:top w:val="single" w:sz="4" w:space="0" w:color="auto"/>
              <w:left w:val="nil"/>
              <w:bottom w:val="single" w:sz="4" w:space="0" w:color="auto"/>
              <w:right w:val="single" w:sz="4" w:space="0" w:color="auto"/>
            </w:tcBorders>
            <w:noWrap/>
            <w:vAlign w:val="bottom"/>
            <w:hideMark/>
          </w:tcPr>
          <w:p w14:paraId="47334B7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285.536,93</w:t>
            </w:r>
          </w:p>
        </w:tc>
        <w:tc>
          <w:tcPr>
            <w:tcW w:w="1620" w:type="dxa"/>
            <w:tcBorders>
              <w:top w:val="single" w:sz="4" w:space="0" w:color="auto"/>
              <w:left w:val="nil"/>
              <w:bottom w:val="single" w:sz="4" w:space="0" w:color="auto"/>
              <w:right w:val="single" w:sz="4" w:space="0" w:color="auto"/>
            </w:tcBorders>
            <w:noWrap/>
            <w:vAlign w:val="bottom"/>
            <w:hideMark/>
          </w:tcPr>
          <w:p w14:paraId="15E3A67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600" w:type="dxa"/>
            <w:tcBorders>
              <w:top w:val="single" w:sz="4" w:space="0" w:color="auto"/>
              <w:left w:val="nil"/>
              <w:bottom w:val="single" w:sz="4" w:space="0" w:color="auto"/>
              <w:right w:val="single" w:sz="4" w:space="0" w:color="auto"/>
            </w:tcBorders>
            <w:noWrap/>
            <w:vAlign w:val="bottom"/>
            <w:hideMark/>
          </w:tcPr>
          <w:p w14:paraId="59761BF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660" w:type="dxa"/>
            <w:tcBorders>
              <w:top w:val="single" w:sz="4" w:space="0" w:color="auto"/>
              <w:left w:val="nil"/>
              <w:bottom w:val="single" w:sz="4" w:space="0" w:color="auto"/>
              <w:right w:val="single" w:sz="4" w:space="0" w:color="auto"/>
            </w:tcBorders>
            <w:noWrap/>
            <w:vAlign w:val="bottom"/>
            <w:hideMark/>
          </w:tcPr>
          <w:p w14:paraId="231AB7E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530EF4F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FD8507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05065050"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6E402432" w14:textId="77777777" w:rsidR="00416D67" w:rsidRPr="00416D67" w:rsidRDefault="00416D67" w:rsidP="00416D67">
            <w:pPr>
              <w:rPr>
                <w:rFonts w:ascii="Arial" w:hAnsi="Arial" w:cs="Arial"/>
                <w:sz w:val="14"/>
                <w:szCs w:val="14"/>
              </w:rPr>
            </w:pPr>
            <w:r w:rsidRPr="00416D67">
              <w:rPr>
                <w:rFonts w:ascii="Arial" w:hAnsi="Arial" w:cs="Arial"/>
                <w:sz w:val="14"/>
                <w:szCs w:val="14"/>
              </w:rPr>
              <w:t>Izvor 5.1.9 Pomoći fiskalna održivost dječjih vrtića</w:t>
            </w:r>
          </w:p>
        </w:tc>
        <w:tc>
          <w:tcPr>
            <w:tcW w:w="1540" w:type="dxa"/>
            <w:tcBorders>
              <w:top w:val="single" w:sz="4" w:space="0" w:color="auto"/>
              <w:left w:val="nil"/>
              <w:bottom w:val="single" w:sz="4" w:space="0" w:color="auto"/>
              <w:right w:val="single" w:sz="4" w:space="0" w:color="auto"/>
            </w:tcBorders>
            <w:noWrap/>
            <w:vAlign w:val="bottom"/>
            <w:hideMark/>
          </w:tcPr>
          <w:p w14:paraId="2DB97E8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34.746,00</w:t>
            </w:r>
          </w:p>
        </w:tc>
        <w:tc>
          <w:tcPr>
            <w:tcW w:w="1620" w:type="dxa"/>
            <w:tcBorders>
              <w:top w:val="single" w:sz="4" w:space="0" w:color="auto"/>
              <w:left w:val="nil"/>
              <w:bottom w:val="single" w:sz="4" w:space="0" w:color="auto"/>
              <w:right w:val="single" w:sz="4" w:space="0" w:color="auto"/>
            </w:tcBorders>
            <w:noWrap/>
            <w:vAlign w:val="bottom"/>
            <w:hideMark/>
          </w:tcPr>
          <w:p w14:paraId="4037343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40.236,00</w:t>
            </w:r>
          </w:p>
        </w:tc>
        <w:tc>
          <w:tcPr>
            <w:tcW w:w="1600" w:type="dxa"/>
            <w:tcBorders>
              <w:top w:val="single" w:sz="4" w:space="0" w:color="auto"/>
              <w:left w:val="nil"/>
              <w:bottom w:val="single" w:sz="4" w:space="0" w:color="auto"/>
              <w:right w:val="single" w:sz="4" w:space="0" w:color="auto"/>
            </w:tcBorders>
            <w:noWrap/>
            <w:vAlign w:val="bottom"/>
            <w:hideMark/>
          </w:tcPr>
          <w:p w14:paraId="20DC016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40.236,00</w:t>
            </w:r>
          </w:p>
        </w:tc>
        <w:tc>
          <w:tcPr>
            <w:tcW w:w="1660" w:type="dxa"/>
            <w:tcBorders>
              <w:top w:val="single" w:sz="4" w:space="0" w:color="auto"/>
              <w:left w:val="nil"/>
              <w:bottom w:val="single" w:sz="4" w:space="0" w:color="auto"/>
              <w:right w:val="single" w:sz="4" w:space="0" w:color="auto"/>
            </w:tcBorders>
            <w:noWrap/>
            <w:vAlign w:val="bottom"/>
            <w:hideMark/>
          </w:tcPr>
          <w:p w14:paraId="332E557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40.236,00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13924F1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115,80%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EEFEA8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w:t>
            </w:r>
          </w:p>
        </w:tc>
      </w:tr>
      <w:tr w:rsidR="00416D67" w:rsidRPr="00416D67" w14:paraId="602D0ECB"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5E43B0F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5.2. Tekuće pomoći državni proračun PK</w:t>
            </w:r>
          </w:p>
        </w:tc>
        <w:tc>
          <w:tcPr>
            <w:tcW w:w="1540" w:type="dxa"/>
            <w:tcBorders>
              <w:top w:val="single" w:sz="4" w:space="0" w:color="auto"/>
              <w:left w:val="nil"/>
              <w:bottom w:val="single" w:sz="4" w:space="0" w:color="auto"/>
              <w:right w:val="single" w:sz="4" w:space="0" w:color="auto"/>
            </w:tcBorders>
            <w:noWrap/>
            <w:vAlign w:val="bottom"/>
            <w:hideMark/>
          </w:tcPr>
          <w:p w14:paraId="65E85AB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1.791,60</w:t>
            </w:r>
          </w:p>
        </w:tc>
        <w:tc>
          <w:tcPr>
            <w:tcW w:w="1620" w:type="dxa"/>
            <w:tcBorders>
              <w:top w:val="single" w:sz="4" w:space="0" w:color="auto"/>
              <w:left w:val="nil"/>
              <w:bottom w:val="single" w:sz="4" w:space="0" w:color="auto"/>
              <w:right w:val="single" w:sz="4" w:space="0" w:color="auto"/>
            </w:tcBorders>
            <w:noWrap/>
            <w:vAlign w:val="bottom"/>
            <w:hideMark/>
          </w:tcPr>
          <w:p w14:paraId="1DEC91F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6.164,00</w:t>
            </w:r>
          </w:p>
        </w:tc>
        <w:tc>
          <w:tcPr>
            <w:tcW w:w="1600" w:type="dxa"/>
            <w:tcBorders>
              <w:top w:val="single" w:sz="4" w:space="0" w:color="auto"/>
              <w:left w:val="nil"/>
              <w:bottom w:val="single" w:sz="4" w:space="0" w:color="auto"/>
              <w:right w:val="single" w:sz="4" w:space="0" w:color="auto"/>
            </w:tcBorders>
            <w:noWrap/>
            <w:vAlign w:val="bottom"/>
            <w:hideMark/>
          </w:tcPr>
          <w:p w14:paraId="17A8A41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6.164,00</w:t>
            </w:r>
          </w:p>
        </w:tc>
        <w:tc>
          <w:tcPr>
            <w:tcW w:w="1660" w:type="dxa"/>
            <w:tcBorders>
              <w:top w:val="single" w:sz="4" w:space="0" w:color="auto"/>
              <w:left w:val="nil"/>
              <w:bottom w:val="single" w:sz="4" w:space="0" w:color="auto"/>
              <w:right w:val="single" w:sz="4" w:space="0" w:color="auto"/>
            </w:tcBorders>
            <w:noWrap/>
            <w:vAlign w:val="bottom"/>
            <w:hideMark/>
          </w:tcPr>
          <w:p w14:paraId="3BAD089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5.858,40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7830303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326,99%</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BB6D59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95,04%</w:t>
            </w:r>
          </w:p>
        </w:tc>
      </w:tr>
      <w:tr w:rsidR="00416D67" w:rsidRPr="00416D67" w14:paraId="650CFE69"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3B9D753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Izvor 5.3. Tekuće pomoći PK JLP(R)S </w:t>
            </w:r>
          </w:p>
        </w:tc>
        <w:tc>
          <w:tcPr>
            <w:tcW w:w="1540" w:type="dxa"/>
            <w:tcBorders>
              <w:top w:val="single" w:sz="4" w:space="0" w:color="auto"/>
              <w:left w:val="nil"/>
              <w:bottom w:val="single" w:sz="4" w:space="0" w:color="auto"/>
              <w:right w:val="single" w:sz="4" w:space="0" w:color="auto"/>
            </w:tcBorders>
            <w:noWrap/>
            <w:vAlign w:val="bottom"/>
            <w:hideMark/>
          </w:tcPr>
          <w:p w14:paraId="22A66EF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5.481,43</w:t>
            </w:r>
          </w:p>
        </w:tc>
        <w:tc>
          <w:tcPr>
            <w:tcW w:w="1620" w:type="dxa"/>
            <w:tcBorders>
              <w:top w:val="single" w:sz="4" w:space="0" w:color="auto"/>
              <w:left w:val="nil"/>
              <w:bottom w:val="single" w:sz="4" w:space="0" w:color="auto"/>
              <w:right w:val="single" w:sz="4" w:space="0" w:color="auto"/>
            </w:tcBorders>
            <w:noWrap/>
            <w:vAlign w:val="bottom"/>
            <w:hideMark/>
          </w:tcPr>
          <w:p w14:paraId="65FAAA4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14.750,00</w:t>
            </w:r>
          </w:p>
        </w:tc>
        <w:tc>
          <w:tcPr>
            <w:tcW w:w="1600" w:type="dxa"/>
            <w:tcBorders>
              <w:top w:val="single" w:sz="4" w:space="0" w:color="auto"/>
              <w:left w:val="nil"/>
              <w:bottom w:val="single" w:sz="4" w:space="0" w:color="auto"/>
              <w:right w:val="single" w:sz="4" w:space="0" w:color="auto"/>
            </w:tcBorders>
            <w:noWrap/>
            <w:vAlign w:val="bottom"/>
            <w:hideMark/>
          </w:tcPr>
          <w:p w14:paraId="5C625AE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14.750,00</w:t>
            </w:r>
          </w:p>
        </w:tc>
        <w:tc>
          <w:tcPr>
            <w:tcW w:w="1660" w:type="dxa"/>
            <w:tcBorders>
              <w:top w:val="single" w:sz="4" w:space="0" w:color="auto"/>
              <w:left w:val="nil"/>
              <w:bottom w:val="single" w:sz="4" w:space="0" w:color="auto"/>
              <w:right w:val="single" w:sz="4" w:space="0" w:color="auto"/>
            </w:tcBorders>
            <w:noWrap/>
            <w:vAlign w:val="bottom"/>
            <w:hideMark/>
          </w:tcPr>
          <w:p w14:paraId="4445265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14.481,50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2BDD48E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264,19%</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3418EB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98,18%</w:t>
            </w:r>
          </w:p>
        </w:tc>
      </w:tr>
      <w:tr w:rsidR="00416D67" w:rsidRPr="00416D67" w14:paraId="16EB5BE6"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3E88EC9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Izvor 5.4. Tekuće pomoći PK JLP(R)S </w:t>
            </w:r>
            <w:proofErr w:type="spellStart"/>
            <w:r w:rsidRPr="00416D67">
              <w:rPr>
                <w:rFonts w:ascii="Arial" w:hAnsi="Arial" w:cs="Arial"/>
                <w:b/>
                <w:bCs/>
                <w:sz w:val="14"/>
                <w:szCs w:val="14"/>
              </w:rPr>
              <w:t>Ist.županija</w:t>
            </w:r>
            <w:proofErr w:type="spellEnd"/>
          </w:p>
        </w:tc>
        <w:tc>
          <w:tcPr>
            <w:tcW w:w="1540" w:type="dxa"/>
            <w:tcBorders>
              <w:top w:val="single" w:sz="4" w:space="0" w:color="auto"/>
              <w:left w:val="nil"/>
              <w:bottom w:val="single" w:sz="4" w:space="0" w:color="auto"/>
              <w:right w:val="single" w:sz="4" w:space="0" w:color="auto"/>
            </w:tcBorders>
            <w:noWrap/>
            <w:vAlign w:val="bottom"/>
            <w:hideMark/>
          </w:tcPr>
          <w:p w14:paraId="25EA478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1620" w:type="dxa"/>
            <w:tcBorders>
              <w:top w:val="single" w:sz="4" w:space="0" w:color="auto"/>
              <w:left w:val="nil"/>
              <w:bottom w:val="single" w:sz="4" w:space="0" w:color="auto"/>
              <w:right w:val="single" w:sz="4" w:space="0" w:color="auto"/>
            </w:tcBorders>
            <w:noWrap/>
            <w:vAlign w:val="bottom"/>
            <w:hideMark/>
          </w:tcPr>
          <w:p w14:paraId="27C6257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1600" w:type="dxa"/>
            <w:tcBorders>
              <w:top w:val="single" w:sz="4" w:space="0" w:color="auto"/>
              <w:left w:val="nil"/>
              <w:bottom w:val="single" w:sz="4" w:space="0" w:color="auto"/>
              <w:right w:val="single" w:sz="4" w:space="0" w:color="auto"/>
            </w:tcBorders>
            <w:noWrap/>
            <w:vAlign w:val="bottom"/>
            <w:hideMark/>
          </w:tcPr>
          <w:p w14:paraId="7797F48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1660" w:type="dxa"/>
            <w:tcBorders>
              <w:top w:val="single" w:sz="4" w:space="0" w:color="auto"/>
              <w:left w:val="nil"/>
              <w:bottom w:val="single" w:sz="4" w:space="0" w:color="auto"/>
              <w:right w:val="single" w:sz="4" w:space="0" w:color="auto"/>
            </w:tcBorders>
            <w:noWrap/>
            <w:vAlign w:val="bottom"/>
            <w:hideMark/>
          </w:tcPr>
          <w:p w14:paraId="1B8D0F5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0D92B29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FDAC60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w:t>
            </w:r>
          </w:p>
        </w:tc>
      </w:tr>
      <w:tr w:rsidR="00416D67" w:rsidRPr="00416D67" w14:paraId="0368EB5B" w14:textId="77777777" w:rsidTr="00BB1392">
        <w:trPr>
          <w:trHeight w:val="197"/>
        </w:trPr>
        <w:tc>
          <w:tcPr>
            <w:tcW w:w="6800" w:type="dxa"/>
            <w:tcBorders>
              <w:top w:val="single" w:sz="4" w:space="0" w:color="auto"/>
              <w:left w:val="single" w:sz="4" w:space="0" w:color="auto"/>
              <w:bottom w:val="single" w:sz="4" w:space="0" w:color="auto"/>
              <w:right w:val="single" w:sz="4" w:space="0" w:color="auto"/>
            </w:tcBorders>
            <w:vAlign w:val="bottom"/>
            <w:hideMark/>
          </w:tcPr>
          <w:p w14:paraId="5E31553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Izvor 5.6.6 Pomoći EU  (program razvoja kružnog </w:t>
            </w:r>
            <w:proofErr w:type="spellStart"/>
            <w:r w:rsidRPr="00416D67">
              <w:rPr>
                <w:rFonts w:ascii="Arial" w:hAnsi="Arial" w:cs="Arial"/>
                <w:b/>
                <w:bCs/>
                <w:sz w:val="14"/>
                <w:szCs w:val="14"/>
              </w:rPr>
              <w:t>gospod</w:t>
            </w:r>
            <w:proofErr w:type="spellEnd"/>
            <w:r w:rsidRPr="00416D67">
              <w:rPr>
                <w:rFonts w:ascii="Arial" w:hAnsi="Arial" w:cs="Arial"/>
                <w:b/>
                <w:bCs/>
                <w:sz w:val="14"/>
                <w:szCs w:val="14"/>
              </w:rPr>
              <w:t xml:space="preserve"> prostorom i </w:t>
            </w:r>
            <w:proofErr w:type="spellStart"/>
            <w:r w:rsidRPr="00416D67">
              <w:rPr>
                <w:rFonts w:ascii="Arial" w:hAnsi="Arial" w:cs="Arial"/>
                <w:b/>
                <w:bCs/>
                <w:sz w:val="14"/>
                <w:szCs w:val="14"/>
              </w:rPr>
              <w:t>zgrad</w:t>
            </w:r>
            <w:proofErr w:type="spellEnd"/>
          </w:p>
        </w:tc>
        <w:tc>
          <w:tcPr>
            <w:tcW w:w="1540" w:type="dxa"/>
            <w:tcBorders>
              <w:top w:val="single" w:sz="4" w:space="0" w:color="auto"/>
              <w:left w:val="nil"/>
              <w:bottom w:val="single" w:sz="4" w:space="0" w:color="auto"/>
              <w:right w:val="single" w:sz="4" w:space="0" w:color="auto"/>
            </w:tcBorders>
            <w:noWrap/>
            <w:vAlign w:val="bottom"/>
            <w:hideMark/>
          </w:tcPr>
          <w:p w14:paraId="259F87A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620" w:type="dxa"/>
            <w:tcBorders>
              <w:top w:val="single" w:sz="4" w:space="0" w:color="auto"/>
              <w:left w:val="nil"/>
              <w:bottom w:val="single" w:sz="4" w:space="0" w:color="auto"/>
              <w:right w:val="single" w:sz="4" w:space="0" w:color="auto"/>
            </w:tcBorders>
            <w:noWrap/>
            <w:vAlign w:val="bottom"/>
            <w:hideMark/>
          </w:tcPr>
          <w:p w14:paraId="74232B7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31.487,70</w:t>
            </w:r>
          </w:p>
        </w:tc>
        <w:tc>
          <w:tcPr>
            <w:tcW w:w="1600" w:type="dxa"/>
            <w:tcBorders>
              <w:top w:val="single" w:sz="4" w:space="0" w:color="auto"/>
              <w:left w:val="nil"/>
              <w:bottom w:val="single" w:sz="4" w:space="0" w:color="auto"/>
              <w:right w:val="single" w:sz="4" w:space="0" w:color="auto"/>
            </w:tcBorders>
            <w:noWrap/>
            <w:vAlign w:val="bottom"/>
            <w:hideMark/>
          </w:tcPr>
          <w:p w14:paraId="0447575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31.487,70</w:t>
            </w:r>
          </w:p>
        </w:tc>
        <w:tc>
          <w:tcPr>
            <w:tcW w:w="1660" w:type="dxa"/>
            <w:tcBorders>
              <w:top w:val="single" w:sz="4" w:space="0" w:color="auto"/>
              <w:left w:val="nil"/>
              <w:bottom w:val="single" w:sz="4" w:space="0" w:color="auto"/>
              <w:right w:val="single" w:sz="4" w:space="0" w:color="auto"/>
            </w:tcBorders>
            <w:noWrap/>
            <w:vAlign w:val="bottom"/>
            <w:hideMark/>
          </w:tcPr>
          <w:p w14:paraId="3FEF4A4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31.487,69</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5A004D5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8A314F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293F9504"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B19B36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6. Donacije</w:t>
            </w:r>
          </w:p>
        </w:tc>
        <w:tc>
          <w:tcPr>
            <w:tcW w:w="1540" w:type="dxa"/>
            <w:tcBorders>
              <w:top w:val="single" w:sz="4" w:space="0" w:color="auto"/>
              <w:left w:val="nil"/>
              <w:bottom w:val="single" w:sz="4" w:space="0" w:color="auto"/>
              <w:right w:val="single" w:sz="4" w:space="0" w:color="auto"/>
            </w:tcBorders>
            <w:shd w:val="clear" w:color="000000" w:fill="FFFF00"/>
            <w:noWrap/>
            <w:vAlign w:val="bottom"/>
            <w:hideMark/>
          </w:tcPr>
          <w:p w14:paraId="54059E1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4.715,58</w:t>
            </w:r>
          </w:p>
        </w:tc>
        <w:tc>
          <w:tcPr>
            <w:tcW w:w="1620" w:type="dxa"/>
            <w:tcBorders>
              <w:top w:val="single" w:sz="4" w:space="0" w:color="auto"/>
              <w:left w:val="nil"/>
              <w:bottom w:val="single" w:sz="4" w:space="0" w:color="auto"/>
              <w:right w:val="single" w:sz="4" w:space="0" w:color="auto"/>
            </w:tcBorders>
            <w:shd w:val="clear" w:color="000000" w:fill="FFFF00"/>
            <w:noWrap/>
            <w:vAlign w:val="bottom"/>
            <w:hideMark/>
          </w:tcPr>
          <w:p w14:paraId="768DA5A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w:t>
            </w:r>
          </w:p>
        </w:tc>
        <w:tc>
          <w:tcPr>
            <w:tcW w:w="1600" w:type="dxa"/>
            <w:tcBorders>
              <w:top w:val="single" w:sz="4" w:space="0" w:color="auto"/>
              <w:left w:val="nil"/>
              <w:bottom w:val="single" w:sz="4" w:space="0" w:color="auto"/>
              <w:right w:val="single" w:sz="4" w:space="0" w:color="auto"/>
            </w:tcBorders>
            <w:shd w:val="clear" w:color="000000" w:fill="FFFF00"/>
            <w:noWrap/>
            <w:vAlign w:val="bottom"/>
            <w:hideMark/>
          </w:tcPr>
          <w:p w14:paraId="3318C95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w:t>
            </w:r>
          </w:p>
        </w:tc>
        <w:tc>
          <w:tcPr>
            <w:tcW w:w="1660" w:type="dxa"/>
            <w:tcBorders>
              <w:top w:val="single" w:sz="4" w:space="0" w:color="auto"/>
              <w:left w:val="nil"/>
              <w:bottom w:val="single" w:sz="4" w:space="0" w:color="auto"/>
              <w:right w:val="single" w:sz="4" w:space="0" w:color="auto"/>
            </w:tcBorders>
            <w:shd w:val="clear" w:color="000000" w:fill="FFFF00"/>
            <w:noWrap/>
            <w:vAlign w:val="bottom"/>
            <w:hideMark/>
          </w:tcPr>
          <w:p w14:paraId="58F0E82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0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D06AF9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48B90D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4B7453ED"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0744944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6.1. 06 Donacije</w:t>
            </w:r>
          </w:p>
        </w:tc>
        <w:tc>
          <w:tcPr>
            <w:tcW w:w="1540" w:type="dxa"/>
            <w:tcBorders>
              <w:top w:val="single" w:sz="4" w:space="0" w:color="auto"/>
              <w:left w:val="nil"/>
              <w:bottom w:val="single" w:sz="4" w:space="0" w:color="auto"/>
              <w:right w:val="single" w:sz="4" w:space="0" w:color="auto"/>
            </w:tcBorders>
            <w:noWrap/>
            <w:vAlign w:val="bottom"/>
            <w:hideMark/>
          </w:tcPr>
          <w:p w14:paraId="6CF9D2E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4.715,58</w:t>
            </w:r>
          </w:p>
        </w:tc>
        <w:tc>
          <w:tcPr>
            <w:tcW w:w="1620" w:type="dxa"/>
            <w:tcBorders>
              <w:top w:val="single" w:sz="4" w:space="0" w:color="auto"/>
              <w:left w:val="nil"/>
              <w:bottom w:val="single" w:sz="4" w:space="0" w:color="auto"/>
              <w:right w:val="single" w:sz="4" w:space="0" w:color="auto"/>
            </w:tcBorders>
            <w:noWrap/>
            <w:vAlign w:val="bottom"/>
            <w:hideMark/>
          </w:tcPr>
          <w:p w14:paraId="471D5AC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1600" w:type="dxa"/>
            <w:tcBorders>
              <w:top w:val="single" w:sz="4" w:space="0" w:color="auto"/>
              <w:left w:val="nil"/>
              <w:bottom w:val="single" w:sz="4" w:space="0" w:color="auto"/>
              <w:right w:val="single" w:sz="4" w:space="0" w:color="auto"/>
            </w:tcBorders>
            <w:noWrap/>
            <w:vAlign w:val="bottom"/>
            <w:hideMark/>
          </w:tcPr>
          <w:p w14:paraId="4C2FB92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1660" w:type="dxa"/>
            <w:tcBorders>
              <w:top w:val="single" w:sz="4" w:space="0" w:color="auto"/>
              <w:left w:val="nil"/>
              <w:bottom w:val="single" w:sz="4" w:space="0" w:color="auto"/>
              <w:right w:val="single" w:sz="4" w:space="0" w:color="auto"/>
            </w:tcBorders>
            <w:noWrap/>
            <w:vAlign w:val="bottom"/>
            <w:hideMark/>
          </w:tcPr>
          <w:p w14:paraId="5DDE6CC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3900BC5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C45C3C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2A807EFE"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48C4929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6.2. Donacije PK</w:t>
            </w:r>
          </w:p>
        </w:tc>
        <w:tc>
          <w:tcPr>
            <w:tcW w:w="1540" w:type="dxa"/>
            <w:tcBorders>
              <w:top w:val="single" w:sz="4" w:space="0" w:color="auto"/>
              <w:left w:val="nil"/>
              <w:bottom w:val="single" w:sz="4" w:space="0" w:color="auto"/>
              <w:right w:val="single" w:sz="4" w:space="0" w:color="auto"/>
            </w:tcBorders>
            <w:noWrap/>
            <w:vAlign w:val="bottom"/>
            <w:hideMark/>
          </w:tcPr>
          <w:p w14:paraId="3837E55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620" w:type="dxa"/>
            <w:tcBorders>
              <w:top w:val="single" w:sz="4" w:space="0" w:color="auto"/>
              <w:left w:val="nil"/>
              <w:bottom w:val="single" w:sz="4" w:space="0" w:color="auto"/>
              <w:right w:val="single" w:sz="4" w:space="0" w:color="auto"/>
            </w:tcBorders>
            <w:noWrap/>
            <w:vAlign w:val="bottom"/>
            <w:hideMark/>
          </w:tcPr>
          <w:p w14:paraId="5365656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w:t>
            </w:r>
          </w:p>
        </w:tc>
        <w:tc>
          <w:tcPr>
            <w:tcW w:w="1600" w:type="dxa"/>
            <w:tcBorders>
              <w:top w:val="single" w:sz="4" w:space="0" w:color="auto"/>
              <w:left w:val="nil"/>
              <w:bottom w:val="single" w:sz="4" w:space="0" w:color="auto"/>
              <w:right w:val="single" w:sz="4" w:space="0" w:color="auto"/>
            </w:tcBorders>
            <w:noWrap/>
            <w:vAlign w:val="bottom"/>
            <w:hideMark/>
          </w:tcPr>
          <w:p w14:paraId="73F0593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w:t>
            </w:r>
          </w:p>
        </w:tc>
        <w:tc>
          <w:tcPr>
            <w:tcW w:w="1660" w:type="dxa"/>
            <w:tcBorders>
              <w:top w:val="single" w:sz="4" w:space="0" w:color="auto"/>
              <w:left w:val="nil"/>
              <w:bottom w:val="single" w:sz="4" w:space="0" w:color="auto"/>
              <w:right w:val="single" w:sz="4" w:space="0" w:color="auto"/>
            </w:tcBorders>
            <w:noWrap/>
            <w:vAlign w:val="bottom"/>
            <w:hideMark/>
          </w:tcPr>
          <w:p w14:paraId="669A83C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50BED83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47A7FA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77BBFC00" w14:textId="77777777" w:rsidTr="00BB1392">
        <w:trPr>
          <w:trHeight w:val="365"/>
        </w:trPr>
        <w:tc>
          <w:tcPr>
            <w:tcW w:w="6800"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1E948EC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7. Prihodi od prodaje ili zamjene nefinancijske imovine i naknade s naslova osiguranja</w:t>
            </w:r>
          </w:p>
        </w:tc>
        <w:tc>
          <w:tcPr>
            <w:tcW w:w="1540" w:type="dxa"/>
            <w:tcBorders>
              <w:top w:val="single" w:sz="4" w:space="0" w:color="auto"/>
              <w:left w:val="nil"/>
              <w:bottom w:val="single" w:sz="4" w:space="0" w:color="auto"/>
              <w:right w:val="single" w:sz="4" w:space="0" w:color="auto"/>
            </w:tcBorders>
            <w:shd w:val="clear" w:color="000000" w:fill="FFFF00"/>
            <w:noWrap/>
            <w:vAlign w:val="bottom"/>
            <w:hideMark/>
          </w:tcPr>
          <w:p w14:paraId="4435F3C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8.886,01</w:t>
            </w:r>
          </w:p>
        </w:tc>
        <w:tc>
          <w:tcPr>
            <w:tcW w:w="1620" w:type="dxa"/>
            <w:tcBorders>
              <w:top w:val="single" w:sz="4" w:space="0" w:color="auto"/>
              <w:left w:val="nil"/>
              <w:bottom w:val="single" w:sz="4" w:space="0" w:color="auto"/>
              <w:right w:val="single" w:sz="4" w:space="0" w:color="auto"/>
            </w:tcBorders>
            <w:shd w:val="clear" w:color="000000" w:fill="FFFF00"/>
            <w:noWrap/>
            <w:vAlign w:val="bottom"/>
            <w:hideMark/>
          </w:tcPr>
          <w:p w14:paraId="64D52B4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1.683.370,00</w:t>
            </w:r>
          </w:p>
        </w:tc>
        <w:tc>
          <w:tcPr>
            <w:tcW w:w="1600" w:type="dxa"/>
            <w:tcBorders>
              <w:top w:val="single" w:sz="4" w:space="0" w:color="auto"/>
              <w:left w:val="nil"/>
              <w:bottom w:val="single" w:sz="4" w:space="0" w:color="auto"/>
              <w:right w:val="single" w:sz="4" w:space="0" w:color="auto"/>
            </w:tcBorders>
            <w:shd w:val="clear" w:color="000000" w:fill="FFFF00"/>
            <w:noWrap/>
            <w:vAlign w:val="bottom"/>
            <w:hideMark/>
          </w:tcPr>
          <w:p w14:paraId="60EAE9E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1.683.370,00</w:t>
            </w:r>
          </w:p>
        </w:tc>
        <w:tc>
          <w:tcPr>
            <w:tcW w:w="1660" w:type="dxa"/>
            <w:tcBorders>
              <w:top w:val="single" w:sz="4" w:space="0" w:color="auto"/>
              <w:left w:val="nil"/>
              <w:bottom w:val="single" w:sz="4" w:space="0" w:color="auto"/>
              <w:right w:val="single" w:sz="4" w:space="0" w:color="auto"/>
            </w:tcBorders>
            <w:shd w:val="clear" w:color="000000" w:fill="FFFF00"/>
            <w:noWrap/>
            <w:vAlign w:val="bottom"/>
            <w:hideMark/>
          </w:tcPr>
          <w:p w14:paraId="2F1D622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1.632.646,65</w:t>
            </w:r>
          </w:p>
        </w:tc>
        <w:tc>
          <w:tcPr>
            <w:tcW w:w="10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54BFE7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18373,23%</w:t>
            </w:r>
          </w:p>
        </w:tc>
        <w:tc>
          <w:tcPr>
            <w:tcW w:w="9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F6EC65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96,99%</w:t>
            </w:r>
          </w:p>
        </w:tc>
      </w:tr>
      <w:tr w:rsidR="00416D67" w:rsidRPr="00416D67" w14:paraId="49AD50E1" w14:textId="77777777" w:rsidTr="00BB1392">
        <w:trPr>
          <w:trHeight w:val="273"/>
        </w:trPr>
        <w:tc>
          <w:tcPr>
            <w:tcW w:w="6800" w:type="dxa"/>
            <w:tcBorders>
              <w:top w:val="single" w:sz="4" w:space="0" w:color="auto"/>
              <w:left w:val="single" w:sz="4" w:space="0" w:color="auto"/>
              <w:bottom w:val="single" w:sz="4" w:space="0" w:color="auto"/>
              <w:right w:val="single" w:sz="4" w:space="0" w:color="auto"/>
            </w:tcBorders>
            <w:vAlign w:val="bottom"/>
            <w:hideMark/>
          </w:tcPr>
          <w:p w14:paraId="01BF8AA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7.1. 07 prihodi od prodaje ili zamjene nefinancijske imovine i naknade s naslova osiguranja</w:t>
            </w:r>
          </w:p>
        </w:tc>
        <w:tc>
          <w:tcPr>
            <w:tcW w:w="1540" w:type="dxa"/>
            <w:tcBorders>
              <w:top w:val="single" w:sz="4" w:space="0" w:color="auto"/>
              <w:left w:val="nil"/>
              <w:bottom w:val="single" w:sz="4" w:space="0" w:color="auto"/>
              <w:right w:val="single" w:sz="4" w:space="0" w:color="auto"/>
            </w:tcBorders>
            <w:noWrap/>
            <w:vAlign w:val="bottom"/>
            <w:hideMark/>
          </w:tcPr>
          <w:p w14:paraId="2C361B6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2.140,00</w:t>
            </w:r>
          </w:p>
        </w:tc>
        <w:tc>
          <w:tcPr>
            <w:tcW w:w="1620" w:type="dxa"/>
            <w:tcBorders>
              <w:top w:val="single" w:sz="4" w:space="0" w:color="auto"/>
              <w:left w:val="nil"/>
              <w:bottom w:val="single" w:sz="4" w:space="0" w:color="auto"/>
              <w:right w:val="single" w:sz="4" w:space="0" w:color="auto"/>
            </w:tcBorders>
            <w:noWrap/>
            <w:vAlign w:val="bottom"/>
            <w:hideMark/>
          </w:tcPr>
          <w:p w14:paraId="32C715B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1.679.870,00</w:t>
            </w:r>
          </w:p>
        </w:tc>
        <w:tc>
          <w:tcPr>
            <w:tcW w:w="1600" w:type="dxa"/>
            <w:tcBorders>
              <w:top w:val="single" w:sz="4" w:space="0" w:color="auto"/>
              <w:left w:val="nil"/>
              <w:bottom w:val="single" w:sz="4" w:space="0" w:color="auto"/>
              <w:right w:val="single" w:sz="4" w:space="0" w:color="auto"/>
            </w:tcBorders>
            <w:noWrap/>
            <w:vAlign w:val="bottom"/>
            <w:hideMark/>
          </w:tcPr>
          <w:p w14:paraId="1A99EF2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1.679.870,00</w:t>
            </w:r>
          </w:p>
        </w:tc>
        <w:tc>
          <w:tcPr>
            <w:tcW w:w="1660" w:type="dxa"/>
            <w:tcBorders>
              <w:top w:val="single" w:sz="4" w:space="0" w:color="auto"/>
              <w:left w:val="nil"/>
              <w:bottom w:val="single" w:sz="4" w:space="0" w:color="auto"/>
              <w:right w:val="single" w:sz="4" w:space="0" w:color="auto"/>
            </w:tcBorders>
            <w:noWrap/>
            <w:vAlign w:val="bottom"/>
            <w:hideMark/>
          </w:tcPr>
          <w:p w14:paraId="1E781F1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1.629.700,00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014E1F4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76154,21%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D12EA2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97,01%</w:t>
            </w:r>
          </w:p>
        </w:tc>
      </w:tr>
      <w:tr w:rsidR="00416D67" w:rsidRPr="00416D67" w14:paraId="3E35A301"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1904990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Izvor 7.2. Prodaja državnog </w:t>
            </w:r>
            <w:proofErr w:type="spellStart"/>
            <w:r w:rsidRPr="00416D67">
              <w:rPr>
                <w:rFonts w:ascii="Arial" w:hAnsi="Arial" w:cs="Arial"/>
                <w:b/>
                <w:bCs/>
                <w:sz w:val="14"/>
                <w:szCs w:val="14"/>
              </w:rPr>
              <w:t>poljopr.zemljišta</w:t>
            </w:r>
            <w:proofErr w:type="spellEnd"/>
            <w:r w:rsidRPr="00416D67">
              <w:rPr>
                <w:rFonts w:ascii="Arial" w:hAnsi="Arial" w:cs="Arial"/>
                <w:b/>
                <w:bCs/>
                <w:sz w:val="14"/>
                <w:szCs w:val="14"/>
              </w:rPr>
              <w:t xml:space="preserve"> 6457</w:t>
            </w:r>
          </w:p>
        </w:tc>
        <w:tc>
          <w:tcPr>
            <w:tcW w:w="1540" w:type="dxa"/>
            <w:tcBorders>
              <w:top w:val="single" w:sz="4" w:space="0" w:color="auto"/>
              <w:left w:val="nil"/>
              <w:bottom w:val="single" w:sz="4" w:space="0" w:color="auto"/>
              <w:right w:val="single" w:sz="4" w:space="0" w:color="auto"/>
            </w:tcBorders>
            <w:noWrap/>
            <w:vAlign w:val="bottom"/>
            <w:hideMark/>
          </w:tcPr>
          <w:p w14:paraId="606E5B4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6.746,01</w:t>
            </w:r>
          </w:p>
        </w:tc>
        <w:tc>
          <w:tcPr>
            <w:tcW w:w="1620" w:type="dxa"/>
            <w:tcBorders>
              <w:top w:val="single" w:sz="4" w:space="0" w:color="auto"/>
              <w:left w:val="nil"/>
              <w:bottom w:val="single" w:sz="4" w:space="0" w:color="auto"/>
              <w:right w:val="single" w:sz="4" w:space="0" w:color="auto"/>
            </w:tcBorders>
            <w:noWrap/>
            <w:vAlign w:val="bottom"/>
            <w:hideMark/>
          </w:tcPr>
          <w:p w14:paraId="04B0C18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3.500,00</w:t>
            </w:r>
          </w:p>
        </w:tc>
        <w:tc>
          <w:tcPr>
            <w:tcW w:w="1600" w:type="dxa"/>
            <w:tcBorders>
              <w:top w:val="single" w:sz="4" w:space="0" w:color="auto"/>
              <w:left w:val="nil"/>
              <w:bottom w:val="single" w:sz="4" w:space="0" w:color="auto"/>
              <w:right w:val="single" w:sz="4" w:space="0" w:color="auto"/>
            </w:tcBorders>
            <w:noWrap/>
            <w:vAlign w:val="bottom"/>
            <w:hideMark/>
          </w:tcPr>
          <w:p w14:paraId="0BFD593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3.500,00</w:t>
            </w:r>
          </w:p>
        </w:tc>
        <w:tc>
          <w:tcPr>
            <w:tcW w:w="1660" w:type="dxa"/>
            <w:tcBorders>
              <w:top w:val="single" w:sz="4" w:space="0" w:color="auto"/>
              <w:left w:val="nil"/>
              <w:bottom w:val="single" w:sz="4" w:space="0" w:color="auto"/>
              <w:right w:val="single" w:sz="4" w:space="0" w:color="auto"/>
            </w:tcBorders>
            <w:noWrap/>
            <w:vAlign w:val="bottom"/>
            <w:hideMark/>
          </w:tcPr>
          <w:p w14:paraId="115498E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2.946,65</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7579B9E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43,68%</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9DE3F7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84,19%</w:t>
            </w:r>
          </w:p>
        </w:tc>
      </w:tr>
    </w:tbl>
    <w:p w14:paraId="2ABB30FC" w14:textId="77777777" w:rsidR="00416D67" w:rsidRPr="00416D67" w:rsidRDefault="00416D67" w:rsidP="00416D67">
      <w:pPr>
        <w:jc w:val="both"/>
        <w:rPr>
          <w:b/>
        </w:rPr>
      </w:pPr>
    </w:p>
    <w:p w14:paraId="6A53024B" w14:textId="77777777" w:rsidR="00416D67" w:rsidRPr="00416D67" w:rsidRDefault="00416D67" w:rsidP="00416D67">
      <w:pPr>
        <w:jc w:val="both"/>
        <w:rPr>
          <w:b/>
        </w:rPr>
      </w:pPr>
    </w:p>
    <w:p w14:paraId="0D8BF3C8" w14:textId="77777777" w:rsidR="00416D67" w:rsidRPr="00416D67" w:rsidRDefault="00416D67" w:rsidP="00416D67">
      <w:pPr>
        <w:jc w:val="both"/>
        <w:rPr>
          <w:b/>
        </w:rPr>
      </w:pPr>
    </w:p>
    <w:p w14:paraId="4D13EEC9" w14:textId="77777777" w:rsidR="00416D67" w:rsidRPr="00416D67" w:rsidRDefault="00416D67" w:rsidP="00416D67">
      <w:pPr>
        <w:jc w:val="both"/>
        <w:rPr>
          <w:b/>
        </w:rPr>
      </w:pPr>
      <w:r w:rsidRPr="00416D67">
        <w:rPr>
          <w:b/>
        </w:rPr>
        <w:t>Rashodi prema izvorima financiranja</w:t>
      </w:r>
    </w:p>
    <w:tbl>
      <w:tblPr>
        <w:tblW w:w="15200" w:type="dxa"/>
        <w:tblInd w:w="93" w:type="dxa"/>
        <w:tblLook w:val="04A0" w:firstRow="1" w:lastRow="0" w:firstColumn="1" w:lastColumn="0" w:noHBand="0" w:noVBand="1"/>
      </w:tblPr>
      <w:tblGrid>
        <w:gridCol w:w="6800"/>
        <w:gridCol w:w="1540"/>
        <w:gridCol w:w="1620"/>
        <w:gridCol w:w="1600"/>
        <w:gridCol w:w="1660"/>
        <w:gridCol w:w="1020"/>
        <w:gridCol w:w="960"/>
      </w:tblGrid>
      <w:tr w:rsidR="00416D67" w:rsidRPr="00416D67" w14:paraId="5C814CAE" w14:textId="77777777" w:rsidTr="00BB1392">
        <w:trPr>
          <w:trHeight w:val="720"/>
        </w:trPr>
        <w:tc>
          <w:tcPr>
            <w:tcW w:w="68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10BC7887"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 xml:space="preserve">Rashodi  prema izvorima financiranja </w:t>
            </w:r>
          </w:p>
        </w:tc>
        <w:tc>
          <w:tcPr>
            <w:tcW w:w="1540" w:type="dxa"/>
            <w:tcBorders>
              <w:top w:val="single" w:sz="4" w:space="0" w:color="auto"/>
              <w:left w:val="nil"/>
              <w:bottom w:val="single" w:sz="4" w:space="0" w:color="auto"/>
              <w:right w:val="single" w:sz="4" w:space="0" w:color="auto"/>
            </w:tcBorders>
            <w:shd w:val="clear" w:color="000000" w:fill="C0C0C0"/>
            <w:vAlign w:val="center"/>
            <w:hideMark/>
          </w:tcPr>
          <w:p w14:paraId="29688EEA"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2024. godina</w:t>
            </w:r>
          </w:p>
        </w:tc>
        <w:tc>
          <w:tcPr>
            <w:tcW w:w="1620" w:type="dxa"/>
            <w:tcBorders>
              <w:top w:val="single" w:sz="4" w:space="0" w:color="auto"/>
              <w:left w:val="nil"/>
              <w:bottom w:val="single" w:sz="4" w:space="0" w:color="auto"/>
              <w:right w:val="single" w:sz="4" w:space="0" w:color="auto"/>
            </w:tcBorders>
            <w:shd w:val="clear" w:color="000000" w:fill="C0C0C0"/>
            <w:vAlign w:val="center"/>
            <w:hideMark/>
          </w:tcPr>
          <w:p w14:paraId="2B3F5F81"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600" w:type="dxa"/>
            <w:tcBorders>
              <w:top w:val="single" w:sz="4" w:space="0" w:color="auto"/>
              <w:left w:val="nil"/>
              <w:bottom w:val="single" w:sz="4" w:space="0" w:color="auto"/>
              <w:right w:val="single" w:sz="4" w:space="0" w:color="auto"/>
            </w:tcBorders>
            <w:shd w:val="clear" w:color="000000" w:fill="C0C0C0"/>
            <w:vAlign w:val="center"/>
            <w:hideMark/>
          </w:tcPr>
          <w:p w14:paraId="393FB00E"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660" w:type="dxa"/>
            <w:tcBorders>
              <w:top w:val="single" w:sz="4" w:space="0" w:color="auto"/>
              <w:left w:val="nil"/>
              <w:bottom w:val="single" w:sz="4" w:space="0" w:color="auto"/>
              <w:right w:val="single" w:sz="4" w:space="0" w:color="auto"/>
            </w:tcBorders>
            <w:shd w:val="clear" w:color="000000" w:fill="C0C0C0"/>
            <w:vAlign w:val="center"/>
            <w:hideMark/>
          </w:tcPr>
          <w:p w14:paraId="5B51DAE8"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102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6E47DD9B"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4/1</w:t>
            </w:r>
          </w:p>
        </w:tc>
        <w:tc>
          <w:tcPr>
            <w:tcW w:w="96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560D6FA7"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4/3</w:t>
            </w:r>
          </w:p>
        </w:tc>
      </w:tr>
      <w:tr w:rsidR="00416D67" w:rsidRPr="00416D67" w14:paraId="42338532"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767A871"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 xml:space="preserve"> </w:t>
            </w:r>
          </w:p>
        </w:tc>
        <w:tc>
          <w:tcPr>
            <w:tcW w:w="1540" w:type="dxa"/>
            <w:tcBorders>
              <w:top w:val="single" w:sz="4" w:space="0" w:color="auto"/>
              <w:left w:val="nil"/>
              <w:bottom w:val="single" w:sz="4" w:space="0" w:color="auto"/>
              <w:right w:val="single" w:sz="4" w:space="0" w:color="auto"/>
            </w:tcBorders>
            <w:shd w:val="clear" w:color="000000" w:fill="C0C0C0"/>
            <w:noWrap/>
            <w:vAlign w:val="bottom"/>
            <w:hideMark/>
          </w:tcPr>
          <w:p w14:paraId="0EB5F336"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1</w:t>
            </w:r>
          </w:p>
        </w:tc>
        <w:tc>
          <w:tcPr>
            <w:tcW w:w="1620" w:type="dxa"/>
            <w:tcBorders>
              <w:top w:val="single" w:sz="4" w:space="0" w:color="auto"/>
              <w:left w:val="nil"/>
              <w:bottom w:val="single" w:sz="4" w:space="0" w:color="auto"/>
              <w:right w:val="single" w:sz="4" w:space="0" w:color="auto"/>
            </w:tcBorders>
            <w:shd w:val="clear" w:color="000000" w:fill="C0C0C0"/>
            <w:noWrap/>
            <w:vAlign w:val="bottom"/>
            <w:hideMark/>
          </w:tcPr>
          <w:p w14:paraId="75401144"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2</w:t>
            </w:r>
          </w:p>
        </w:tc>
        <w:tc>
          <w:tcPr>
            <w:tcW w:w="1600" w:type="dxa"/>
            <w:tcBorders>
              <w:top w:val="single" w:sz="4" w:space="0" w:color="auto"/>
              <w:left w:val="nil"/>
              <w:bottom w:val="single" w:sz="4" w:space="0" w:color="auto"/>
              <w:right w:val="single" w:sz="4" w:space="0" w:color="auto"/>
            </w:tcBorders>
            <w:shd w:val="clear" w:color="000000" w:fill="C0C0C0"/>
            <w:noWrap/>
            <w:vAlign w:val="bottom"/>
            <w:hideMark/>
          </w:tcPr>
          <w:p w14:paraId="35E355D0"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3</w:t>
            </w:r>
          </w:p>
        </w:tc>
        <w:tc>
          <w:tcPr>
            <w:tcW w:w="1660" w:type="dxa"/>
            <w:tcBorders>
              <w:top w:val="single" w:sz="4" w:space="0" w:color="auto"/>
              <w:left w:val="nil"/>
              <w:bottom w:val="single" w:sz="4" w:space="0" w:color="auto"/>
              <w:right w:val="single" w:sz="4" w:space="0" w:color="auto"/>
            </w:tcBorders>
            <w:shd w:val="clear" w:color="000000" w:fill="C0C0C0"/>
            <w:noWrap/>
            <w:vAlign w:val="bottom"/>
            <w:hideMark/>
          </w:tcPr>
          <w:p w14:paraId="6D5FECFE"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4</w:t>
            </w:r>
          </w:p>
        </w:tc>
        <w:tc>
          <w:tcPr>
            <w:tcW w:w="102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413C3B6"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5</w:t>
            </w:r>
          </w:p>
        </w:tc>
        <w:tc>
          <w:tcPr>
            <w:tcW w:w="96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5547E546"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6</w:t>
            </w:r>
          </w:p>
        </w:tc>
      </w:tr>
      <w:tr w:rsidR="00416D67" w:rsidRPr="00416D67" w14:paraId="4DD04BFF"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4D89B60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 SVEUKUPNI RASHODI</w:t>
            </w:r>
          </w:p>
        </w:tc>
        <w:tc>
          <w:tcPr>
            <w:tcW w:w="1540" w:type="dxa"/>
            <w:tcBorders>
              <w:top w:val="single" w:sz="4" w:space="0" w:color="auto"/>
              <w:left w:val="nil"/>
              <w:bottom w:val="single" w:sz="4" w:space="0" w:color="auto"/>
              <w:right w:val="single" w:sz="4" w:space="0" w:color="auto"/>
            </w:tcBorders>
            <w:noWrap/>
            <w:vAlign w:val="bottom"/>
            <w:hideMark/>
          </w:tcPr>
          <w:p w14:paraId="3719868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5.250.264,10</w:t>
            </w:r>
          </w:p>
        </w:tc>
        <w:tc>
          <w:tcPr>
            <w:tcW w:w="1620" w:type="dxa"/>
            <w:tcBorders>
              <w:top w:val="single" w:sz="4" w:space="0" w:color="auto"/>
              <w:left w:val="nil"/>
              <w:bottom w:val="single" w:sz="4" w:space="0" w:color="auto"/>
              <w:right w:val="single" w:sz="4" w:space="0" w:color="auto"/>
            </w:tcBorders>
            <w:noWrap/>
            <w:vAlign w:val="bottom"/>
            <w:hideMark/>
          </w:tcPr>
          <w:p w14:paraId="694AF4A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8.896.596,24</w:t>
            </w:r>
          </w:p>
        </w:tc>
        <w:tc>
          <w:tcPr>
            <w:tcW w:w="1600" w:type="dxa"/>
            <w:tcBorders>
              <w:top w:val="single" w:sz="4" w:space="0" w:color="auto"/>
              <w:left w:val="nil"/>
              <w:bottom w:val="single" w:sz="4" w:space="0" w:color="auto"/>
              <w:right w:val="single" w:sz="4" w:space="0" w:color="auto"/>
            </w:tcBorders>
            <w:noWrap/>
            <w:vAlign w:val="bottom"/>
            <w:hideMark/>
          </w:tcPr>
          <w:p w14:paraId="7B97D3E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8.896.596,24</w:t>
            </w:r>
          </w:p>
        </w:tc>
        <w:tc>
          <w:tcPr>
            <w:tcW w:w="1660" w:type="dxa"/>
            <w:tcBorders>
              <w:top w:val="single" w:sz="4" w:space="0" w:color="auto"/>
              <w:left w:val="nil"/>
              <w:bottom w:val="single" w:sz="4" w:space="0" w:color="auto"/>
              <w:right w:val="single" w:sz="4" w:space="0" w:color="auto"/>
            </w:tcBorders>
            <w:noWrap/>
            <w:vAlign w:val="bottom"/>
            <w:hideMark/>
          </w:tcPr>
          <w:p w14:paraId="0AA911B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6.587.292,79</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1319A0B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121,14%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937D41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71,49%</w:t>
            </w:r>
          </w:p>
        </w:tc>
      </w:tr>
      <w:tr w:rsidR="00416D67" w:rsidRPr="00416D67" w14:paraId="3CC71F31"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B00671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1. Opći prihodi i primici</w:t>
            </w:r>
          </w:p>
        </w:tc>
        <w:tc>
          <w:tcPr>
            <w:tcW w:w="1540" w:type="dxa"/>
            <w:tcBorders>
              <w:top w:val="single" w:sz="4" w:space="0" w:color="auto"/>
              <w:left w:val="nil"/>
              <w:bottom w:val="single" w:sz="4" w:space="0" w:color="auto"/>
              <w:right w:val="single" w:sz="4" w:space="0" w:color="auto"/>
            </w:tcBorders>
            <w:shd w:val="clear" w:color="000000" w:fill="FFFF00"/>
            <w:noWrap/>
            <w:vAlign w:val="bottom"/>
            <w:hideMark/>
          </w:tcPr>
          <w:p w14:paraId="697F444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3.069.305,49</w:t>
            </w:r>
          </w:p>
        </w:tc>
        <w:tc>
          <w:tcPr>
            <w:tcW w:w="1620" w:type="dxa"/>
            <w:tcBorders>
              <w:top w:val="single" w:sz="4" w:space="0" w:color="auto"/>
              <w:left w:val="nil"/>
              <w:bottom w:val="single" w:sz="4" w:space="0" w:color="auto"/>
              <w:right w:val="single" w:sz="4" w:space="0" w:color="auto"/>
            </w:tcBorders>
            <w:shd w:val="clear" w:color="000000" w:fill="FFFF00"/>
            <w:noWrap/>
            <w:vAlign w:val="bottom"/>
            <w:hideMark/>
          </w:tcPr>
          <w:p w14:paraId="526A513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3.883.017,09</w:t>
            </w:r>
          </w:p>
        </w:tc>
        <w:tc>
          <w:tcPr>
            <w:tcW w:w="1600" w:type="dxa"/>
            <w:tcBorders>
              <w:top w:val="single" w:sz="4" w:space="0" w:color="auto"/>
              <w:left w:val="nil"/>
              <w:bottom w:val="single" w:sz="4" w:space="0" w:color="auto"/>
              <w:right w:val="single" w:sz="4" w:space="0" w:color="auto"/>
            </w:tcBorders>
            <w:shd w:val="clear" w:color="000000" w:fill="FFFF00"/>
            <w:noWrap/>
            <w:vAlign w:val="bottom"/>
            <w:hideMark/>
          </w:tcPr>
          <w:p w14:paraId="53BAC8D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3.883.017,09</w:t>
            </w:r>
          </w:p>
        </w:tc>
        <w:tc>
          <w:tcPr>
            <w:tcW w:w="1660" w:type="dxa"/>
            <w:tcBorders>
              <w:top w:val="single" w:sz="4" w:space="0" w:color="auto"/>
              <w:left w:val="nil"/>
              <w:bottom w:val="single" w:sz="4" w:space="0" w:color="auto"/>
              <w:right w:val="single" w:sz="4" w:space="0" w:color="auto"/>
            </w:tcBorders>
            <w:shd w:val="clear" w:color="000000" w:fill="FFFF00"/>
            <w:noWrap/>
            <w:vAlign w:val="bottom"/>
            <w:hideMark/>
          </w:tcPr>
          <w:p w14:paraId="3FB8488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3.322.345,06</w:t>
            </w:r>
          </w:p>
        </w:tc>
        <w:tc>
          <w:tcPr>
            <w:tcW w:w="10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BC3747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105,36%</w:t>
            </w:r>
          </w:p>
        </w:tc>
        <w:tc>
          <w:tcPr>
            <w:tcW w:w="9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4585BD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83,28%</w:t>
            </w:r>
          </w:p>
        </w:tc>
      </w:tr>
      <w:tr w:rsidR="00416D67" w:rsidRPr="00416D67" w14:paraId="421297DF"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3E04727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1.1. 01 Opći prihodi i primici</w:t>
            </w:r>
          </w:p>
        </w:tc>
        <w:tc>
          <w:tcPr>
            <w:tcW w:w="1540" w:type="dxa"/>
            <w:tcBorders>
              <w:top w:val="single" w:sz="4" w:space="0" w:color="auto"/>
              <w:left w:val="nil"/>
              <w:bottom w:val="single" w:sz="4" w:space="0" w:color="auto"/>
              <w:right w:val="single" w:sz="4" w:space="0" w:color="auto"/>
            </w:tcBorders>
            <w:noWrap/>
            <w:vAlign w:val="bottom"/>
            <w:hideMark/>
          </w:tcPr>
          <w:p w14:paraId="4BA82D0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3.069.305,49</w:t>
            </w:r>
          </w:p>
        </w:tc>
        <w:tc>
          <w:tcPr>
            <w:tcW w:w="1620" w:type="dxa"/>
            <w:tcBorders>
              <w:top w:val="single" w:sz="4" w:space="0" w:color="auto"/>
              <w:left w:val="nil"/>
              <w:bottom w:val="single" w:sz="4" w:space="0" w:color="auto"/>
              <w:right w:val="single" w:sz="4" w:space="0" w:color="auto"/>
            </w:tcBorders>
            <w:noWrap/>
            <w:vAlign w:val="bottom"/>
            <w:hideMark/>
          </w:tcPr>
          <w:p w14:paraId="0DD336D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3.883.017,09</w:t>
            </w:r>
          </w:p>
        </w:tc>
        <w:tc>
          <w:tcPr>
            <w:tcW w:w="1600" w:type="dxa"/>
            <w:tcBorders>
              <w:top w:val="single" w:sz="4" w:space="0" w:color="auto"/>
              <w:left w:val="nil"/>
              <w:bottom w:val="single" w:sz="4" w:space="0" w:color="auto"/>
              <w:right w:val="single" w:sz="4" w:space="0" w:color="auto"/>
            </w:tcBorders>
            <w:noWrap/>
            <w:vAlign w:val="bottom"/>
            <w:hideMark/>
          </w:tcPr>
          <w:p w14:paraId="7AEA8CE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3.883.017,09</w:t>
            </w:r>
          </w:p>
        </w:tc>
        <w:tc>
          <w:tcPr>
            <w:tcW w:w="1660" w:type="dxa"/>
            <w:tcBorders>
              <w:top w:val="single" w:sz="4" w:space="0" w:color="auto"/>
              <w:left w:val="nil"/>
              <w:bottom w:val="single" w:sz="4" w:space="0" w:color="auto"/>
              <w:right w:val="single" w:sz="4" w:space="0" w:color="auto"/>
            </w:tcBorders>
            <w:noWrap/>
            <w:vAlign w:val="bottom"/>
            <w:hideMark/>
          </w:tcPr>
          <w:p w14:paraId="132D1EE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3.290.728,51</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4506CCB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105,36%</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0E7A78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83,28%</w:t>
            </w:r>
          </w:p>
        </w:tc>
      </w:tr>
      <w:tr w:rsidR="00416D67" w:rsidRPr="00416D67" w14:paraId="0F86C985"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5E5917D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1.1.3 Porez ustupljeni dio za vatrogasne postrojbe</w:t>
            </w:r>
          </w:p>
        </w:tc>
        <w:tc>
          <w:tcPr>
            <w:tcW w:w="1540" w:type="dxa"/>
            <w:tcBorders>
              <w:top w:val="single" w:sz="4" w:space="0" w:color="auto"/>
              <w:left w:val="nil"/>
              <w:bottom w:val="single" w:sz="4" w:space="0" w:color="auto"/>
              <w:right w:val="single" w:sz="4" w:space="0" w:color="auto"/>
            </w:tcBorders>
            <w:noWrap/>
            <w:vAlign w:val="bottom"/>
            <w:hideMark/>
          </w:tcPr>
          <w:p w14:paraId="1AF42DB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620" w:type="dxa"/>
            <w:tcBorders>
              <w:top w:val="single" w:sz="4" w:space="0" w:color="auto"/>
              <w:left w:val="nil"/>
              <w:bottom w:val="single" w:sz="4" w:space="0" w:color="auto"/>
              <w:right w:val="single" w:sz="4" w:space="0" w:color="auto"/>
            </w:tcBorders>
            <w:noWrap/>
            <w:vAlign w:val="bottom"/>
            <w:hideMark/>
          </w:tcPr>
          <w:p w14:paraId="248A3EB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37.500,00</w:t>
            </w:r>
          </w:p>
        </w:tc>
        <w:tc>
          <w:tcPr>
            <w:tcW w:w="1600" w:type="dxa"/>
            <w:tcBorders>
              <w:top w:val="single" w:sz="4" w:space="0" w:color="auto"/>
              <w:left w:val="nil"/>
              <w:bottom w:val="single" w:sz="4" w:space="0" w:color="auto"/>
              <w:right w:val="single" w:sz="4" w:space="0" w:color="auto"/>
            </w:tcBorders>
            <w:noWrap/>
            <w:vAlign w:val="bottom"/>
            <w:hideMark/>
          </w:tcPr>
          <w:p w14:paraId="6695A52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37.500,00</w:t>
            </w:r>
          </w:p>
        </w:tc>
        <w:tc>
          <w:tcPr>
            <w:tcW w:w="1660" w:type="dxa"/>
            <w:tcBorders>
              <w:top w:val="single" w:sz="4" w:space="0" w:color="auto"/>
              <w:left w:val="nil"/>
              <w:bottom w:val="single" w:sz="4" w:space="0" w:color="auto"/>
              <w:right w:val="single" w:sz="4" w:space="0" w:color="auto"/>
            </w:tcBorders>
            <w:noWrap/>
            <w:vAlign w:val="bottom"/>
            <w:hideMark/>
          </w:tcPr>
          <w:p w14:paraId="15EE013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31.616,55</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66B092D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EFDF40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20509F30"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0EDB02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3. Vlastiti prihodi</w:t>
            </w:r>
          </w:p>
        </w:tc>
        <w:tc>
          <w:tcPr>
            <w:tcW w:w="1540" w:type="dxa"/>
            <w:tcBorders>
              <w:top w:val="single" w:sz="4" w:space="0" w:color="auto"/>
              <w:left w:val="nil"/>
              <w:bottom w:val="single" w:sz="4" w:space="0" w:color="auto"/>
              <w:right w:val="single" w:sz="4" w:space="0" w:color="auto"/>
            </w:tcBorders>
            <w:shd w:val="clear" w:color="000000" w:fill="FFFF00"/>
            <w:noWrap/>
            <w:vAlign w:val="bottom"/>
            <w:hideMark/>
          </w:tcPr>
          <w:p w14:paraId="798BDB4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41.992,50</w:t>
            </w:r>
          </w:p>
        </w:tc>
        <w:tc>
          <w:tcPr>
            <w:tcW w:w="1620" w:type="dxa"/>
            <w:tcBorders>
              <w:top w:val="single" w:sz="4" w:space="0" w:color="auto"/>
              <w:left w:val="nil"/>
              <w:bottom w:val="single" w:sz="4" w:space="0" w:color="auto"/>
              <w:right w:val="single" w:sz="4" w:space="0" w:color="auto"/>
            </w:tcBorders>
            <w:shd w:val="clear" w:color="000000" w:fill="FFFF00"/>
            <w:noWrap/>
            <w:vAlign w:val="bottom"/>
            <w:hideMark/>
          </w:tcPr>
          <w:p w14:paraId="0567159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43.830,20</w:t>
            </w:r>
          </w:p>
        </w:tc>
        <w:tc>
          <w:tcPr>
            <w:tcW w:w="1600" w:type="dxa"/>
            <w:tcBorders>
              <w:top w:val="single" w:sz="4" w:space="0" w:color="auto"/>
              <w:left w:val="nil"/>
              <w:bottom w:val="single" w:sz="4" w:space="0" w:color="auto"/>
              <w:right w:val="single" w:sz="4" w:space="0" w:color="auto"/>
            </w:tcBorders>
            <w:shd w:val="clear" w:color="000000" w:fill="FFFF00"/>
            <w:noWrap/>
            <w:vAlign w:val="bottom"/>
            <w:hideMark/>
          </w:tcPr>
          <w:p w14:paraId="5EB43F0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43.830,20</w:t>
            </w:r>
          </w:p>
        </w:tc>
        <w:tc>
          <w:tcPr>
            <w:tcW w:w="1660" w:type="dxa"/>
            <w:tcBorders>
              <w:top w:val="single" w:sz="4" w:space="0" w:color="auto"/>
              <w:left w:val="nil"/>
              <w:bottom w:val="single" w:sz="4" w:space="0" w:color="auto"/>
              <w:right w:val="single" w:sz="4" w:space="0" w:color="auto"/>
            </w:tcBorders>
            <w:shd w:val="clear" w:color="000000" w:fill="FFFF00"/>
            <w:noWrap/>
            <w:vAlign w:val="bottom"/>
            <w:hideMark/>
          </w:tcPr>
          <w:p w14:paraId="43E4104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42.174,92</w:t>
            </w:r>
          </w:p>
        </w:tc>
        <w:tc>
          <w:tcPr>
            <w:tcW w:w="10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F51F20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100,43%</w:t>
            </w:r>
          </w:p>
        </w:tc>
        <w:tc>
          <w:tcPr>
            <w:tcW w:w="9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5BEB5C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96,22%</w:t>
            </w:r>
          </w:p>
        </w:tc>
      </w:tr>
      <w:tr w:rsidR="00416D67" w:rsidRPr="00416D67" w14:paraId="413A07F6"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4FF7ACA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3.1. 03 Vlastiti prihodi</w:t>
            </w:r>
          </w:p>
        </w:tc>
        <w:tc>
          <w:tcPr>
            <w:tcW w:w="1540" w:type="dxa"/>
            <w:tcBorders>
              <w:top w:val="single" w:sz="4" w:space="0" w:color="auto"/>
              <w:left w:val="nil"/>
              <w:bottom w:val="single" w:sz="4" w:space="0" w:color="auto"/>
              <w:right w:val="single" w:sz="4" w:space="0" w:color="auto"/>
            </w:tcBorders>
            <w:noWrap/>
            <w:vAlign w:val="bottom"/>
            <w:hideMark/>
          </w:tcPr>
          <w:p w14:paraId="6BA6A58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13.175,67</w:t>
            </w:r>
          </w:p>
        </w:tc>
        <w:tc>
          <w:tcPr>
            <w:tcW w:w="1620" w:type="dxa"/>
            <w:tcBorders>
              <w:top w:val="single" w:sz="4" w:space="0" w:color="auto"/>
              <w:left w:val="nil"/>
              <w:bottom w:val="single" w:sz="4" w:space="0" w:color="auto"/>
              <w:right w:val="single" w:sz="4" w:space="0" w:color="auto"/>
            </w:tcBorders>
            <w:noWrap/>
            <w:vAlign w:val="bottom"/>
            <w:hideMark/>
          </w:tcPr>
          <w:p w14:paraId="732934B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15.830,20</w:t>
            </w:r>
          </w:p>
        </w:tc>
        <w:tc>
          <w:tcPr>
            <w:tcW w:w="1600" w:type="dxa"/>
            <w:tcBorders>
              <w:top w:val="single" w:sz="4" w:space="0" w:color="auto"/>
              <w:left w:val="nil"/>
              <w:bottom w:val="single" w:sz="4" w:space="0" w:color="auto"/>
              <w:right w:val="single" w:sz="4" w:space="0" w:color="auto"/>
            </w:tcBorders>
            <w:noWrap/>
            <w:vAlign w:val="bottom"/>
            <w:hideMark/>
          </w:tcPr>
          <w:p w14:paraId="0ED80FF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15.830,20</w:t>
            </w:r>
          </w:p>
        </w:tc>
        <w:tc>
          <w:tcPr>
            <w:tcW w:w="1660" w:type="dxa"/>
            <w:tcBorders>
              <w:top w:val="single" w:sz="4" w:space="0" w:color="auto"/>
              <w:left w:val="nil"/>
              <w:bottom w:val="single" w:sz="4" w:space="0" w:color="auto"/>
              <w:right w:val="single" w:sz="4" w:space="0" w:color="auto"/>
            </w:tcBorders>
            <w:noWrap/>
            <w:vAlign w:val="bottom"/>
            <w:hideMark/>
          </w:tcPr>
          <w:p w14:paraId="11E88B1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14.770,52</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212B979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112,10%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06441B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93,31%</w:t>
            </w:r>
          </w:p>
        </w:tc>
      </w:tr>
      <w:tr w:rsidR="00416D67" w:rsidRPr="00416D67" w14:paraId="4A34DE22"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6A50333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3.4. Vlastiti prihodi PK</w:t>
            </w:r>
          </w:p>
        </w:tc>
        <w:tc>
          <w:tcPr>
            <w:tcW w:w="1540" w:type="dxa"/>
            <w:tcBorders>
              <w:top w:val="single" w:sz="4" w:space="0" w:color="auto"/>
              <w:left w:val="nil"/>
              <w:bottom w:val="single" w:sz="4" w:space="0" w:color="auto"/>
              <w:right w:val="single" w:sz="4" w:space="0" w:color="auto"/>
            </w:tcBorders>
            <w:noWrap/>
            <w:vAlign w:val="bottom"/>
            <w:hideMark/>
          </w:tcPr>
          <w:p w14:paraId="21C9D6C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28.816,83</w:t>
            </w:r>
          </w:p>
        </w:tc>
        <w:tc>
          <w:tcPr>
            <w:tcW w:w="1620" w:type="dxa"/>
            <w:tcBorders>
              <w:top w:val="single" w:sz="4" w:space="0" w:color="auto"/>
              <w:left w:val="nil"/>
              <w:bottom w:val="single" w:sz="4" w:space="0" w:color="auto"/>
              <w:right w:val="single" w:sz="4" w:space="0" w:color="auto"/>
            </w:tcBorders>
            <w:noWrap/>
            <w:vAlign w:val="bottom"/>
            <w:hideMark/>
          </w:tcPr>
          <w:p w14:paraId="5741EF5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28.000,00</w:t>
            </w:r>
          </w:p>
        </w:tc>
        <w:tc>
          <w:tcPr>
            <w:tcW w:w="1600" w:type="dxa"/>
            <w:tcBorders>
              <w:top w:val="single" w:sz="4" w:space="0" w:color="auto"/>
              <w:left w:val="nil"/>
              <w:bottom w:val="single" w:sz="4" w:space="0" w:color="auto"/>
              <w:right w:val="single" w:sz="4" w:space="0" w:color="auto"/>
            </w:tcBorders>
            <w:noWrap/>
            <w:vAlign w:val="bottom"/>
            <w:hideMark/>
          </w:tcPr>
          <w:p w14:paraId="1788461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28.000,00</w:t>
            </w:r>
          </w:p>
        </w:tc>
        <w:tc>
          <w:tcPr>
            <w:tcW w:w="1660" w:type="dxa"/>
            <w:tcBorders>
              <w:top w:val="single" w:sz="4" w:space="0" w:color="auto"/>
              <w:left w:val="nil"/>
              <w:bottom w:val="single" w:sz="4" w:space="0" w:color="auto"/>
              <w:right w:val="single" w:sz="4" w:space="0" w:color="auto"/>
            </w:tcBorders>
            <w:noWrap/>
            <w:vAlign w:val="bottom"/>
            <w:hideMark/>
          </w:tcPr>
          <w:p w14:paraId="61F56D2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27.404,40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1F69E6C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95,10%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CC7708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97,87%</w:t>
            </w:r>
          </w:p>
        </w:tc>
      </w:tr>
    </w:tbl>
    <w:p w14:paraId="693A9830" w14:textId="77777777" w:rsidR="00416D67" w:rsidRPr="00416D67" w:rsidRDefault="00416D67" w:rsidP="00416D67">
      <w:pPr>
        <w:jc w:val="both"/>
        <w:rPr>
          <w:b/>
        </w:rPr>
      </w:pPr>
    </w:p>
    <w:tbl>
      <w:tblPr>
        <w:tblW w:w="15200" w:type="dxa"/>
        <w:tblInd w:w="93" w:type="dxa"/>
        <w:tblLook w:val="04A0" w:firstRow="1" w:lastRow="0" w:firstColumn="1" w:lastColumn="0" w:noHBand="0" w:noVBand="1"/>
      </w:tblPr>
      <w:tblGrid>
        <w:gridCol w:w="6800"/>
        <w:gridCol w:w="1540"/>
        <w:gridCol w:w="1620"/>
        <w:gridCol w:w="1600"/>
        <w:gridCol w:w="1660"/>
        <w:gridCol w:w="1020"/>
        <w:gridCol w:w="960"/>
      </w:tblGrid>
      <w:tr w:rsidR="00416D67" w:rsidRPr="00416D67" w14:paraId="6456D33D" w14:textId="77777777" w:rsidTr="00BB1392">
        <w:trPr>
          <w:trHeight w:val="720"/>
        </w:trPr>
        <w:tc>
          <w:tcPr>
            <w:tcW w:w="68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7ED617A"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lastRenderedPageBreak/>
              <w:t xml:space="preserve">Rashodi  prema izvorima financiranja </w:t>
            </w:r>
          </w:p>
        </w:tc>
        <w:tc>
          <w:tcPr>
            <w:tcW w:w="1540" w:type="dxa"/>
            <w:tcBorders>
              <w:top w:val="single" w:sz="4" w:space="0" w:color="auto"/>
              <w:left w:val="nil"/>
              <w:bottom w:val="single" w:sz="4" w:space="0" w:color="auto"/>
              <w:right w:val="single" w:sz="4" w:space="0" w:color="auto"/>
            </w:tcBorders>
            <w:shd w:val="clear" w:color="000000" w:fill="C0C0C0"/>
            <w:vAlign w:val="center"/>
            <w:hideMark/>
          </w:tcPr>
          <w:p w14:paraId="38C13859"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2024. godina</w:t>
            </w:r>
          </w:p>
        </w:tc>
        <w:tc>
          <w:tcPr>
            <w:tcW w:w="1620" w:type="dxa"/>
            <w:tcBorders>
              <w:top w:val="single" w:sz="4" w:space="0" w:color="auto"/>
              <w:left w:val="nil"/>
              <w:bottom w:val="single" w:sz="4" w:space="0" w:color="auto"/>
              <w:right w:val="single" w:sz="4" w:space="0" w:color="auto"/>
            </w:tcBorders>
            <w:shd w:val="clear" w:color="000000" w:fill="C0C0C0"/>
            <w:vAlign w:val="center"/>
            <w:hideMark/>
          </w:tcPr>
          <w:p w14:paraId="679B7C8E"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600" w:type="dxa"/>
            <w:tcBorders>
              <w:top w:val="single" w:sz="4" w:space="0" w:color="auto"/>
              <w:left w:val="nil"/>
              <w:bottom w:val="single" w:sz="4" w:space="0" w:color="auto"/>
              <w:right w:val="single" w:sz="4" w:space="0" w:color="auto"/>
            </w:tcBorders>
            <w:shd w:val="clear" w:color="000000" w:fill="C0C0C0"/>
            <w:vAlign w:val="center"/>
            <w:hideMark/>
          </w:tcPr>
          <w:p w14:paraId="530645B3"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660" w:type="dxa"/>
            <w:tcBorders>
              <w:top w:val="single" w:sz="4" w:space="0" w:color="auto"/>
              <w:left w:val="nil"/>
              <w:bottom w:val="single" w:sz="4" w:space="0" w:color="auto"/>
              <w:right w:val="single" w:sz="4" w:space="0" w:color="auto"/>
            </w:tcBorders>
            <w:shd w:val="clear" w:color="000000" w:fill="C0C0C0"/>
            <w:vAlign w:val="center"/>
            <w:hideMark/>
          </w:tcPr>
          <w:p w14:paraId="32ACD65E"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102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2BA8B508"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4/1</w:t>
            </w:r>
          </w:p>
        </w:tc>
        <w:tc>
          <w:tcPr>
            <w:tcW w:w="96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235C86E"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4/3</w:t>
            </w:r>
          </w:p>
        </w:tc>
      </w:tr>
      <w:tr w:rsidR="00416D67" w:rsidRPr="00416D67" w14:paraId="7835567D"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1F2BC9A"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 xml:space="preserve"> </w:t>
            </w:r>
          </w:p>
        </w:tc>
        <w:tc>
          <w:tcPr>
            <w:tcW w:w="1540" w:type="dxa"/>
            <w:tcBorders>
              <w:top w:val="single" w:sz="4" w:space="0" w:color="auto"/>
              <w:left w:val="nil"/>
              <w:bottom w:val="single" w:sz="4" w:space="0" w:color="auto"/>
              <w:right w:val="single" w:sz="4" w:space="0" w:color="auto"/>
            </w:tcBorders>
            <w:shd w:val="clear" w:color="000000" w:fill="C0C0C0"/>
            <w:noWrap/>
            <w:vAlign w:val="bottom"/>
            <w:hideMark/>
          </w:tcPr>
          <w:p w14:paraId="083A50F1"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1</w:t>
            </w:r>
          </w:p>
        </w:tc>
        <w:tc>
          <w:tcPr>
            <w:tcW w:w="1620" w:type="dxa"/>
            <w:tcBorders>
              <w:top w:val="single" w:sz="4" w:space="0" w:color="auto"/>
              <w:left w:val="nil"/>
              <w:bottom w:val="single" w:sz="4" w:space="0" w:color="auto"/>
              <w:right w:val="single" w:sz="4" w:space="0" w:color="auto"/>
            </w:tcBorders>
            <w:shd w:val="clear" w:color="000000" w:fill="C0C0C0"/>
            <w:noWrap/>
            <w:vAlign w:val="bottom"/>
            <w:hideMark/>
          </w:tcPr>
          <w:p w14:paraId="403FDDBB"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2</w:t>
            </w:r>
          </w:p>
        </w:tc>
        <w:tc>
          <w:tcPr>
            <w:tcW w:w="1600" w:type="dxa"/>
            <w:tcBorders>
              <w:top w:val="single" w:sz="4" w:space="0" w:color="auto"/>
              <w:left w:val="nil"/>
              <w:bottom w:val="single" w:sz="4" w:space="0" w:color="auto"/>
              <w:right w:val="single" w:sz="4" w:space="0" w:color="auto"/>
            </w:tcBorders>
            <w:shd w:val="clear" w:color="000000" w:fill="C0C0C0"/>
            <w:noWrap/>
            <w:vAlign w:val="bottom"/>
            <w:hideMark/>
          </w:tcPr>
          <w:p w14:paraId="6D2A20E7"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3</w:t>
            </w:r>
          </w:p>
        </w:tc>
        <w:tc>
          <w:tcPr>
            <w:tcW w:w="1660" w:type="dxa"/>
            <w:tcBorders>
              <w:top w:val="single" w:sz="4" w:space="0" w:color="auto"/>
              <w:left w:val="nil"/>
              <w:bottom w:val="single" w:sz="4" w:space="0" w:color="auto"/>
              <w:right w:val="single" w:sz="4" w:space="0" w:color="auto"/>
            </w:tcBorders>
            <w:shd w:val="clear" w:color="000000" w:fill="C0C0C0"/>
            <w:noWrap/>
            <w:vAlign w:val="bottom"/>
            <w:hideMark/>
          </w:tcPr>
          <w:p w14:paraId="043D332F"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4</w:t>
            </w:r>
          </w:p>
        </w:tc>
        <w:tc>
          <w:tcPr>
            <w:tcW w:w="102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AE14FE4"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5</w:t>
            </w:r>
          </w:p>
        </w:tc>
        <w:tc>
          <w:tcPr>
            <w:tcW w:w="96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0C2B20B"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6</w:t>
            </w:r>
          </w:p>
        </w:tc>
      </w:tr>
      <w:tr w:rsidR="00416D67" w:rsidRPr="00416D67" w14:paraId="56981098"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143FB6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4. Prihodi za posebne namjene</w:t>
            </w:r>
          </w:p>
        </w:tc>
        <w:tc>
          <w:tcPr>
            <w:tcW w:w="1540" w:type="dxa"/>
            <w:tcBorders>
              <w:top w:val="single" w:sz="4" w:space="0" w:color="auto"/>
              <w:left w:val="nil"/>
              <w:bottom w:val="single" w:sz="4" w:space="0" w:color="auto"/>
              <w:right w:val="single" w:sz="4" w:space="0" w:color="auto"/>
            </w:tcBorders>
            <w:shd w:val="clear" w:color="000000" w:fill="FFFF00"/>
            <w:noWrap/>
            <w:vAlign w:val="bottom"/>
            <w:hideMark/>
          </w:tcPr>
          <w:p w14:paraId="1810CAA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1.259.301,51</w:t>
            </w:r>
          </w:p>
        </w:tc>
        <w:tc>
          <w:tcPr>
            <w:tcW w:w="1620" w:type="dxa"/>
            <w:tcBorders>
              <w:top w:val="single" w:sz="4" w:space="0" w:color="auto"/>
              <w:left w:val="nil"/>
              <w:bottom w:val="single" w:sz="4" w:space="0" w:color="auto"/>
              <w:right w:val="single" w:sz="4" w:space="0" w:color="auto"/>
            </w:tcBorders>
            <w:shd w:val="clear" w:color="000000" w:fill="FFFF00"/>
            <w:noWrap/>
            <w:vAlign w:val="bottom"/>
            <w:hideMark/>
          </w:tcPr>
          <w:p w14:paraId="573C3F6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1.351.541,43</w:t>
            </w:r>
          </w:p>
        </w:tc>
        <w:tc>
          <w:tcPr>
            <w:tcW w:w="1600" w:type="dxa"/>
            <w:tcBorders>
              <w:top w:val="single" w:sz="4" w:space="0" w:color="auto"/>
              <w:left w:val="nil"/>
              <w:bottom w:val="single" w:sz="4" w:space="0" w:color="auto"/>
              <w:right w:val="single" w:sz="4" w:space="0" w:color="auto"/>
            </w:tcBorders>
            <w:shd w:val="clear" w:color="000000" w:fill="FFFF00"/>
            <w:noWrap/>
            <w:vAlign w:val="bottom"/>
            <w:hideMark/>
          </w:tcPr>
          <w:p w14:paraId="3D58B26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1.351.541,43</w:t>
            </w:r>
          </w:p>
        </w:tc>
        <w:tc>
          <w:tcPr>
            <w:tcW w:w="1660" w:type="dxa"/>
            <w:tcBorders>
              <w:top w:val="single" w:sz="4" w:space="0" w:color="auto"/>
              <w:left w:val="nil"/>
              <w:bottom w:val="single" w:sz="4" w:space="0" w:color="auto"/>
              <w:right w:val="single" w:sz="4" w:space="0" w:color="auto"/>
            </w:tcBorders>
            <w:shd w:val="clear" w:color="000000" w:fill="FFFF00"/>
            <w:noWrap/>
            <w:vAlign w:val="bottom"/>
            <w:hideMark/>
          </w:tcPr>
          <w:p w14:paraId="0EC1C3F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1.356.024,47</w:t>
            </w:r>
          </w:p>
        </w:tc>
        <w:tc>
          <w:tcPr>
            <w:tcW w:w="10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A86747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107,68%</w:t>
            </w:r>
          </w:p>
        </w:tc>
        <w:tc>
          <w:tcPr>
            <w:tcW w:w="9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32F3F3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100,33%</w:t>
            </w:r>
          </w:p>
        </w:tc>
      </w:tr>
      <w:tr w:rsidR="00416D67" w:rsidRPr="00416D67" w14:paraId="27C75539"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22C1703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4.1. Prihodi za posebne namjene komunalna naknada</w:t>
            </w:r>
          </w:p>
        </w:tc>
        <w:tc>
          <w:tcPr>
            <w:tcW w:w="1540" w:type="dxa"/>
            <w:tcBorders>
              <w:top w:val="single" w:sz="4" w:space="0" w:color="auto"/>
              <w:left w:val="nil"/>
              <w:bottom w:val="single" w:sz="4" w:space="0" w:color="auto"/>
              <w:right w:val="single" w:sz="4" w:space="0" w:color="auto"/>
            </w:tcBorders>
            <w:noWrap/>
            <w:vAlign w:val="bottom"/>
            <w:hideMark/>
          </w:tcPr>
          <w:p w14:paraId="71FB7F8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191.099,55</w:t>
            </w:r>
          </w:p>
        </w:tc>
        <w:tc>
          <w:tcPr>
            <w:tcW w:w="1620" w:type="dxa"/>
            <w:tcBorders>
              <w:top w:val="single" w:sz="4" w:space="0" w:color="auto"/>
              <w:left w:val="nil"/>
              <w:bottom w:val="single" w:sz="4" w:space="0" w:color="auto"/>
              <w:right w:val="single" w:sz="4" w:space="0" w:color="auto"/>
            </w:tcBorders>
            <w:noWrap/>
            <w:vAlign w:val="bottom"/>
            <w:hideMark/>
          </w:tcPr>
          <w:p w14:paraId="5858D7D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210.000,00</w:t>
            </w:r>
          </w:p>
        </w:tc>
        <w:tc>
          <w:tcPr>
            <w:tcW w:w="1600" w:type="dxa"/>
            <w:tcBorders>
              <w:top w:val="single" w:sz="4" w:space="0" w:color="auto"/>
              <w:left w:val="nil"/>
              <w:bottom w:val="single" w:sz="4" w:space="0" w:color="auto"/>
              <w:right w:val="single" w:sz="4" w:space="0" w:color="auto"/>
            </w:tcBorders>
            <w:noWrap/>
            <w:vAlign w:val="bottom"/>
            <w:hideMark/>
          </w:tcPr>
          <w:p w14:paraId="635DB6D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210.000,00</w:t>
            </w:r>
          </w:p>
        </w:tc>
        <w:tc>
          <w:tcPr>
            <w:tcW w:w="1660" w:type="dxa"/>
            <w:tcBorders>
              <w:top w:val="single" w:sz="4" w:space="0" w:color="auto"/>
              <w:left w:val="nil"/>
              <w:bottom w:val="single" w:sz="4" w:space="0" w:color="auto"/>
              <w:right w:val="single" w:sz="4" w:space="0" w:color="auto"/>
            </w:tcBorders>
            <w:noWrap/>
            <w:vAlign w:val="bottom"/>
            <w:hideMark/>
          </w:tcPr>
          <w:p w14:paraId="1D3B23A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195.690,03</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00D297B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102,40%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A12A16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93,19%</w:t>
            </w:r>
          </w:p>
        </w:tc>
      </w:tr>
      <w:tr w:rsidR="00416D67" w:rsidRPr="00416D67" w14:paraId="6DDE7591"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251D386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4.2. Prihodi za posebne namjene komunalni doprinos</w:t>
            </w:r>
          </w:p>
        </w:tc>
        <w:tc>
          <w:tcPr>
            <w:tcW w:w="1540" w:type="dxa"/>
            <w:tcBorders>
              <w:top w:val="single" w:sz="4" w:space="0" w:color="auto"/>
              <w:left w:val="nil"/>
              <w:bottom w:val="single" w:sz="4" w:space="0" w:color="auto"/>
              <w:right w:val="single" w:sz="4" w:space="0" w:color="auto"/>
            </w:tcBorders>
            <w:noWrap/>
            <w:vAlign w:val="bottom"/>
            <w:hideMark/>
          </w:tcPr>
          <w:p w14:paraId="6D09643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836.800,70</w:t>
            </w:r>
          </w:p>
        </w:tc>
        <w:tc>
          <w:tcPr>
            <w:tcW w:w="1620" w:type="dxa"/>
            <w:tcBorders>
              <w:top w:val="single" w:sz="4" w:space="0" w:color="auto"/>
              <w:left w:val="nil"/>
              <w:bottom w:val="single" w:sz="4" w:space="0" w:color="auto"/>
              <w:right w:val="single" w:sz="4" w:space="0" w:color="auto"/>
            </w:tcBorders>
            <w:noWrap/>
            <w:vAlign w:val="bottom"/>
            <w:hideMark/>
          </w:tcPr>
          <w:p w14:paraId="1C56EBF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850.000,00</w:t>
            </w:r>
          </w:p>
        </w:tc>
        <w:tc>
          <w:tcPr>
            <w:tcW w:w="1600" w:type="dxa"/>
            <w:tcBorders>
              <w:top w:val="single" w:sz="4" w:space="0" w:color="auto"/>
              <w:left w:val="nil"/>
              <w:bottom w:val="single" w:sz="4" w:space="0" w:color="auto"/>
              <w:right w:val="single" w:sz="4" w:space="0" w:color="auto"/>
            </w:tcBorders>
            <w:noWrap/>
            <w:vAlign w:val="bottom"/>
            <w:hideMark/>
          </w:tcPr>
          <w:p w14:paraId="4DA7FBC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850.000,00</w:t>
            </w:r>
          </w:p>
        </w:tc>
        <w:tc>
          <w:tcPr>
            <w:tcW w:w="1660" w:type="dxa"/>
            <w:tcBorders>
              <w:top w:val="single" w:sz="4" w:space="0" w:color="auto"/>
              <w:left w:val="nil"/>
              <w:bottom w:val="single" w:sz="4" w:space="0" w:color="auto"/>
              <w:right w:val="single" w:sz="4" w:space="0" w:color="auto"/>
            </w:tcBorders>
            <w:noWrap/>
            <w:vAlign w:val="bottom"/>
            <w:hideMark/>
          </w:tcPr>
          <w:p w14:paraId="407334A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892.583,16</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1EB87E7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106,67%</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6D8FFE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105,01%</w:t>
            </w:r>
          </w:p>
        </w:tc>
      </w:tr>
      <w:tr w:rsidR="00416D67" w:rsidRPr="00416D67" w14:paraId="06BB9B95"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0A51396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Izvor 4.3. Prihodi za </w:t>
            </w:r>
            <w:proofErr w:type="spellStart"/>
            <w:r w:rsidRPr="00416D67">
              <w:rPr>
                <w:rFonts w:ascii="Arial" w:hAnsi="Arial" w:cs="Arial"/>
                <w:b/>
                <w:bCs/>
                <w:sz w:val="14"/>
                <w:szCs w:val="14"/>
              </w:rPr>
              <w:t>pos.namjene</w:t>
            </w:r>
            <w:proofErr w:type="spellEnd"/>
            <w:r w:rsidRPr="00416D67">
              <w:rPr>
                <w:rFonts w:ascii="Arial" w:hAnsi="Arial" w:cs="Arial"/>
                <w:b/>
                <w:bCs/>
                <w:sz w:val="14"/>
                <w:szCs w:val="14"/>
              </w:rPr>
              <w:t xml:space="preserve"> ostali namjenski prihodi</w:t>
            </w:r>
          </w:p>
        </w:tc>
        <w:tc>
          <w:tcPr>
            <w:tcW w:w="1540" w:type="dxa"/>
            <w:tcBorders>
              <w:top w:val="single" w:sz="4" w:space="0" w:color="auto"/>
              <w:left w:val="nil"/>
              <w:bottom w:val="single" w:sz="4" w:space="0" w:color="auto"/>
              <w:right w:val="single" w:sz="4" w:space="0" w:color="auto"/>
            </w:tcBorders>
            <w:noWrap/>
            <w:vAlign w:val="bottom"/>
            <w:hideMark/>
          </w:tcPr>
          <w:p w14:paraId="69141CD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139.357,87</w:t>
            </w:r>
          </w:p>
        </w:tc>
        <w:tc>
          <w:tcPr>
            <w:tcW w:w="1620" w:type="dxa"/>
            <w:tcBorders>
              <w:top w:val="single" w:sz="4" w:space="0" w:color="auto"/>
              <w:left w:val="nil"/>
              <w:bottom w:val="single" w:sz="4" w:space="0" w:color="auto"/>
              <w:right w:val="single" w:sz="4" w:space="0" w:color="auto"/>
            </w:tcBorders>
            <w:noWrap/>
            <w:vAlign w:val="bottom"/>
            <w:hideMark/>
          </w:tcPr>
          <w:p w14:paraId="43A2C6E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182.822,40</w:t>
            </w:r>
          </w:p>
        </w:tc>
        <w:tc>
          <w:tcPr>
            <w:tcW w:w="1600" w:type="dxa"/>
            <w:tcBorders>
              <w:top w:val="single" w:sz="4" w:space="0" w:color="auto"/>
              <w:left w:val="nil"/>
              <w:bottom w:val="single" w:sz="4" w:space="0" w:color="auto"/>
              <w:right w:val="single" w:sz="4" w:space="0" w:color="auto"/>
            </w:tcBorders>
            <w:noWrap/>
            <w:vAlign w:val="bottom"/>
            <w:hideMark/>
          </w:tcPr>
          <w:p w14:paraId="56B4AC1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182.822,40</w:t>
            </w:r>
          </w:p>
        </w:tc>
        <w:tc>
          <w:tcPr>
            <w:tcW w:w="1660" w:type="dxa"/>
            <w:tcBorders>
              <w:top w:val="single" w:sz="4" w:space="0" w:color="auto"/>
              <w:left w:val="nil"/>
              <w:bottom w:val="single" w:sz="4" w:space="0" w:color="auto"/>
              <w:right w:val="single" w:sz="4" w:space="0" w:color="auto"/>
            </w:tcBorders>
            <w:noWrap/>
            <w:vAlign w:val="bottom"/>
            <w:hideMark/>
          </w:tcPr>
          <w:p w14:paraId="6C3A959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161.853,46</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1E8AAF2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96D720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3ABBFBE6"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664C6956" w14:textId="77777777" w:rsidR="00416D67" w:rsidRPr="00416D67" w:rsidRDefault="00416D67" w:rsidP="00416D67">
            <w:pPr>
              <w:rPr>
                <w:rFonts w:ascii="Arial" w:hAnsi="Arial" w:cs="Arial"/>
                <w:sz w:val="14"/>
                <w:szCs w:val="14"/>
              </w:rPr>
            </w:pPr>
            <w:r w:rsidRPr="00416D67">
              <w:rPr>
                <w:rFonts w:ascii="Arial" w:hAnsi="Arial" w:cs="Arial"/>
                <w:sz w:val="14"/>
                <w:szCs w:val="14"/>
              </w:rPr>
              <w:t>Izvor 4.3.1 Turistička  pristojba</w:t>
            </w:r>
          </w:p>
        </w:tc>
        <w:tc>
          <w:tcPr>
            <w:tcW w:w="1540" w:type="dxa"/>
            <w:tcBorders>
              <w:top w:val="single" w:sz="4" w:space="0" w:color="auto"/>
              <w:left w:val="nil"/>
              <w:bottom w:val="single" w:sz="4" w:space="0" w:color="auto"/>
              <w:right w:val="single" w:sz="4" w:space="0" w:color="auto"/>
            </w:tcBorders>
            <w:noWrap/>
            <w:vAlign w:val="bottom"/>
            <w:hideMark/>
          </w:tcPr>
          <w:p w14:paraId="1C71E9A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64.874,32</w:t>
            </w:r>
          </w:p>
        </w:tc>
        <w:tc>
          <w:tcPr>
            <w:tcW w:w="1620" w:type="dxa"/>
            <w:tcBorders>
              <w:top w:val="single" w:sz="4" w:space="0" w:color="auto"/>
              <w:left w:val="nil"/>
              <w:bottom w:val="single" w:sz="4" w:space="0" w:color="auto"/>
              <w:right w:val="single" w:sz="4" w:space="0" w:color="auto"/>
            </w:tcBorders>
            <w:noWrap/>
            <w:vAlign w:val="bottom"/>
            <w:hideMark/>
          </w:tcPr>
          <w:p w14:paraId="591D643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75.074,00</w:t>
            </w:r>
          </w:p>
        </w:tc>
        <w:tc>
          <w:tcPr>
            <w:tcW w:w="1600" w:type="dxa"/>
            <w:tcBorders>
              <w:top w:val="single" w:sz="4" w:space="0" w:color="auto"/>
              <w:left w:val="nil"/>
              <w:bottom w:val="single" w:sz="4" w:space="0" w:color="auto"/>
              <w:right w:val="single" w:sz="4" w:space="0" w:color="auto"/>
            </w:tcBorders>
            <w:noWrap/>
            <w:vAlign w:val="bottom"/>
            <w:hideMark/>
          </w:tcPr>
          <w:p w14:paraId="579B575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75.074,00</w:t>
            </w:r>
          </w:p>
        </w:tc>
        <w:tc>
          <w:tcPr>
            <w:tcW w:w="1660" w:type="dxa"/>
            <w:tcBorders>
              <w:top w:val="single" w:sz="4" w:space="0" w:color="auto"/>
              <w:left w:val="nil"/>
              <w:bottom w:val="single" w:sz="4" w:space="0" w:color="auto"/>
              <w:right w:val="single" w:sz="4" w:space="0" w:color="auto"/>
            </w:tcBorders>
            <w:noWrap/>
            <w:vAlign w:val="bottom"/>
            <w:hideMark/>
          </w:tcPr>
          <w:p w14:paraId="7D71B27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61.093,02</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0DD94D1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94,17%</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47013F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81,38%</w:t>
            </w:r>
          </w:p>
        </w:tc>
      </w:tr>
      <w:tr w:rsidR="00416D67" w:rsidRPr="00416D67" w14:paraId="63E34E39"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58BB6D5C" w14:textId="77777777" w:rsidR="00416D67" w:rsidRPr="00416D67" w:rsidRDefault="00416D67" w:rsidP="00416D67">
            <w:pPr>
              <w:rPr>
                <w:rFonts w:ascii="Arial" w:hAnsi="Arial" w:cs="Arial"/>
                <w:sz w:val="14"/>
                <w:szCs w:val="14"/>
              </w:rPr>
            </w:pPr>
            <w:r w:rsidRPr="00416D67">
              <w:rPr>
                <w:rFonts w:ascii="Arial" w:hAnsi="Arial" w:cs="Arial"/>
                <w:sz w:val="14"/>
                <w:szCs w:val="14"/>
              </w:rPr>
              <w:t>Izvor 4.3.10 Ostali prihodi za posebne namjene spomenička renta</w:t>
            </w:r>
          </w:p>
        </w:tc>
        <w:tc>
          <w:tcPr>
            <w:tcW w:w="1540" w:type="dxa"/>
            <w:tcBorders>
              <w:top w:val="single" w:sz="4" w:space="0" w:color="auto"/>
              <w:left w:val="nil"/>
              <w:bottom w:val="single" w:sz="4" w:space="0" w:color="auto"/>
              <w:right w:val="single" w:sz="4" w:space="0" w:color="auto"/>
            </w:tcBorders>
            <w:noWrap/>
            <w:vAlign w:val="bottom"/>
            <w:hideMark/>
          </w:tcPr>
          <w:p w14:paraId="295F553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4,41</w:t>
            </w:r>
          </w:p>
        </w:tc>
        <w:tc>
          <w:tcPr>
            <w:tcW w:w="1620" w:type="dxa"/>
            <w:tcBorders>
              <w:top w:val="single" w:sz="4" w:space="0" w:color="auto"/>
              <w:left w:val="nil"/>
              <w:bottom w:val="single" w:sz="4" w:space="0" w:color="auto"/>
              <w:right w:val="single" w:sz="4" w:space="0" w:color="auto"/>
            </w:tcBorders>
            <w:noWrap/>
            <w:vAlign w:val="bottom"/>
            <w:hideMark/>
          </w:tcPr>
          <w:p w14:paraId="4954DCF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w:t>
            </w:r>
          </w:p>
        </w:tc>
        <w:tc>
          <w:tcPr>
            <w:tcW w:w="1600" w:type="dxa"/>
            <w:tcBorders>
              <w:top w:val="single" w:sz="4" w:space="0" w:color="auto"/>
              <w:left w:val="nil"/>
              <w:bottom w:val="single" w:sz="4" w:space="0" w:color="auto"/>
              <w:right w:val="single" w:sz="4" w:space="0" w:color="auto"/>
            </w:tcBorders>
            <w:noWrap/>
            <w:vAlign w:val="bottom"/>
            <w:hideMark/>
          </w:tcPr>
          <w:p w14:paraId="57AD121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w:t>
            </w:r>
          </w:p>
        </w:tc>
        <w:tc>
          <w:tcPr>
            <w:tcW w:w="1660" w:type="dxa"/>
            <w:tcBorders>
              <w:top w:val="single" w:sz="4" w:space="0" w:color="auto"/>
              <w:left w:val="nil"/>
              <w:bottom w:val="single" w:sz="4" w:space="0" w:color="auto"/>
              <w:right w:val="single" w:sz="4" w:space="0" w:color="auto"/>
            </w:tcBorders>
            <w:noWrap/>
            <w:vAlign w:val="bottom"/>
            <w:hideMark/>
          </w:tcPr>
          <w:p w14:paraId="259B146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2,24</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496B9C4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50,79%</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056FAE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22,40%</w:t>
            </w:r>
          </w:p>
        </w:tc>
      </w:tr>
      <w:tr w:rsidR="00416D67" w:rsidRPr="00416D67" w14:paraId="07197020"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223CBB4C"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4.3.12 Koncesija pružanja javne usluge pražnjenja </w:t>
            </w:r>
          </w:p>
        </w:tc>
        <w:tc>
          <w:tcPr>
            <w:tcW w:w="1540" w:type="dxa"/>
            <w:tcBorders>
              <w:top w:val="single" w:sz="4" w:space="0" w:color="auto"/>
              <w:left w:val="nil"/>
              <w:bottom w:val="single" w:sz="4" w:space="0" w:color="auto"/>
              <w:right w:val="single" w:sz="4" w:space="0" w:color="auto"/>
            </w:tcBorders>
            <w:noWrap/>
            <w:vAlign w:val="bottom"/>
            <w:hideMark/>
          </w:tcPr>
          <w:p w14:paraId="0EEA1D3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620" w:type="dxa"/>
            <w:tcBorders>
              <w:top w:val="single" w:sz="4" w:space="0" w:color="auto"/>
              <w:left w:val="nil"/>
              <w:bottom w:val="single" w:sz="4" w:space="0" w:color="auto"/>
              <w:right w:val="single" w:sz="4" w:space="0" w:color="auto"/>
            </w:tcBorders>
            <w:noWrap/>
            <w:vAlign w:val="bottom"/>
            <w:hideMark/>
          </w:tcPr>
          <w:p w14:paraId="467083B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265,00</w:t>
            </w:r>
          </w:p>
        </w:tc>
        <w:tc>
          <w:tcPr>
            <w:tcW w:w="1600" w:type="dxa"/>
            <w:tcBorders>
              <w:top w:val="single" w:sz="4" w:space="0" w:color="auto"/>
              <w:left w:val="nil"/>
              <w:bottom w:val="single" w:sz="4" w:space="0" w:color="auto"/>
              <w:right w:val="single" w:sz="4" w:space="0" w:color="auto"/>
            </w:tcBorders>
            <w:noWrap/>
            <w:vAlign w:val="bottom"/>
            <w:hideMark/>
          </w:tcPr>
          <w:p w14:paraId="6579625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265,00</w:t>
            </w:r>
          </w:p>
        </w:tc>
        <w:tc>
          <w:tcPr>
            <w:tcW w:w="1660" w:type="dxa"/>
            <w:tcBorders>
              <w:top w:val="single" w:sz="4" w:space="0" w:color="auto"/>
              <w:left w:val="nil"/>
              <w:bottom w:val="single" w:sz="4" w:space="0" w:color="auto"/>
              <w:right w:val="single" w:sz="4" w:space="0" w:color="auto"/>
            </w:tcBorders>
            <w:noWrap/>
            <w:vAlign w:val="bottom"/>
            <w:hideMark/>
          </w:tcPr>
          <w:p w14:paraId="7CBF58A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53BA15A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4DE817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5E252077"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75EF3072" w14:textId="77777777" w:rsidR="00416D67" w:rsidRPr="00416D67" w:rsidRDefault="00416D67" w:rsidP="00416D67">
            <w:pPr>
              <w:rPr>
                <w:rFonts w:ascii="Arial" w:hAnsi="Arial" w:cs="Arial"/>
                <w:sz w:val="14"/>
                <w:szCs w:val="14"/>
              </w:rPr>
            </w:pPr>
            <w:r w:rsidRPr="00416D67">
              <w:rPr>
                <w:rFonts w:ascii="Arial" w:hAnsi="Arial" w:cs="Arial"/>
                <w:sz w:val="14"/>
                <w:szCs w:val="14"/>
              </w:rPr>
              <w:t>Izvor 4.3.13 Naknada za koncesiju taxi prijevoz</w:t>
            </w:r>
          </w:p>
        </w:tc>
        <w:tc>
          <w:tcPr>
            <w:tcW w:w="1540" w:type="dxa"/>
            <w:tcBorders>
              <w:top w:val="single" w:sz="4" w:space="0" w:color="auto"/>
              <w:left w:val="nil"/>
              <w:bottom w:val="single" w:sz="4" w:space="0" w:color="auto"/>
              <w:right w:val="single" w:sz="4" w:space="0" w:color="auto"/>
            </w:tcBorders>
            <w:noWrap/>
            <w:vAlign w:val="bottom"/>
            <w:hideMark/>
          </w:tcPr>
          <w:p w14:paraId="742287C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620" w:type="dxa"/>
            <w:tcBorders>
              <w:top w:val="single" w:sz="4" w:space="0" w:color="auto"/>
              <w:left w:val="nil"/>
              <w:bottom w:val="single" w:sz="4" w:space="0" w:color="auto"/>
              <w:right w:val="single" w:sz="4" w:space="0" w:color="auto"/>
            </w:tcBorders>
            <w:noWrap/>
            <w:vAlign w:val="bottom"/>
            <w:hideMark/>
          </w:tcPr>
          <w:p w14:paraId="6BC02C5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450,00</w:t>
            </w:r>
          </w:p>
        </w:tc>
        <w:tc>
          <w:tcPr>
            <w:tcW w:w="1600" w:type="dxa"/>
            <w:tcBorders>
              <w:top w:val="single" w:sz="4" w:space="0" w:color="auto"/>
              <w:left w:val="nil"/>
              <w:bottom w:val="single" w:sz="4" w:space="0" w:color="auto"/>
              <w:right w:val="single" w:sz="4" w:space="0" w:color="auto"/>
            </w:tcBorders>
            <w:noWrap/>
            <w:vAlign w:val="bottom"/>
            <w:hideMark/>
          </w:tcPr>
          <w:p w14:paraId="46711AD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450,00</w:t>
            </w:r>
          </w:p>
        </w:tc>
        <w:tc>
          <w:tcPr>
            <w:tcW w:w="1660" w:type="dxa"/>
            <w:tcBorders>
              <w:top w:val="single" w:sz="4" w:space="0" w:color="auto"/>
              <w:left w:val="nil"/>
              <w:bottom w:val="single" w:sz="4" w:space="0" w:color="auto"/>
              <w:right w:val="single" w:sz="4" w:space="0" w:color="auto"/>
            </w:tcBorders>
            <w:noWrap/>
            <w:vAlign w:val="bottom"/>
            <w:hideMark/>
          </w:tcPr>
          <w:p w14:paraId="7C1F3D8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5587A62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FFDFEC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314527F0"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515B6A31" w14:textId="77777777" w:rsidR="00416D67" w:rsidRPr="00416D67" w:rsidRDefault="00416D67" w:rsidP="00416D67">
            <w:pPr>
              <w:rPr>
                <w:rFonts w:ascii="Arial" w:hAnsi="Arial" w:cs="Arial"/>
                <w:sz w:val="14"/>
                <w:szCs w:val="14"/>
              </w:rPr>
            </w:pPr>
            <w:r w:rsidRPr="00416D67">
              <w:rPr>
                <w:rFonts w:ascii="Arial" w:hAnsi="Arial" w:cs="Arial"/>
                <w:sz w:val="14"/>
                <w:szCs w:val="14"/>
              </w:rPr>
              <w:t>Izvor 4.3.2 Eksploatacija mineralnih sirovina</w:t>
            </w:r>
          </w:p>
        </w:tc>
        <w:tc>
          <w:tcPr>
            <w:tcW w:w="1540" w:type="dxa"/>
            <w:tcBorders>
              <w:top w:val="single" w:sz="4" w:space="0" w:color="auto"/>
              <w:left w:val="nil"/>
              <w:bottom w:val="single" w:sz="4" w:space="0" w:color="auto"/>
              <w:right w:val="single" w:sz="4" w:space="0" w:color="auto"/>
            </w:tcBorders>
            <w:noWrap/>
            <w:vAlign w:val="bottom"/>
            <w:hideMark/>
          </w:tcPr>
          <w:p w14:paraId="3B05C86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27.524,47</w:t>
            </w:r>
          </w:p>
        </w:tc>
        <w:tc>
          <w:tcPr>
            <w:tcW w:w="1620" w:type="dxa"/>
            <w:tcBorders>
              <w:top w:val="single" w:sz="4" w:space="0" w:color="auto"/>
              <w:left w:val="nil"/>
              <w:bottom w:val="single" w:sz="4" w:space="0" w:color="auto"/>
              <w:right w:val="single" w:sz="4" w:space="0" w:color="auto"/>
            </w:tcBorders>
            <w:noWrap/>
            <w:vAlign w:val="bottom"/>
            <w:hideMark/>
          </w:tcPr>
          <w:p w14:paraId="67E5A86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56.500,00</w:t>
            </w:r>
          </w:p>
        </w:tc>
        <w:tc>
          <w:tcPr>
            <w:tcW w:w="1600" w:type="dxa"/>
            <w:tcBorders>
              <w:top w:val="single" w:sz="4" w:space="0" w:color="auto"/>
              <w:left w:val="nil"/>
              <w:bottom w:val="single" w:sz="4" w:space="0" w:color="auto"/>
              <w:right w:val="single" w:sz="4" w:space="0" w:color="auto"/>
            </w:tcBorders>
            <w:noWrap/>
            <w:vAlign w:val="bottom"/>
            <w:hideMark/>
          </w:tcPr>
          <w:p w14:paraId="707B405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56.500,00</w:t>
            </w:r>
          </w:p>
        </w:tc>
        <w:tc>
          <w:tcPr>
            <w:tcW w:w="1660" w:type="dxa"/>
            <w:tcBorders>
              <w:top w:val="single" w:sz="4" w:space="0" w:color="auto"/>
              <w:left w:val="nil"/>
              <w:bottom w:val="single" w:sz="4" w:space="0" w:color="auto"/>
              <w:right w:val="single" w:sz="4" w:space="0" w:color="auto"/>
            </w:tcBorders>
            <w:noWrap/>
            <w:vAlign w:val="bottom"/>
            <w:hideMark/>
          </w:tcPr>
          <w:p w14:paraId="4360A5F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56.347,37</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6DCBFCD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204,72%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5B0F8C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99,73%</w:t>
            </w:r>
          </w:p>
        </w:tc>
      </w:tr>
      <w:tr w:rsidR="00416D67" w:rsidRPr="00416D67" w14:paraId="0440C8B9"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4519F1C3"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4.3.3 Prihodi od zakupa i </w:t>
            </w:r>
            <w:proofErr w:type="spellStart"/>
            <w:r w:rsidRPr="00416D67">
              <w:rPr>
                <w:rFonts w:ascii="Arial" w:hAnsi="Arial" w:cs="Arial"/>
                <w:sz w:val="14"/>
                <w:szCs w:val="14"/>
              </w:rPr>
              <w:t>privr.kor.poljoprivrednog</w:t>
            </w:r>
            <w:proofErr w:type="spellEnd"/>
            <w:r w:rsidRPr="00416D67">
              <w:rPr>
                <w:rFonts w:ascii="Arial" w:hAnsi="Arial" w:cs="Arial"/>
                <w:sz w:val="14"/>
                <w:szCs w:val="14"/>
              </w:rPr>
              <w:t xml:space="preserve"> zemljišta</w:t>
            </w:r>
          </w:p>
        </w:tc>
        <w:tc>
          <w:tcPr>
            <w:tcW w:w="1540" w:type="dxa"/>
            <w:tcBorders>
              <w:top w:val="single" w:sz="4" w:space="0" w:color="auto"/>
              <w:left w:val="nil"/>
              <w:bottom w:val="single" w:sz="4" w:space="0" w:color="auto"/>
              <w:right w:val="single" w:sz="4" w:space="0" w:color="auto"/>
            </w:tcBorders>
            <w:noWrap/>
            <w:vAlign w:val="bottom"/>
            <w:hideMark/>
          </w:tcPr>
          <w:p w14:paraId="0F5C9BF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150,40</w:t>
            </w:r>
          </w:p>
        </w:tc>
        <w:tc>
          <w:tcPr>
            <w:tcW w:w="1620" w:type="dxa"/>
            <w:tcBorders>
              <w:top w:val="single" w:sz="4" w:space="0" w:color="auto"/>
              <w:left w:val="nil"/>
              <w:bottom w:val="single" w:sz="4" w:space="0" w:color="auto"/>
              <w:right w:val="single" w:sz="4" w:space="0" w:color="auto"/>
            </w:tcBorders>
            <w:noWrap/>
            <w:vAlign w:val="bottom"/>
            <w:hideMark/>
          </w:tcPr>
          <w:p w14:paraId="6ED6EE5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200,00</w:t>
            </w:r>
          </w:p>
        </w:tc>
        <w:tc>
          <w:tcPr>
            <w:tcW w:w="1600" w:type="dxa"/>
            <w:tcBorders>
              <w:top w:val="single" w:sz="4" w:space="0" w:color="auto"/>
              <w:left w:val="nil"/>
              <w:bottom w:val="single" w:sz="4" w:space="0" w:color="auto"/>
              <w:right w:val="single" w:sz="4" w:space="0" w:color="auto"/>
            </w:tcBorders>
            <w:noWrap/>
            <w:vAlign w:val="bottom"/>
            <w:hideMark/>
          </w:tcPr>
          <w:p w14:paraId="4682B3F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200,00</w:t>
            </w:r>
          </w:p>
        </w:tc>
        <w:tc>
          <w:tcPr>
            <w:tcW w:w="1660" w:type="dxa"/>
            <w:tcBorders>
              <w:top w:val="single" w:sz="4" w:space="0" w:color="auto"/>
              <w:left w:val="nil"/>
              <w:bottom w:val="single" w:sz="4" w:space="0" w:color="auto"/>
              <w:right w:val="single" w:sz="4" w:space="0" w:color="auto"/>
            </w:tcBorders>
            <w:noWrap/>
            <w:vAlign w:val="bottom"/>
            <w:hideMark/>
          </w:tcPr>
          <w:p w14:paraId="1F3E9FF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50,58</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408A7D2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33,63%</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BF0E9A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25,29%</w:t>
            </w:r>
          </w:p>
        </w:tc>
      </w:tr>
      <w:tr w:rsidR="00416D67" w:rsidRPr="00416D67" w14:paraId="10F79BD6"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446109E5" w14:textId="77777777" w:rsidR="00416D67" w:rsidRPr="00416D67" w:rsidRDefault="00416D67" w:rsidP="00416D67">
            <w:pPr>
              <w:rPr>
                <w:rFonts w:ascii="Arial" w:hAnsi="Arial" w:cs="Arial"/>
                <w:sz w:val="14"/>
                <w:szCs w:val="14"/>
              </w:rPr>
            </w:pPr>
            <w:r w:rsidRPr="00416D67">
              <w:rPr>
                <w:rFonts w:ascii="Arial" w:hAnsi="Arial" w:cs="Arial"/>
                <w:sz w:val="14"/>
                <w:szCs w:val="14"/>
              </w:rPr>
              <w:t>Izvor 4.3.4 Vodni doprinos</w:t>
            </w:r>
          </w:p>
        </w:tc>
        <w:tc>
          <w:tcPr>
            <w:tcW w:w="1540" w:type="dxa"/>
            <w:tcBorders>
              <w:top w:val="single" w:sz="4" w:space="0" w:color="auto"/>
              <w:left w:val="nil"/>
              <w:bottom w:val="single" w:sz="4" w:space="0" w:color="auto"/>
              <w:right w:val="single" w:sz="4" w:space="0" w:color="auto"/>
            </w:tcBorders>
            <w:noWrap/>
            <w:vAlign w:val="bottom"/>
            <w:hideMark/>
          </w:tcPr>
          <w:p w14:paraId="59C561D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2.082,99</w:t>
            </w:r>
          </w:p>
        </w:tc>
        <w:tc>
          <w:tcPr>
            <w:tcW w:w="1620" w:type="dxa"/>
            <w:tcBorders>
              <w:top w:val="single" w:sz="4" w:space="0" w:color="auto"/>
              <w:left w:val="nil"/>
              <w:bottom w:val="single" w:sz="4" w:space="0" w:color="auto"/>
              <w:right w:val="single" w:sz="4" w:space="0" w:color="auto"/>
            </w:tcBorders>
            <w:noWrap/>
            <w:vAlign w:val="bottom"/>
            <w:hideMark/>
          </w:tcPr>
          <w:p w14:paraId="04486D0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1.000,00</w:t>
            </w:r>
          </w:p>
        </w:tc>
        <w:tc>
          <w:tcPr>
            <w:tcW w:w="1600" w:type="dxa"/>
            <w:tcBorders>
              <w:top w:val="single" w:sz="4" w:space="0" w:color="auto"/>
              <w:left w:val="nil"/>
              <w:bottom w:val="single" w:sz="4" w:space="0" w:color="auto"/>
              <w:right w:val="single" w:sz="4" w:space="0" w:color="auto"/>
            </w:tcBorders>
            <w:noWrap/>
            <w:vAlign w:val="bottom"/>
            <w:hideMark/>
          </w:tcPr>
          <w:p w14:paraId="698B3DD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1.000,00</w:t>
            </w:r>
          </w:p>
        </w:tc>
        <w:tc>
          <w:tcPr>
            <w:tcW w:w="1660" w:type="dxa"/>
            <w:tcBorders>
              <w:top w:val="single" w:sz="4" w:space="0" w:color="auto"/>
              <w:left w:val="nil"/>
              <w:bottom w:val="single" w:sz="4" w:space="0" w:color="auto"/>
              <w:right w:val="single" w:sz="4" w:space="0" w:color="auto"/>
            </w:tcBorders>
            <w:noWrap/>
            <w:vAlign w:val="bottom"/>
            <w:hideMark/>
          </w:tcPr>
          <w:p w14:paraId="1DCF757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377,27</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3AD8FC7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18,11%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15B271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37,73%</w:t>
            </w:r>
          </w:p>
        </w:tc>
      </w:tr>
      <w:tr w:rsidR="00416D67" w:rsidRPr="00416D67" w14:paraId="6E13DE01"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06222B99"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4.3.5 Naknada za zadržavanje nezakonito </w:t>
            </w:r>
            <w:proofErr w:type="spellStart"/>
            <w:r w:rsidRPr="00416D67">
              <w:rPr>
                <w:rFonts w:ascii="Arial" w:hAnsi="Arial" w:cs="Arial"/>
                <w:sz w:val="14"/>
                <w:szCs w:val="14"/>
              </w:rPr>
              <w:t>izgr.zgrada</w:t>
            </w:r>
            <w:proofErr w:type="spellEnd"/>
          </w:p>
        </w:tc>
        <w:tc>
          <w:tcPr>
            <w:tcW w:w="1540" w:type="dxa"/>
            <w:tcBorders>
              <w:top w:val="single" w:sz="4" w:space="0" w:color="auto"/>
              <w:left w:val="nil"/>
              <w:bottom w:val="single" w:sz="4" w:space="0" w:color="auto"/>
              <w:right w:val="single" w:sz="4" w:space="0" w:color="auto"/>
            </w:tcBorders>
            <w:noWrap/>
            <w:vAlign w:val="bottom"/>
            <w:hideMark/>
          </w:tcPr>
          <w:p w14:paraId="67EF51A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10.513,30</w:t>
            </w:r>
          </w:p>
        </w:tc>
        <w:tc>
          <w:tcPr>
            <w:tcW w:w="1620" w:type="dxa"/>
            <w:tcBorders>
              <w:top w:val="single" w:sz="4" w:space="0" w:color="auto"/>
              <w:left w:val="nil"/>
              <w:bottom w:val="single" w:sz="4" w:space="0" w:color="auto"/>
              <w:right w:val="single" w:sz="4" w:space="0" w:color="auto"/>
            </w:tcBorders>
            <w:noWrap/>
            <w:vAlign w:val="bottom"/>
            <w:hideMark/>
          </w:tcPr>
          <w:p w14:paraId="631CD2B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7.500,00</w:t>
            </w:r>
          </w:p>
        </w:tc>
        <w:tc>
          <w:tcPr>
            <w:tcW w:w="1600" w:type="dxa"/>
            <w:tcBorders>
              <w:top w:val="single" w:sz="4" w:space="0" w:color="auto"/>
              <w:left w:val="nil"/>
              <w:bottom w:val="single" w:sz="4" w:space="0" w:color="auto"/>
              <w:right w:val="single" w:sz="4" w:space="0" w:color="auto"/>
            </w:tcBorders>
            <w:noWrap/>
            <w:vAlign w:val="bottom"/>
            <w:hideMark/>
          </w:tcPr>
          <w:p w14:paraId="63CD1FF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7.500,00</w:t>
            </w:r>
          </w:p>
        </w:tc>
        <w:tc>
          <w:tcPr>
            <w:tcW w:w="1660" w:type="dxa"/>
            <w:tcBorders>
              <w:top w:val="single" w:sz="4" w:space="0" w:color="auto"/>
              <w:left w:val="nil"/>
              <w:bottom w:val="single" w:sz="4" w:space="0" w:color="auto"/>
              <w:right w:val="single" w:sz="4" w:space="0" w:color="auto"/>
            </w:tcBorders>
            <w:noWrap/>
            <w:vAlign w:val="bottom"/>
            <w:hideMark/>
          </w:tcPr>
          <w:p w14:paraId="4F4FD38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4.312,50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447357A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41,02%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7F6B1E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57,50%</w:t>
            </w:r>
          </w:p>
        </w:tc>
      </w:tr>
      <w:tr w:rsidR="00416D67" w:rsidRPr="00416D67" w14:paraId="494E7474"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0B38CC92" w14:textId="77777777" w:rsidR="00416D67" w:rsidRPr="00416D67" w:rsidRDefault="00416D67" w:rsidP="00416D67">
            <w:pPr>
              <w:rPr>
                <w:rFonts w:ascii="Arial" w:hAnsi="Arial" w:cs="Arial"/>
                <w:sz w:val="14"/>
                <w:szCs w:val="14"/>
              </w:rPr>
            </w:pPr>
            <w:r w:rsidRPr="00416D67">
              <w:rPr>
                <w:rFonts w:ascii="Arial" w:hAnsi="Arial" w:cs="Arial"/>
                <w:sz w:val="14"/>
                <w:szCs w:val="14"/>
              </w:rPr>
              <w:t>Izvor 4.3.6 Koncesije i koncesijska odobrenja</w:t>
            </w:r>
          </w:p>
        </w:tc>
        <w:tc>
          <w:tcPr>
            <w:tcW w:w="1540" w:type="dxa"/>
            <w:tcBorders>
              <w:top w:val="single" w:sz="4" w:space="0" w:color="auto"/>
              <w:left w:val="nil"/>
              <w:bottom w:val="single" w:sz="4" w:space="0" w:color="auto"/>
              <w:right w:val="single" w:sz="4" w:space="0" w:color="auto"/>
            </w:tcBorders>
            <w:noWrap/>
            <w:vAlign w:val="bottom"/>
            <w:hideMark/>
          </w:tcPr>
          <w:p w14:paraId="1D0CA86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21.801,49</w:t>
            </w:r>
          </w:p>
        </w:tc>
        <w:tc>
          <w:tcPr>
            <w:tcW w:w="1620" w:type="dxa"/>
            <w:tcBorders>
              <w:top w:val="single" w:sz="4" w:space="0" w:color="auto"/>
              <w:left w:val="nil"/>
              <w:bottom w:val="single" w:sz="4" w:space="0" w:color="auto"/>
              <w:right w:val="single" w:sz="4" w:space="0" w:color="auto"/>
            </w:tcBorders>
            <w:noWrap/>
            <w:vAlign w:val="bottom"/>
            <w:hideMark/>
          </w:tcPr>
          <w:p w14:paraId="09A6179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28.873,40</w:t>
            </w:r>
          </w:p>
        </w:tc>
        <w:tc>
          <w:tcPr>
            <w:tcW w:w="1600" w:type="dxa"/>
            <w:tcBorders>
              <w:top w:val="single" w:sz="4" w:space="0" w:color="auto"/>
              <w:left w:val="nil"/>
              <w:bottom w:val="single" w:sz="4" w:space="0" w:color="auto"/>
              <w:right w:val="single" w:sz="4" w:space="0" w:color="auto"/>
            </w:tcBorders>
            <w:noWrap/>
            <w:vAlign w:val="bottom"/>
            <w:hideMark/>
          </w:tcPr>
          <w:p w14:paraId="43E3EC5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28.873,40</w:t>
            </w:r>
          </w:p>
        </w:tc>
        <w:tc>
          <w:tcPr>
            <w:tcW w:w="1660" w:type="dxa"/>
            <w:tcBorders>
              <w:top w:val="single" w:sz="4" w:space="0" w:color="auto"/>
              <w:left w:val="nil"/>
              <w:bottom w:val="single" w:sz="4" w:space="0" w:color="auto"/>
              <w:right w:val="single" w:sz="4" w:space="0" w:color="auto"/>
            </w:tcBorders>
            <w:noWrap/>
            <w:vAlign w:val="bottom"/>
            <w:hideMark/>
          </w:tcPr>
          <w:p w14:paraId="19EDF84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28.186,43</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595AAA9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129,29%</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650155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97,62%</w:t>
            </w:r>
          </w:p>
        </w:tc>
      </w:tr>
      <w:tr w:rsidR="00416D67" w:rsidRPr="00416D67" w14:paraId="6EFE2C64"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61D67089" w14:textId="77777777" w:rsidR="00416D67" w:rsidRPr="00416D67" w:rsidRDefault="00416D67" w:rsidP="00416D67">
            <w:pPr>
              <w:rPr>
                <w:rFonts w:ascii="Arial" w:hAnsi="Arial" w:cs="Arial"/>
                <w:sz w:val="14"/>
                <w:szCs w:val="14"/>
              </w:rPr>
            </w:pPr>
            <w:r w:rsidRPr="00416D67">
              <w:rPr>
                <w:rFonts w:ascii="Arial" w:hAnsi="Arial" w:cs="Arial"/>
                <w:sz w:val="14"/>
                <w:szCs w:val="14"/>
              </w:rPr>
              <w:t>Izvor 4.3.7 Naknada za dodjelu grobnih mjesta</w:t>
            </w:r>
          </w:p>
        </w:tc>
        <w:tc>
          <w:tcPr>
            <w:tcW w:w="1540" w:type="dxa"/>
            <w:tcBorders>
              <w:top w:val="single" w:sz="4" w:space="0" w:color="auto"/>
              <w:left w:val="nil"/>
              <w:bottom w:val="single" w:sz="4" w:space="0" w:color="auto"/>
              <w:right w:val="single" w:sz="4" w:space="0" w:color="auto"/>
            </w:tcBorders>
            <w:noWrap/>
            <w:vAlign w:val="bottom"/>
            <w:hideMark/>
          </w:tcPr>
          <w:p w14:paraId="7AA8354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11.128,69</w:t>
            </w:r>
          </w:p>
        </w:tc>
        <w:tc>
          <w:tcPr>
            <w:tcW w:w="1620" w:type="dxa"/>
            <w:tcBorders>
              <w:top w:val="single" w:sz="4" w:space="0" w:color="auto"/>
              <w:left w:val="nil"/>
              <w:bottom w:val="single" w:sz="4" w:space="0" w:color="auto"/>
              <w:right w:val="single" w:sz="4" w:space="0" w:color="auto"/>
            </w:tcBorders>
            <w:noWrap/>
            <w:vAlign w:val="bottom"/>
            <w:hideMark/>
          </w:tcPr>
          <w:p w14:paraId="2210A1C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10.000,00</w:t>
            </w:r>
          </w:p>
        </w:tc>
        <w:tc>
          <w:tcPr>
            <w:tcW w:w="1600" w:type="dxa"/>
            <w:tcBorders>
              <w:top w:val="single" w:sz="4" w:space="0" w:color="auto"/>
              <w:left w:val="nil"/>
              <w:bottom w:val="single" w:sz="4" w:space="0" w:color="auto"/>
              <w:right w:val="single" w:sz="4" w:space="0" w:color="auto"/>
            </w:tcBorders>
            <w:noWrap/>
            <w:vAlign w:val="bottom"/>
            <w:hideMark/>
          </w:tcPr>
          <w:p w14:paraId="731B707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10.000,00</w:t>
            </w:r>
          </w:p>
        </w:tc>
        <w:tc>
          <w:tcPr>
            <w:tcW w:w="1660" w:type="dxa"/>
            <w:tcBorders>
              <w:top w:val="single" w:sz="4" w:space="0" w:color="auto"/>
              <w:left w:val="nil"/>
              <w:bottom w:val="single" w:sz="4" w:space="0" w:color="auto"/>
              <w:right w:val="single" w:sz="4" w:space="0" w:color="auto"/>
            </w:tcBorders>
            <w:noWrap/>
            <w:vAlign w:val="bottom"/>
            <w:hideMark/>
          </w:tcPr>
          <w:p w14:paraId="7EB653E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8.727,06</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33BDBAA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78,42%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0AD9A1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87,27%</w:t>
            </w:r>
          </w:p>
        </w:tc>
      </w:tr>
      <w:tr w:rsidR="00416D67" w:rsidRPr="00416D67" w14:paraId="7666451A"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27F9DAB6"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4.3.8 Naknada za promjenu namjene </w:t>
            </w:r>
            <w:proofErr w:type="spellStart"/>
            <w:r w:rsidRPr="00416D67">
              <w:rPr>
                <w:rFonts w:ascii="Arial" w:hAnsi="Arial" w:cs="Arial"/>
                <w:sz w:val="14"/>
                <w:szCs w:val="14"/>
              </w:rPr>
              <w:t>poljopr.zemljišta</w:t>
            </w:r>
            <w:proofErr w:type="spellEnd"/>
          </w:p>
        </w:tc>
        <w:tc>
          <w:tcPr>
            <w:tcW w:w="1540" w:type="dxa"/>
            <w:tcBorders>
              <w:top w:val="single" w:sz="4" w:space="0" w:color="auto"/>
              <w:left w:val="nil"/>
              <w:bottom w:val="single" w:sz="4" w:space="0" w:color="auto"/>
              <w:right w:val="single" w:sz="4" w:space="0" w:color="auto"/>
            </w:tcBorders>
            <w:noWrap/>
            <w:vAlign w:val="bottom"/>
            <w:hideMark/>
          </w:tcPr>
          <w:p w14:paraId="37483EA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1.154,41</w:t>
            </w:r>
          </w:p>
        </w:tc>
        <w:tc>
          <w:tcPr>
            <w:tcW w:w="1620" w:type="dxa"/>
            <w:tcBorders>
              <w:top w:val="single" w:sz="4" w:space="0" w:color="auto"/>
              <w:left w:val="nil"/>
              <w:bottom w:val="single" w:sz="4" w:space="0" w:color="auto"/>
              <w:right w:val="single" w:sz="4" w:space="0" w:color="auto"/>
            </w:tcBorders>
            <w:noWrap/>
            <w:vAlign w:val="bottom"/>
            <w:hideMark/>
          </w:tcPr>
          <w:p w14:paraId="6997570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2.300,00</w:t>
            </w:r>
          </w:p>
        </w:tc>
        <w:tc>
          <w:tcPr>
            <w:tcW w:w="1600" w:type="dxa"/>
            <w:tcBorders>
              <w:top w:val="single" w:sz="4" w:space="0" w:color="auto"/>
              <w:left w:val="nil"/>
              <w:bottom w:val="single" w:sz="4" w:space="0" w:color="auto"/>
              <w:right w:val="single" w:sz="4" w:space="0" w:color="auto"/>
            </w:tcBorders>
            <w:noWrap/>
            <w:vAlign w:val="bottom"/>
            <w:hideMark/>
          </w:tcPr>
          <w:p w14:paraId="6DF30F7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2.300,00</w:t>
            </w:r>
          </w:p>
        </w:tc>
        <w:tc>
          <w:tcPr>
            <w:tcW w:w="1660" w:type="dxa"/>
            <w:tcBorders>
              <w:top w:val="single" w:sz="4" w:space="0" w:color="auto"/>
              <w:left w:val="nil"/>
              <w:bottom w:val="single" w:sz="4" w:space="0" w:color="auto"/>
              <w:right w:val="single" w:sz="4" w:space="0" w:color="auto"/>
            </w:tcBorders>
            <w:noWrap/>
            <w:vAlign w:val="bottom"/>
            <w:hideMark/>
          </w:tcPr>
          <w:p w14:paraId="20A4691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2.225,38</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5E5FBDA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192,77%</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9FC12B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96,76%</w:t>
            </w:r>
          </w:p>
        </w:tc>
      </w:tr>
      <w:tr w:rsidR="00416D67" w:rsidRPr="00416D67" w14:paraId="2CC20380"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4C75DBBF" w14:textId="77777777" w:rsidR="00416D67" w:rsidRPr="00416D67" w:rsidRDefault="00416D67" w:rsidP="00416D67">
            <w:pPr>
              <w:rPr>
                <w:rFonts w:ascii="Arial" w:hAnsi="Arial" w:cs="Arial"/>
                <w:sz w:val="14"/>
                <w:szCs w:val="14"/>
              </w:rPr>
            </w:pPr>
            <w:r w:rsidRPr="00416D67">
              <w:rPr>
                <w:rFonts w:ascii="Arial" w:hAnsi="Arial" w:cs="Arial"/>
                <w:sz w:val="14"/>
                <w:szCs w:val="14"/>
              </w:rPr>
              <w:t>Izvor 4.3.9 Doprinos za šume</w:t>
            </w:r>
          </w:p>
        </w:tc>
        <w:tc>
          <w:tcPr>
            <w:tcW w:w="1540" w:type="dxa"/>
            <w:tcBorders>
              <w:top w:val="single" w:sz="4" w:space="0" w:color="auto"/>
              <w:left w:val="nil"/>
              <w:bottom w:val="single" w:sz="4" w:space="0" w:color="auto"/>
              <w:right w:val="single" w:sz="4" w:space="0" w:color="auto"/>
            </w:tcBorders>
            <w:noWrap/>
            <w:vAlign w:val="bottom"/>
            <w:hideMark/>
          </w:tcPr>
          <w:p w14:paraId="607C1E6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123,39</w:t>
            </w:r>
          </w:p>
        </w:tc>
        <w:tc>
          <w:tcPr>
            <w:tcW w:w="1620" w:type="dxa"/>
            <w:tcBorders>
              <w:top w:val="single" w:sz="4" w:space="0" w:color="auto"/>
              <w:left w:val="nil"/>
              <w:bottom w:val="single" w:sz="4" w:space="0" w:color="auto"/>
              <w:right w:val="single" w:sz="4" w:space="0" w:color="auto"/>
            </w:tcBorders>
            <w:noWrap/>
            <w:vAlign w:val="bottom"/>
            <w:hideMark/>
          </w:tcPr>
          <w:p w14:paraId="14A7447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650,00</w:t>
            </w:r>
          </w:p>
        </w:tc>
        <w:tc>
          <w:tcPr>
            <w:tcW w:w="1600" w:type="dxa"/>
            <w:tcBorders>
              <w:top w:val="single" w:sz="4" w:space="0" w:color="auto"/>
              <w:left w:val="nil"/>
              <w:bottom w:val="single" w:sz="4" w:space="0" w:color="auto"/>
              <w:right w:val="single" w:sz="4" w:space="0" w:color="auto"/>
            </w:tcBorders>
            <w:noWrap/>
            <w:vAlign w:val="bottom"/>
            <w:hideMark/>
          </w:tcPr>
          <w:p w14:paraId="6FFA440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650,00</w:t>
            </w:r>
          </w:p>
        </w:tc>
        <w:tc>
          <w:tcPr>
            <w:tcW w:w="1660" w:type="dxa"/>
            <w:tcBorders>
              <w:top w:val="single" w:sz="4" w:space="0" w:color="auto"/>
              <w:left w:val="nil"/>
              <w:bottom w:val="single" w:sz="4" w:space="0" w:color="auto"/>
              <w:right w:val="single" w:sz="4" w:space="0" w:color="auto"/>
            </w:tcBorders>
            <w:noWrap/>
            <w:vAlign w:val="bottom"/>
            <w:hideMark/>
          </w:tcPr>
          <w:p w14:paraId="6F1170C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531,61</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0B1F614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430,84%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DE3871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81,79%</w:t>
            </w:r>
          </w:p>
        </w:tc>
      </w:tr>
      <w:tr w:rsidR="00416D67" w:rsidRPr="00416D67" w14:paraId="1EE11EB3"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2A0D1B4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Izvor 4.4. Prihodi za posebne PK boravak roditelji i </w:t>
            </w:r>
            <w:proofErr w:type="spellStart"/>
            <w:r w:rsidRPr="00416D67">
              <w:rPr>
                <w:rFonts w:ascii="Arial" w:hAnsi="Arial" w:cs="Arial"/>
                <w:b/>
                <w:bCs/>
                <w:sz w:val="14"/>
                <w:szCs w:val="14"/>
              </w:rPr>
              <w:t>soc.program</w:t>
            </w:r>
            <w:proofErr w:type="spellEnd"/>
          </w:p>
        </w:tc>
        <w:tc>
          <w:tcPr>
            <w:tcW w:w="1540" w:type="dxa"/>
            <w:tcBorders>
              <w:top w:val="single" w:sz="4" w:space="0" w:color="auto"/>
              <w:left w:val="nil"/>
              <w:bottom w:val="single" w:sz="4" w:space="0" w:color="auto"/>
              <w:right w:val="single" w:sz="4" w:space="0" w:color="auto"/>
            </w:tcBorders>
            <w:noWrap/>
            <w:vAlign w:val="bottom"/>
            <w:hideMark/>
          </w:tcPr>
          <w:p w14:paraId="53DCE54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92.043,39</w:t>
            </w:r>
          </w:p>
        </w:tc>
        <w:tc>
          <w:tcPr>
            <w:tcW w:w="1620" w:type="dxa"/>
            <w:tcBorders>
              <w:top w:val="single" w:sz="4" w:space="0" w:color="auto"/>
              <w:left w:val="nil"/>
              <w:bottom w:val="single" w:sz="4" w:space="0" w:color="auto"/>
              <w:right w:val="single" w:sz="4" w:space="0" w:color="auto"/>
            </w:tcBorders>
            <w:noWrap/>
            <w:vAlign w:val="bottom"/>
            <w:hideMark/>
          </w:tcPr>
          <w:p w14:paraId="5C540D1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108.719,03</w:t>
            </w:r>
          </w:p>
        </w:tc>
        <w:tc>
          <w:tcPr>
            <w:tcW w:w="1600" w:type="dxa"/>
            <w:tcBorders>
              <w:top w:val="single" w:sz="4" w:space="0" w:color="auto"/>
              <w:left w:val="nil"/>
              <w:bottom w:val="single" w:sz="4" w:space="0" w:color="auto"/>
              <w:right w:val="single" w:sz="4" w:space="0" w:color="auto"/>
            </w:tcBorders>
            <w:noWrap/>
            <w:vAlign w:val="bottom"/>
            <w:hideMark/>
          </w:tcPr>
          <w:p w14:paraId="1F86E55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108.719,03</w:t>
            </w:r>
          </w:p>
        </w:tc>
        <w:tc>
          <w:tcPr>
            <w:tcW w:w="1660" w:type="dxa"/>
            <w:tcBorders>
              <w:top w:val="single" w:sz="4" w:space="0" w:color="auto"/>
              <w:left w:val="nil"/>
              <w:bottom w:val="single" w:sz="4" w:space="0" w:color="auto"/>
              <w:right w:val="single" w:sz="4" w:space="0" w:color="auto"/>
            </w:tcBorders>
            <w:noWrap/>
            <w:vAlign w:val="bottom"/>
            <w:hideMark/>
          </w:tcPr>
          <w:p w14:paraId="151977C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105.897,82</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0D15BF9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115,05%</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6643F6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97,41%</w:t>
            </w:r>
          </w:p>
        </w:tc>
      </w:tr>
      <w:tr w:rsidR="00416D67" w:rsidRPr="00416D67" w14:paraId="7E42D086"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D63690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5. Pomoći</w:t>
            </w:r>
          </w:p>
        </w:tc>
        <w:tc>
          <w:tcPr>
            <w:tcW w:w="1540" w:type="dxa"/>
            <w:tcBorders>
              <w:top w:val="single" w:sz="4" w:space="0" w:color="auto"/>
              <w:left w:val="nil"/>
              <w:bottom w:val="single" w:sz="4" w:space="0" w:color="auto"/>
              <w:right w:val="single" w:sz="4" w:space="0" w:color="auto"/>
            </w:tcBorders>
            <w:shd w:val="clear" w:color="000000" w:fill="FFFF00"/>
            <w:noWrap/>
            <w:vAlign w:val="bottom"/>
            <w:hideMark/>
          </w:tcPr>
          <w:p w14:paraId="29C2287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517.372,20</w:t>
            </w:r>
          </w:p>
        </w:tc>
        <w:tc>
          <w:tcPr>
            <w:tcW w:w="1620" w:type="dxa"/>
            <w:tcBorders>
              <w:top w:val="single" w:sz="4" w:space="0" w:color="auto"/>
              <w:left w:val="nil"/>
              <w:bottom w:val="single" w:sz="4" w:space="0" w:color="auto"/>
              <w:right w:val="single" w:sz="4" w:space="0" w:color="auto"/>
            </w:tcBorders>
            <w:shd w:val="clear" w:color="000000" w:fill="FFFF00"/>
            <w:noWrap/>
            <w:vAlign w:val="bottom"/>
            <w:hideMark/>
          </w:tcPr>
          <w:p w14:paraId="1897F43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296.197,70</w:t>
            </w:r>
          </w:p>
        </w:tc>
        <w:tc>
          <w:tcPr>
            <w:tcW w:w="1600" w:type="dxa"/>
            <w:tcBorders>
              <w:top w:val="single" w:sz="4" w:space="0" w:color="auto"/>
              <w:left w:val="nil"/>
              <w:bottom w:val="single" w:sz="4" w:space="0" w:color="auto"/>
              <w:right w:val="single" w:sz="4" w:space="0" w:color="auto"/>
            </w:tcBorders>
            <w:shd w:val="clear" w:color="000000" w:fill="FFFF00"/>
            <w:noWrap/>
            <w:vAlign w:val="bottom"/>
            <w:hideMark/>
          </w:tcPr>
          <w:p w14:paraId="187FB8C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296.197,70</w:t>
            </w:r>
          </w:p>
        </w:tc>
        <w:tc>
          <w:tcPr>
            <w:tcW w:w="1660" w:type="dxa"/>
            <w:tcBorders>
              <w:top w:val="single" w:sz="4" w:space="0" w:color="auto"/>
              <w:left w:val="nil"/>
              <w:bottom w:val="single" w:sz="4" w:space="0" w:color="auto"/>
              <w:right w:val="single" w:sz="4" w:space="0" w:color="auto"/>
            </w:tcBorders>
            <w:shd w:val="clear" w:color="000000" w:fill="FFFF00"/>
            <w:noWrap/>
            <w:vAlign w:val="bottom"/>
            <w:hideMark/>
          </w:tcPr>
          <w:p w14:paraId="76E1180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335.580,34</w:t>
            </w:r>
          </w:p>
        </w:tc>
        <w:tc>
          <w:tcPr>
            <w:tcW w:w="10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4641EB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59,22%</w:t>
            </w:r>
          </w:p>
        </w:tc>
        <w:tc>
          <w:tcPr>
            <w:tcW w:w="9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FFBE9B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103,44%</w:t>
            </w:r>
          </w:p>
        </w:tc>
      </w:tr>
      <w:tr w:rsidR="00416D67" w:rsidRPr="00416D67" w14:paraId="555522E0"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64468F0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5.1. 05 Pomoći</w:t>
            </w:r>
          </w:p>
        </w:tc>
        <w:tc>
          <w:tcPr>
            <w:tcW w:w="1540" w:type="dxa"/>
            <w:tcBorders>
              <w:top w:val="single" w:sz="4" w:space="0" w:color="auto"/>
              <w:left w:val="nil"/>
              <w:bottom w:val="single" w:sz="4" w:space="0" w:color="auto"/>
              <w:right w:val="single" w:sz="4" w:space="0" w:color="auto"/>
            </w:tcBorders>
            <w:noWrap/>
            <w:vAlign w:val="bottom"/>
            <w:hideMark/>
          </w:tcPr>
          <w:p w14:paraId="01E8E99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509.099,17</w:t>
            </w:r>
          </w:p>
        </w:tc>
        <w:tc>
          <w:tcPr>
            <w:tcW w:w="1620" w:type="dxa"/>
            <w:tcBorders>
              <w:top w:val="single" w:sz="4" w:space="0" w:color="auto"/>
              <w:left w:val="nil"/>
              <w:bottom w:val="single" w:sz="4" w:space="0" w:color="auto"/>
              <w:right w:val="single" w:sz="4" w:space="0" w:color="auto"/>
            </w:tcBorders>
            <w:noWrap/>
            <w:vAlign w:val="bottom"/>
            <w:hideMark/>
          </w:tcPr>
          <w:p w14:paraId="5F56F41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296.197,70</w:t>
            </w:r>
          </w:p>
        </w:tc>
        <w:tc>
          <w:tcPr>
            <w:tcW w:w="1600" w:type="dxa"/>
            <w:tcBorders>
              <w:top w:val="single" w:sz="4" w:space="0" w:color="auto"/>
              <w:left w:val="nil"/>
              <w:bottom w:val="single" w:sz="4" w:space="0" w:color="auto"/>
              <w:right w:val="single" w:sz="4" w:space="0" w:color="auto"/>
            </w:tcBorders>
            <w:noWrap/>
            <w:vAlign w:val="bottom"/>
            <w:hideMark/>
          </w:tcPr>
          <w:p w14:paraId="25DFF2B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296.197,70</w:t>
            </w:r>
          </w:p>
        </w:tc>
        <w:tc>
          <w:tcPr>
            <w:tcW w:w="1660" w:type="dxa"/>
            <w:tcBorders>
              <w:top w:val="single" w:sz="4" w:space="0" w:color="auto"/>
              <w:left w:val="nil"/>
              <w:bottom w:val="single" w:sz="4" w:space="0" w:color="auto"/>
              <w:right w:val="single" w:sz="4" w:space="0" w:color="auto"/>
            </w:tcBorders>
            <w:noWrap/>
            <w:vAlign w:val="bottom"/>
            <w:hideMark/>
          </w:tcPr>
          <w:p w14:paraId="1B6E98A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282.752,75</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7CE3913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146D48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69B9C0D9"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3E27DCAB" w14:textId="77777777" w:rsidR="00416D67" w:rsidRPr="00416D67" w:rsidRDefault="00416D67" w:rsidP="00416D67">
            <w:pPr>
              <w:rPr>
                <w:rFonts w:ascii="Arial" w:hAnsi="Arial" w:cs="Arial"/>
                <w:sz w:val="14"/>
                <w:szCs w:val="14"/>
              </w:rPr>
            </w:pPr>
            <w:r w:rsidRPr="00416D67">
              <w:rPr>
                <w:rFonts w:ascii="Arial" w:hAnsi="Arial" w:cs="Arial"/>
                <w:sz w:val="14"/>
                <w:szCs w:val="14"/>
              </w:rPr>
              <w:t>Izvor 5.1.1 Pomoći Istarska županija</w:t>
            </w:r>
          </w:p>
        </w:tc>
        <w:tc>
          <w:tcPr>
            <w:tcW w:w="1540" w:type="dxa"/>
            <w:tcBorders>
              <w:top w:val="single" w:sz="4" w:space="0" w:color="auto"/>
              <w:left w:val="nil"/>
              <w:bottom w:val="single" w:sz="4" w:space="0" w:color="auto"/>
              <w:right w:val="single" w:sz="4" w:space="0" w:color="auto"/>
            </w:tcBorders>
            <w:noWrap/>
            <w:vAlign w:val="bottom"/>
            <w:hideMark/>
          </w:tcPr>
          <w:p w14:paraId="1A49582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85.970,94</w:t>
            </w:r>
          </w:p>
        </w:tc>
        <w:tc>
          <w:tcPr>
            <w:tcW w:w="1620" w:type="dxa"/>
            <w:tcBorders>
              <w:top w:val="single" w:sz="4" w:space="0" w:color="auto"/>
              <w:left w:val="nil"/>
              <w:bottom w:val="single" w:sz="4" w:space="0" w:color="auto"/>
              <w:right w:val="single" w:sz="4" w:space="0" w:color="auto"/>
            </w:tcBorders>
            <w:noWrap/>
            <w:vAlign w:val="bottom"/>
            <w:hideMark/>
          </w:tcPr>
          <w:p w14:paraId="0AC877D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101.060,00</w:t>
            </w:r>
          </w:p>
        </w:tc>
        <w:tc>
          <w:tcPr>
            <w:tcW w:w="1600" w:type="dxa"/>
            <w:tcBorders>
              <w:top w:val="single" w:sz="4" w:space="0" w:color="auto"/>
              <w:left w:val="nil"/>
              <w:bottom w:val="single" w:sz="4" w:space="0" w:color="auto"/>
              <w:right w:val="single" w:sz="4" w:space="0" w:color="auto"/>
            </w:tcBorders>
            <w:noWrap/>
            <w:vAlign w:val="bottom"/>
            <w:hideMark/>
          </w:tcPr>
          <w:p w14:paraId="47AA1D2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101.060,00</w:t>
            </w:r>
          </w:p>
        </w:tc>
        <w:tc>
          <w:tcPr>
            <w:tcW w:w="1660" w:type="dxa"/>
            <w:tcBorders>
              <w:top w:val="single" w:sz="4" w:space="0" w:color="auto"/>
              <w:left w:val="nil"/>
              <w:bottom w:val="single" w:sz="4" w:space="0" w:color="auto"/>
              <w:right w:val="single" w:sz="4" w:space="0" w:color="auto"/>
            </w:tcBorders>
            <w:noWrap/>
            <w:vAlign w:val="bottom"/>
            <w:hideMark/>
          </w:tcPr>
          <w:p w14:paraId="642CC41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106.433,40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246BBAA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123,80%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3E3EAF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105,32%</w:t>
            </w:r>
          </w:p>
        </w:tc>
      </w:tr>
      <w:tr w:rsidR="00416D67" w:rsidRPr="00416D67" w14:paraId="26D9D657"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16282ABD" w14:textId="77777777" w:rsidR="00416D67" w:rsidRPr="00416D67" w:rsidRDefault="00416D67" w:rsidP="00416D67">
            <w:pPr>
              <w:rPr>
                <w:rFonts w:ascii="Arial" w:hAnsi="Arial" w:cs="Arial"/>
                <w:sz w:val="14"/>
                <w:szCs w:val="14"/>
              </w:rPr>
            </w:pPr>
            <w:r w:rsidRPr="00416D67">
              <w:rPr>
                <w:rFonts w:ascii="Arial" w:hAnsi="Arial" w:cs="Arial"/>
                <w:sz w:val="14"/>
                <w:szCs w:val="14"/>
              </w:rPr>
              <w:t>Izvor 5.1.11 Pomoći Ministarstvo graditeljstva</w:t>
            </w:r>
          </w:p>
        </w:tc>
        <w:tc>
          <w:tcPr>
            <w:tcW w:w="1540" w:type="dxa"/>
            <w:tcBorders>
              <w:top w:val="single" w:sz="4" w:space="0" w:color="auto"/>
              <w:left w:val="nil"/>
              <w:bottom w:val="single" w:sz="4" w:space="0" w:color="auto"/>
              <w:right w:val="single" w:sz="4" w:space="0" w:color="auto"/>
            </w:tcBorders>
            <w:noWrap/>
            <w:vAlign w:val="bottom"/>
            <w:hideMark/>
          </w:tcPr>
          <w:p w14:paraId="1DFC495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620" w:type="dxa"/>
            <w:tcBorders>
              <w:top w:val="single" w:sz="4" w:space="0" w:color="auto"/>
              <w:left w:val="nil"/>
              <w:bottom w:val="single" w:sz="4" w:space="0" w:color="auto"/>
              <w:right w:val="single" w:sz="4" w:space="0" w:color="auto"/>
            </w:tcBorders>
            <w:noWrap/>
            <w:vAlign w:val="bottom"/>
            <w:hideMark/>
          </w:tcPr>
          <w:p w14:paraId="7296365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32.000,00</w:t>
            </w:r>
          </w:p>
        </w:tc>
        <w:tc>
          <w:tcPr>
            <w:tcW w:w="1600" w:type="dxa"/>
            <w:tcBorders>
              <w:top w:val="single" w:sz="4" w:space="0" w:color="auto"/>
              <w:left w:val="nil"/>
              <w:bottom w:val="single" w:sz="4" w:space="0" w:color="auto"/>
              <w:right w:val="single" w:sz="4" w:space="0" w:color="auto"/>
            </w:tcBorders>
            <w:noWrap/>
            <w:vAlign w:val="bottom"/>
            <w:hideMark/>
          </w:tcPr>
          <w:p w14:paraId="07AEA59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32.000,00</w:t>
            </w:r>
          </w:p>
        </w:tc>
        <w:tc>
          <w:tcPr>
            <w:tcW w:w="1660" w:type="dxa"/>
            <w:tcBorders>
              <w:top w:val="single" w:sz="4" w:space="0" w:color="auto"/>
              <w:left w:val="nil"/>
              <w:bottom w:val="single" w:sz="4" w:space="0" w:color="auto"/>
              <w:right w:val="single" w:sz="4" w:space="0" w:color="auto"/>
            </w:tcBorders>
            <w:noWrap/>
            <w:vAlign w:val="bottom"/>
            <w:hideMark/>
          </w:tcPr>
          <w:p w14:paraId="5213FF9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64419E0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45909C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78CF025D"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0E008B6B" w14:textId="77777777" w:rsidR="00416D67" w:rsidRPr="00416D67" w:rsidRDefault="00416D67" w:rsidP="00416D67">
            <w:pPr>
              <w:rPr>
                <w:rFonts w:ascii="Arial" w:hAnsi="Arial" w:cs="Arial"/>
                <w:sz w:val="14"/>
                <w:szCs w:val="14"/>
              </w:rPr>
            </w:pPr>
            <w:r w:rsidRPr="00416D67">
              <w:rPr>
                <w:rFonts w:ascii="Arial" w:hAnsi="Arial" w:cs="Arial"/>
                <w:sz w:val="14"/>
                <w:szCs w:val="14"/>
              </w:rPr>
              <w:t>Izvor 5.1.12 Pomoć državni proračun troškovi ogrijeva</w:t>
            </w:r>
          </w:p>
        </w:tc>
        <w:tc>
          <w:tcPr>
            <w:tcW w:w="1540" w:type="dxa"/>
            <w:tcBorders>
              <w:top w:val="single" w:sz="4" w:space="0" w:color="auto"/>
              <w:left w:val="nil"/>
              <w:bottom w:val="single" w:sz="4" w:space="0" w:color="auto"/>
              <w:right w:val="single" w:sz="4" w:space="0" w:color="auto"/>
            </w:tcBorders>
            <w:noWrap/>
            <w:vAlign w:val="bottom"/>
            <w:hideMark/>
          </w:tcPr>
          <w:p w14:paraId="45F14A1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1.440,00</w:t>
            </w:r>
          </w:p>
        </w:tc>
        <w:tc>
          <w:tcPr>
            <w:tcW w:w="1620" w:type="dxa"/>
            <w:tcBorders>
              <w:top w:val="single" w:sz="4" w:space="0" w:color="auto"/>
              <w:left w:val="nil"/>
              <w:bottom w:val="single" w:sz="4" w:space="0" w:color="auto"/>
              <w:right w:val="single" w:sz="4" w:space="0" w:color="auto"/>
            </w:tcBorders>
            <w:noWrap/>
            <w:vAlign w:val="bottom"/>
            <w:hideMark/>
          </w:tcPr>
          <w:p w14:paraId="54B4DD8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600" w:type="dxa"/>
            <w:tcBorders>
              <w:top w:val="single" w:sz="4" w:space="0" w:color="auto"/>
              <w:left w:val="nil"/>
              <w:bottom w:val="single" w:sz="4" w:space="0" w:color="auto"/>
              <w:right w:val="single" w:sz="4" w:space="0" w:color="auto"/>
            </w:tcBorders>
            <w:noWrap/>
            <w:vAlign w:val="bottom"/>
            <w:hideMark/>
          </w:tcPr>
          <w:p w14:paraId="39A3573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660" w:type="dxa"/>
            <w:tcBorders>
              <w:top w:val="single" w:sz="4" w:space="0" w:color="auto"/>
              <w:left w:val="nil"/>
              <w:bottom w:val="single" w:sz="4" w:space="0" w:color="auto"/>
              <w:right w:val="single" w:sz="4" w:space="0" w:color="auto"/>
            </w:tcBorders>
            <w:noWrap/>
            <w:vAlign w:val="bottom"/>
            <w:hideMark/>
          </w:tcPr>
          <w:p w14:paraId="4A55A44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1.600,00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528C4D0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111,11%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B74BEF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75B89472"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389A94B5"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5.1.13 Kapitalne pomoći drugih proračuna </w:t>
            </w:r>
          </w:p>
        </w:tc>
        <w:tc>
          <w:tcPr>
            <w:tcW w:w="1540" w:type="dxa"/>
            <w:tcBorders>
              <w:top w:val="single" w:sz="4" w:space="0" w:color="auto"/>
              <w:left w:val="nil"/>
              <w:bottom w:val="single" w:sz="4" w:space="0" w:color="auto"/>
              <w:right w:val="single" w:sz="4" w:space="0" w:color="auto"/>
            </w:tcBorders>
            <w:noWrap/>
            <w:vAlign w:val="bottom"/>
            <w:hideMark/>
          </w:tcPr>
          <w:p w14:paraId="1D47C56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620" w:type="dxa"/>
            <w:tcBorders>
              <w:top w:val="single" w:sz="4" w:space="0" w:color="auto"/>
              <w:left w:val="nil"/>
              <w:bottom w:val="single" w:sz="4" w:space="0" w:color="auto"/>
              <w:right w:val="single" w:sz="4" w:space="0" w:color="auto"/>
            </w:tcBorders>
            <w:noWrap/>
            <w:vAlign w:val="bottom"/>
            <w:hideMark/>
          </w:tcPr>
          <w:p w14:paraId="656C347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600" w:type="dxa"/>
            <w:tcBorders>
              <w:top w:val="single" w:sz="4" w:space="0" w:color="auto"/>
              <w:left w:val="nil"/>
              <w:bottom w:val="single" w:sz="4" w:space="0" w:color="auto"/>
              <w:right w:val="single" w:sz="4" w:space="0" w:color="auto"/>
            </w:tcBorders>
            <w:noWrap/>
            <w:vAlign w:val="bottom"/>
            <w:hideMark/>
          </w:tcPr>
          <w:p w14:paraId="0324A5D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660" w:type="dxa"/>
            <w:tcBorders>
              <w:top w:val="single" w:sz="4" w:space="0" w:color="auto"/>
              <w:left w:val="nil"/>
              <w:bottom w:val="single" w:sz="4" w:space="0" w:color="auto"/>
              <w:right w:val="single" w:sz="4" w:space="0" w:color="auto"/>
            </w:tcBorders>
            <w:noWrap/>
            <w:vAlign w:val="bottom"/>
            <w:hideMark/>
          </w:tcPr>
          <w:p w14:paraId="2FFB44A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64.513,75</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5585BE2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6DD600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76C4DFAD"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4523DF50"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5.1.2 Pomoći državni  proračun </w:t>
            </w:r>
            <w:proofErr w:type="spellStart"/>
            <w:r w:rsidRPr="00416D67">
              <w:rPr>
                <w:rFonts w:ascii="Arial" w:hAnsi="Arial" w:cs="Arial"/>
                <w:sz w:val="14"/>
                <w:szCs w:val="14"/>
              </w:rPr>
              <w:t>min.kulture</w:t>
            </w:r>
            <w:proofErr w:type="spellEnd"/>
          </w:p>
        </w:tc>
        <w:tc>
          <w:tcPr>
            <w:tcW w:w="1540" w:type="dxa"/>
            <w:tcBorders>
              <w:top w:val="single" w:sz="4" w:space="0" w:color="auto"/>
              <w:left w:val="nil"/>
              <w:bottom w:val="single" w:sz="4" w:space="0" w:color="auto"/>
              <w:right w:val="single" w:sz="4" w:space="0" w:color="auto"/>
            </w:tcBorders>
            <w:noWrap/>
            <w:vAlign w:val="bottom"/>
            <w:hideMark/>
          </w:tcPr>
          <w:p w14:paraId="0C3ACA5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45.000,00</w:t>
            </w:r>
          </w:p>
        </w:tc>
        <w:tc>
          <w:tcPr>
            <w:tcW w:w="1620" w:type="dxa"/>
            <w:tcBorders>
              <w:top w:val="single" w:sz="4" w:space="0" w:color="auto"/>
              <w:left w:val="nil"/>
              <w:bottom w:val="single" w:sz="4" w:space="0" w:color="auto"/>
              <w:right w:val="single" w:sz="4" w:space="0" w:color="auto"/>
            </w:tcBorders>
            <w:noWrap/>
            <w:vAlign w:val="bottom"/>
            <w:hideMark/>
          </w:tcPr>
          <w:p w14:paraId="46705F7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45.000,00</w:t>
            </w:r>
          </w:p>
        </w:tc>
        <w:tc>
          <w:tcPr>
            <w:tcW w:w="1600" w:type="dxa"/>
            <w:tcBorders>
              <w:top w:val="single" w:sz="4" w:space="0" w:color="auto"/>
              <w:left w:val="nil"/>
              <w:bottom w:val="single" w:sz="4" w:space="0" w:color="auto"/>
              <w:right w:val="single" w:sz="4" w:space="0" w:color="auto"/>
            </w:tcBorders>
            <w:noWrap/>
            <w:vAlign w:val="bottom"/>
            <w:hideMark/>
          </w:tcPr>
          <w:p w14:paraId="600C24F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45.000,00</w:t>
            </w:r>
          </w:p>
        </w:tc>
        <w:tc>
          <w:tcPr>
            <w:tcW w:w="1660" w:type="dxa"/>
            <w:tcBorders>
              <w:top w:val="single" w:sz="4" w:space="0" w:color="auto"/>
              <w:left w:val="nil"/>
              <w:bottom w:val="single" w:sz="4" w:space="0" w:color="auto"/>
              <w:right w:val="single" w:sz="4" w:space="0" w:color="auto"/>
            </w:tcBorders>
            <w:noWrap/>
            <w:vAlign w:val="bottom"/>
            <w:hideMark/>
          </w:tcPr>
          <w:p w14:paraId="4CF3CAF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45.000,00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3FBD288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6C8F75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w:t>
            </w:r>
          </w:p>
        </w:tc>
      </w:tr>
      <w:tr w:rsidR="00416D67" w:rsidRPr="00416D67" w14:paraId="3E2673D4"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79C5D659" w14:textId="77777777" w:rsidR="00416D67" w:rsidRPr="00416D67" w:rsidRDefault="00416D67" w:rsidP="00416D67">
            <w:pPr>
              <w:rPr>
                <w:rFonts w:ascii="Arial" w:hAnsi="Arial" w:cs="Arial"/>
                <w:sz w:val="14"/>
                <w:szCs w:val="14"/>
              </w:rPr>
            </w:pPr>
            <w:r w:rsidRPr="00416D67">
              <w:rPr>
                <w:rFonts w:ascii="Arial" w:hAnsi="Arial" w:cs="Arial"/>
                <w:sz w:val="14"/>
                <w:szCs w:val="14"/>
              </w:rPr>
              <w:t>Izvor 5.1.3 Pomoć izravnanja decentralizirana sredstva JVP</w:t>
            </w:r>
          </w:p>
        </w:tc>
        <w:tc>
          <w:tcPr>
            <w:tcW w:w="1540" w:type="dxa"/>
            <w:tcBorders>
              <w:top w:val="single" w:sz="4" w:space="0" w:color="auto"/>
              <w:left w:val="nil"/>
              <w:bottom w:val="single" w:sz="4" w:space="0" w:color="auto"/>
              <w:right w:val="single" w:sz="4" w:space="0" w:color="auto"/>
            </w:tcBorders>
            <w:noWrap/>
            <w:vAlign w:val="bottom"/>
            <w:hideMark/>
          </w:tcPr>
          <w:p w14:paraId="35BD00C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56.405,30</w:t>
            </w:r>
          </w:p>
        </w:tc>
        <w:tc>
          <w:tcPr>
            <w:tcW w:w="1620" w:type="dxa"/>
            <w:tcBorders>
              <w:top w:val="single" w:sz="4" w:space="0" w:color="auto"/>
              <w:left w:val="nil"/>
              <w:bottom w:val="single" w:sz="4" w:space="0" w:color="auto"/>
              <w:right w:val="single" w:sz="4" w:space="0" w:color="auto"/>
            </w:tcBorders>
            <w:noWrap/>
            <w:vAlign w:val="bottom"/>
            <w:hideMark/>
          </w:tcPr>
          <w:p w14:paraId="2ED2BFA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24.500,00</w:t>
            </w:r>
          </w:p>
        </w:tc>
        <w:tc>
          <w:tcPr>
            <w:tcW w:w="1600" w:type="dxa"/>
            <w:tcBorders>
              <w:top w:val="single" w:sz="4" w:space="0" w:color="auto"/>
              <w:left w:val="nil"/>
              <w:bottom w:val="single" w:sz="4" w:space="0" w:color="auto"/>
              <w:right w:val="single" w:sz="4" w:space="0" w:color="auto"/>
            </w:tcBorders>
            <w:noWrap/>
            <w:vAlign w:val="bottom"/>
            <w:hideMark/>
          </w:tcPr>
          <w:p w14:paraId="660F7E2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24.500,00</w:t>
            </w:r>
          </w:p>
        </w:tc>
        <w:tc>
          <w:tcPr>
            <w:tcW w:w="1660" w:type="dxa"/>
            <w:tcBorders>
              <w:top w:val="single" w:sz="4" w:space="0" w:color="auto"/>
              <w:left w:val="nil"/>
              <w:bottom w:val="single" w:sz="4" w:space="0" w:color="auto"/>
              <w:right w:val="single" w:sz="4" w:space="0" w:color="auto"/>
            </w:tcBorders>
            <w:noWrap/>
            <w:vAlign w:val="bottom"/>
            <w:hideMark/>
          </w:tcPr>
          <w:p w14:paraId="7B685EA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24.969,60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6E03685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44,27%</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3C66BE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101,92%</w:t>
            </w:r>
          </w:p>
        </w:tc>
      </w:tr>
      <w:tr w:rsidR="00416D67" w:rsidRPr="00416D67" w14:paraId="71994DFD"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64366FF8" w14:textId="77777777" w:rsidR="00416D67" w:rsidRPr="00416D67" w:rsidRDefault="00416D67" w:rsidP="00416D67">
            <w:pPr>
              <w:rPr>
                <w:rFonts w:ascii="Arial" w:hAnsi="Arial" w:cs="Arial"/>
                <w:sz w:val="14"/>
                <w:szCs w:val="14"/>
              </w:rPr>
            </w:pPr>
            <w:r w:rsidRPr="00416D67">
              <w:rPr>
                <w:rFonts w:ascii="Arial" w:hAnsi="Arial" w:cs="Arial"/>
                <w:sz w:val="14"/>
                <w:szCs w:val="14"/>
              </w:rPr>
              <w:t>Izvor 5.1.8 Pomoć Županijska uprava za ceste IŽ</w:t>
            </w:r>
          </w:p>
        </w:tc>
        <w:tc>
          <w:tcPr>
            <w:tcW w:w="1540" w:type="dxa"/>
            <w:tcBorders>
              <w:top w:val="single" w:sz="4" w:space="0" w:color="auto"/>
              <w:left w:val="nil"/>
              <w:bottom w:val="single" w:sz="4" w:space="0" w:color="auto"/>
              <w:right w:val="single" w:sz="4" w:space="0" w:color="auto"/>
            </w:tcBorders>
            <w:noWrap/>
            <w:vAlign w:val="bottom"/>
            <w:hideMark/>
          </w:tcPr>
          <w:p w14:paraId="177262C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285.536,93</w:t>
            </w:r>
          </w:p>
        </w:tc>
        <w:tc>
          <w:tcPr>
            <w:tcW w:w="1620" w:type="dxa"/>
            <w:tcBorders>
              <w:top w:val="single" w:sz="4" w:space="0" w:color="auto"/>
              <w:left w:val="nil"/>
              <w:bottom w:val="single" w:sz="4" w:space="0" w:color="auto"/>
              <w:right w:val="single" w:sz="4" w:space="0" w:color="auto"/>
            </w:tcBorders>
            <w:noWrap/>
            <w:vAlign w:val="bottom"/>
            <w:hideMark/>
          </w:tcPr>
          <w:p w14:paraId="1A440C1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600" w:type="dxa"/>
            <w:tcBorders>
              <w:top w:val="single" w:sz="4" w:space="0" w:color="auto"/>
              <w:left w:val="nil"/>
              <w:bottom w:val="single" w:sz="4" w:space="0" w:color="auto"/>
              <w:right w:val="single" w:sz="4" w:space="0" w:color="auto"/>
            </w:tcBorders>
            <w:noWrap/>
            <w:vAlign w:val="bottom"/>
            <w:hideMark/>
          </w:tcPr>
          <w:p w14:paraId="3F8F9C4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660" w:type="dxa"/>
            <w:tcBorders>
              <w:top w:val="single" w:sz="4" w:space="0" w:color="auto"/>
              <w:left w:val="nil"/>
              <w:bottom w:val="single" w:sz="4" w:space="0" w:color="auto"/>
              <w:right w:val="single" w:sz="4" w:space="0" w:color="auto"/>
            </w:tcBorders>
            <w:noWrap/>
            <w:vAlign w:val="bottom"/>
            <w:hideMark/>
          </w:tcPr>
          <w:p w14:paraId="036A264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1A4C5D1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E9D3F7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04BF8BC8"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2151C9F0" w14:textId="77777777" w:rsidR="00416D67" w:rsidRPr="00416D67" w:rsidRDefault="00416D67" w:rsidP="00416D67">
            <w:pPr>
              <w:rPr>
                <w:rFonts w:ascii="Arial" w:hAnsi="Arial" w:cs="Arial"/>
                <w:sz w:val="14"/>
                <w:szCs w:val="14"/>
              </w:rPr>
            </w:pPr>
            <w:r w:rsidRPr="00416D67">
              <w:rPr>
                <w:rFonts w:ascii="Arial" w:hAnsi="Arial" w:cs="Arial"/>
                <w:sz w:val="14"/>
                <w:szCs w:val="14"/>
              </w:rPr>
              <w:t>Izvor 5.1.9 Pomoći fiskalna održivost dječjih vrtića</w:t>
            </w:r>
          </w:p>
        </w:tc>
        <w:tc>
          <w:tcPr>
            <w:tcW w:w="1540" w:type="dxa"/>
            <w:tcBorders>
              <w:top w:val="single" w:sz="4" w:space="0" w:color="auto"/>
              <w:left w:val="nil"/>
              <w:bottom w:val="single" w:sz="4" w:space="0" w:color="auto"/>
              <w:right w:val="single" w:sz="4" w:space="0" w:color="auto"/>
            </w:tcBorders>
            <w:noWrap/>
            <w:vAlign w:val="bottom"/>
            <w:hideMark/>
          </w:tcPr>
          <w:p w14:paraId="59BCCCB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34.746,00</w:t>
            </w:r>
          </w:p>
        </w:tc>
        <w:tc>
          <w:tcPr>
            <w:tcW w:w="1620" w:type="dxa"/>
            <w:tcBorders>
              <w:top w:val="single" w:sz="4" w:space="0" w:color="auto"/>
              <w:left w:val="nil"/>
              <w:bottom w:val="single" w:sz="4" w:space="0" w:color="auto"/>
              <w:right w:val="single" w:sz="4" w:space="0" w:color="auto"/>
            </w:tcBorders>
            <w:noWrap/>
            <w:vAlign w:val="bottom"/>
            <w:hideMark/>
          </w:tcPr>
          <w:p w14:paraId="3B072C4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40.236,00</w:t>
            </w:r>
          </w:p>
        </w:tc>
        <w:tc>
          <w:tcPr>
            <w:tcW w:w="1600" w:type="dxa"/>
            <w:tcBorders>
              <w:top w:val="single" w:sz="4" w:space="0" w:color="auto"/>
              <w:left w:val="nil"/>
              <w:bottom w:val="single" w:sz="4" w:space="0" w:color="auto"/>
              <w:right w:val="single" w:sz="4" w:space="0" w:color="auto"/>
            </w:tcBorders>
            <w:noWrap/>
            <w:vAlign w:val="bottom"/>
            <w:hideMark/>
          </w:tcPr>
          <w:p w14:paraId="1D3978E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40.236,00</w:t>
            </w:r>
          </w:p>
        </w:tc>
        <w:tc>
          <w:tcPr>
            <w:tcW w:w="1660" w:type="dxa"/>
            <w:tcBorders>
              <w:top w:val="single" w:sz="4" w:space="0" w:color="auto"/>
              <w:left w:val="nil"/>
              <w:bottom w:val="single" w:sz="4" w:space="0" w:color="auto"/>
              <w:right w:val="single" w:sz="4" w:space="0" w:color="auto"/>
            </w:tcBorders>
            <w:noWrap/>
            <w:vAlign w:val="bottom"/>
            <w:hideMark/>
          </w:tcPr>
          <w:p w14:paraId="40E1089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40.236,00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141389A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115,80%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C94D51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w:t>
            </w:r>
          </w:p>
        </w:tc>
      </w:tr>
      <w:tr w:rsidR="00416D67" w:rsidRPr="00416D67" w14:paraId="7AB4FF55" w14:textId="77777777" w:rsidTr="00BB1392">
        <w:trPr>
          <w:trHeight w:val="180"/>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4362228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5.2. Tekuće pomoći državni proračun PK</w:t>
            </w:r>
          </w:p>
        </w:tc>
        <w:tc>
          <w:tcPr>
            <w:tcW w:w="1540" w:type="dxa"/>
            <w:tcBorders>
              <w:top w:val="single" w:sz="4" w:space="0" w:color="auto"/>
              <w:left w:val="nil"/>
              <w:bottom w:val="single" w:sz="4" w:space="0" w:color="auto"/>
              <w:right w:val="single" w:sz="4" w:space="0" w:color="auto"/>
            </w:tcBorders>
            <w:noWrap/>
            <w:vAlign w:val="bottom"/>
            <w:hideMark/>
          </w:tcPr>
          <w:p w14:paraId="26D2F7E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1.791,60</w:t>
            </w:r>
          </w:p>
        </w:tc>
        <w:tc>
          <w:tcPr>
            <w:tcW w:w="1620" w:type="dxa"/>
            <w:tcBorders>
              <w:top w:val="single" w:sz="4" w:space="0" w:color="auto"/>
              <w:left w:val="nil"/>
              <w:bottom w:val="single" w:sz="4" w:space="0" w:color="auto"/>
              <w:right w:val="single" w:sz="4" w:space="0" w:color="auto"/>
            </w:tcBorders>
            <w:noWrap/>
            <w:vAlign w:val="bottom"/>
            <w:hideMark/>
          </w:tcPr>
          <w:p w14:paraId="067CF32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6.164,00</w:t>
            </w:r>
          </w:p>
        </w:tc>
        <w:tc>
          <w:tcPr>
            <w:tcW w:w="1600" w:type="dxa"/>
            <w:tcBorders>
              <w:top w:val="single" w:sz="4" w:space="0" w:color="auto"/>
              <w:left w:val="nil"/>
              <w:bottom w:val="single" w:sz="4" w:space="0" w:color="auto"/>
              <w:right w:val="single" w:sz="4" w:space="0" w:color="auto"/>
            </w:tcBorders>
            <w:noWrap/>
            <w:vAlign w:val="bottom"/>
            <w:hideMark/>
          </w:tcPr>
          <w:p w14:paraId="02889BF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6.164,00</w:t>
            </w:r>
          </w:p>
        </w:tc>
        <w:tc>
          <w:tcPr>
            <w:tcW w:w="1660" w:type="dxa"/>
            <w:tcBorders>
              <w:top w:val="single" w:sz="4" w:space="0" w:color="auto"/>
              <w:left w:val="nil"/>
              <w:bottom w:val="single" w:sz="4" w:space="0" w:color="auto"/>
              <w:right w:val="single" w:sz="4" w:space="0" w:color="auto"/>
            </w:tcBorders>
            <w:noWrap/>
            <w:vAlign w:val="bottom"/>
            <w:hideMark/>
          </w:tcPr>
          <w:p w14:paraId="4DD3740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5.858,40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4416CD3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326,99%</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9CCA3C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95,04%</w:t>
            </w:r>
          </w:p>
        </w:tc>
      </w:tr>
      <w:tr w:rsidR="00416D67" w:rsidRPr="00416D67" w14:paraId="67F53CF4" w14:textId="77777777" w:rsidTr="00BB1392">
        <w:trPr>
          <w:trHeight w:val="180"/>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0CB4567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Izvor 5.3. Tekuće pomoći PK JLP(R)S </w:t>
            </w:r>
          </w:p>
        </w:tc>
        <w:tc>
          <w:tcPr>
            <w:tcW w:w="1540" w:type="dxa"/>
            <w:tcBorders>
              <w:top w:val="single" w:sz="4" w:space="0" w:color="auto"/>
              <w:left w:val="nil"/>
              <w:bottom w:val="single" w:sz="4" w:space="0" w:color="auto"/>
              <w:right w:val="single" w:sz="4" w:space="0" w:color="auto"/>
            </w:tcBorders>
            <w:noWrap/>
            <w:vAlign w:val="bottom"/>
            <w:hideMark/>
          </w:tcPr>
          <w:p w14:paraId="7D66E7E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5.481,43</w:t>
            </w:r>
          </w:p>
        </w:tc>
        <w:tc>
          <w:tcPr>
            <w:tcW w:w="1620" w:type="dxa"/>
            <w:tcBorders>
              <w:top w:val="single" w:sz="4" w:space="0" w:color="auto"/>
              <w:left w:val="nil"/>
              <w:bottom w:val="single" w:sz="4" w:space="0" w:color="auto"/>
              <w:right w:val="single" w:sz="4" w:space="0" w:color="auto"/>
            </w:tcBorders>
            <w:noWrap/>
            <w:vAlign w:val="bottom"/>
            <w:hideMark/>
          </w:tcPr>
          <w:p w14:paraId="6FDC6C3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14.750,00</w:t>
            </w:r>
          </w:p>
        </w:tc>
        <w:tc>
          <w:tcPr>
            <w:tcW w:w="1600" w:type="dxa"/>
            <w:tcBorders>
              <w:top w:val="single" w:sz="4" w:space="0" w:color="auto"/>
              <w:left w:val="nil"/>
              <w:bottom w:val="single" w:sz="4" w:space="0" w:color="auto"/>
              <w:right w:val="single" w:sz="4" w:space="0" w:color="auto"/>
            </w:tcBorders>
            <w:noWrap/>
            <w:vAlign w:val="bottom"/>
            <w:hideMark/>
          </w:tcPr>
          <w:p w14:paraId="7630D41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14.750,00</w:t>
            </w:r>
          </w:p>
        </w:tc>
        <w:tc>
          <w:tcPr>
            <w:tcW w:w="1660" w:type="dxa"/>
            <w:tcBorders>
              <w:top w:val="single" w:sz="4" w:space="0" w:color="auto"/>
              <w:left w:val="nil"/>
              <w:bottom w:val="single" w:sz="4" w:space="0" w:color="auto"/>
              <w:right w:val="single" w:sz="4" w:space="0" w:color="auto"/>
            </w:tcBorders>
            <w:noWrap/>
            <w:vAlign w:val="bottom"/>
            <w:hideMark/>
          </w:tcPr>
          <w:p w14:paraId="4A4593A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14.481,50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6A3D6B8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264,19%</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152939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98,18%</w:t>
            </w:r>
          </w:p>
        </w:tc>
      </w:tr>
      <w:tr w:rsidR="00416D67" w:rsidRPr="00416D67" w14:paraId="5C5A4982" w14:textId="77777777" w:rsidTr="00BB1392">
        <w:trPr>
          <w:trHeight w:val="180"/>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46305DD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Izvor 5.4. Tekuće pomoći PK JLP(R)S </w:t>
            </w:r>
            <w:proofErr w:type="spellStart"/>
            <w:r w:rsidRPr="00416D67">
              <w:rPr>
                <w:rFonts w:ascii="Arial" w:hAnsi="Arial" w:cs="Arial"/>
                <w:b/>
                <w:bCs/>
                <w:sz w:val="14"/>
                <w:szCs w:val="14"/>
              </w:rPr>
              <w:t>Ist.županija</w:t>
            </w:r>
            <w:proofErr w:type="spellEnd"/>
          </w:p>
        </w:tc>
        <w:tc>
          <w:tcPr>
            <w:tcW w:w="1540" w:type="dxa"/>
            <w:tcBorders>
              <w:top w:val="single" w:sz="4" w:space="0" w:color="auto"/>
              <w:left w:val="nil"/>
              <w:bottom w:val="single" w:sz="4" w:space="0" w:color="auto"/>
              <w:right w:val="single" w:sz="4" w:space="0" w:color="auto"/>
            </w:tcBorders>
            <w:noWrap/>
            <w:vAlign w:val="bottom"/>
            <w:hideMark/>
          </w:tcPr>
          <w:p w14:paraId="488BFA7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1620" w:type="dxa"/>
            <w:tcBorders>
              <w:top w:val="single" w:sz="4" w:space="0" w:color="auto"/>
              <w:left w:val="nil"/>
              <w:bottom w:val="single" w:sz="4" w:space="0" w:color="auto"/>
              <w:right w:val="single" w:sz="4" w:space="0" w:color="auto"/>
            </w:tcBorders>
            <w:noWrap/>
            <w:vAlign w:val="bottom"/>
            <w:hideMark/>
          </w:tcPr>
          <w:p w14:paraId="3D144B0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1600" w:type="dxa"/>
            <w:tcBorders>
              <w:top w:val="single" w:sz="4" w:space="0" w:color="auto"/>
              <w:left w:val="nil"/>
              <w:bottom w:val="single" w:sz="4" w:space="0" w:color="auto"/>
              <w:right w:val="single" w:sz="4" w:space="0" w:color="auto"/>
            </w:tcBorders>
            <w:noWrap/>
            <w:vAlign w:val="bottom"/>
            <w:hideMark/>
          </w:tcPr>
          <w:p w14:paraId="4E8FDE7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1660" w:type="dxa"/>
            <w:tcBorders>
              <w:top w:val="single" w:sz="4" w:space="0" w:color="auto"/>
              <w:left w:val="nil"/>
              <w:bottom w:val="single" w:sz="4" w:space="0" w:color="auto"/>
              <w:right w:val="single" w:sz="4" w:space="0" w:color="auto"/>
            </w:tcBorders>
            <w:noWrap/>
            <w:vAlign w:val="bottom"/>
            <w:hideMark/>
          </w:tcPr>
          <w:p w14:paraId="0055F2D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7C51EEC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E415B5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6621CC86" w14:textId="77777777" w:rsidTr="00BB1392">
        <w:trPr>
          <w:trHeight w:val="180"/>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0EC2FAE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Izvor 5.6.6 Pomoći EU  (program razvoja kružnog </w:t>
            </w:r>
            <w:proofErr w:type="spellStart"/>
            <w:r w:rsidRPr="00416D67">
              <w:rPr>
                <w:rFonts w:ascii="Arial" w:hAnsi="Arial" w:cs="Arial"/>
                <w:b/>
                <w:bCs/>
                <w:sz w:val="14"/>
                <w:szCs w:val="14"/>
              </w:rPr>
              <w:t>gospod</w:t>
            </w:r>
            <w:proofErr w:type="spellEnd"/>
            <w:r w:rsidRPr="00416D67">
              <w:rPr>
                <w:rFonts w:ascii="Arial" w:hAnsi="Arial" w:cs="Arial"/>
                <w:b/>
                <w:bCs/>
                <w:sz w:val="14"/>
                <w:szCs w:val="14"/>
              </w:rPr>
              <w:t xml:space="preserve"> prostorom i </w:t>
            </w:r>
            <w:proofErr w:type="spellStart"/>
            <w:r w:rsidRPr="00416D67">
              <w:rPr>
                <w:rFonts w:ascii="Arial" w:hAnsi="Arial" w:cs="Arial"/>
                <w:b/>
                <w:bCs/>
                <w:sz w:val="14"/>
                <w:szCs w:val="14"/>
              </w:rPr>
              <w:t>zgrad</w:t>
            </w:r>
            <w:proofErr w:type="spellEnd"/>
          </w:p>
        </w:tc>
        <w:tc>
          <w:tcPr>
            <w:tcW w:w="1540" w:type="dxa"/>
            <w:tcBorders>
              <w:top w:val="single" w:sz="4" w:space="0" w:color="auto"/>
              <w:left w:val="nil"/>
              <w:bottom w:val="single" w:sz="4" w:space="0" w:color="auto"/>
              <w:right w:val="single" w:sz="4" w:space="0" w:color="auto"/>
            </w:tcBorders>
            <w:noWrap/>
            <w:vAlign w:val="bottom"/>
            <w:hideMark/>
          </w:tcPr>
          <w:p w14:paraId="691F973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620" w:type="dxa"/>
            <w:tcBorders>
              <w:top w:val="single" w:sz="4" w:space="0" w:color="auto"/>
              <w:left w:val="nil"/>
              <w:bottom w:val="single" w:sz="4" w:space="0" w:color="auto"/>
              <w:right w:val="single" w:sz="4" w:space="0" w:color="auto"/>
            </w:tcBorders>
            <w:noWrap/>
            <w:vAlign w:val="bottom"/>
            <w:hideMark/>
          </w:tcPr>
          <w:p w14:paraId="7BF87D5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31.487,70</w:t>
            </w:r>
          </w:p>
        </w:tc>
        <w:tc>
          <w:tcPr>
            <w:tcW w:w="1600" w:type="dxa"/>
            <w:tcBorders>
              <w:top w:val="single" w:sz="4" w:space="0" w:color="auto"/>
              <w:left w:val="nil"/>
              <w:bottom w:val="single" w:sz="4" w:space="0" w:color="auto"/>
              <w:right w:val="single" w:sz="4" w:space="0" w:color="auto"/>
            </w:tcBorders>
            <w:noWrap/>
            <w:vAlign w:val="bottom"/>
            <w:hideMark/>
          </w:tcPr>
          <w:p w14:paraId="06ECFEB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31.487,70</w:t>
            </w:r>
          </w:p>
        </w:tc>
        <w:tc>
          <w:tcPr>
            <w:tcW w:w="1660" w:type="dxa"/>
            <w:tcBorders>
              <w:top w:val="single" w:sz="4" w:space="0" w:color="auto"/>
              <w:left w:val="nil"/>
              <w:bottom w:val="single" w:sz="4" w:space="0" w:color="auto"/>
              <w:right w:val="single" w:sz="4" w:space="0" w:color="auto"/>
            </w:tcBorders>
            <w:noWrap/>
            <w:vAlign w:val="bottom"/>
            <w:hideMark/>
          </w:tcPr>
          <w:p w14:paraId="4CF5A95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31.487,69</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076E8B8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6EABB5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99,37%</w:t>
            </w:r>
          </w:p>
        </w:tc>
      </w:tr>
    </w:tbl>
    <w:p w14:paraId="39B01B4E" w14:textId="77777777" w:rsidR="00416D67" w:rsidRPr="00416D67" w:rsidRDefault="00416D67" w:rsidP="00416D67">
      <w:pPr>
        <w:jc w:val="both"/>
        <w:rPr>
          <w:b/>
        </w:rPr>
      </w:pPr>
    </w:p>
    <w:p w14:paraId="34144505" w14:textId="77777777" w:rsidR="00416D67" w:rsidRPr="00416D67" w:rsidRDefault="00416D67" w:rsidP="00416D67">
      <w:pPr>
        <w:jc w:val="both"/>
        <w:rPr>
          <w:b/>
        </w:rPr>
      </w:pPr>
    </w:p>
    <w:p w14:paraId="08A8A7D0" w14:textId="77777777" w:rsidR="00416D67" w:rsidRPr="00416D67" w:rsidRDefault="00416D67" w:rsidP="00416D67">
      <w:pPr>
        <w:jc w:val="both"/>
        <w:rPr>
          <w:b/>
        </w:rPr>
      </w:pPr>
    </w:p>
    <w:p w14:paraId="493A859E" w14:textId="77777777" w:rsidR="00416D67" w:rsidRPr="00416D67" w:rsidRDefault="00416D67" w:rsidP="00416D67">
      <w:pPr>
        <w:jc w:val="both"/>
        <w:rPr>
          <w:b/>
        </w:rPr>
      </w:pPr>
    </w:p>
    <w:p w14:paraId="6524DAEF" w14:textId="77777777" w:rsidR="00416D67" w:rsidRPr="00416D67" w:rsidRDefault="00416D67" w:rsidP="00416D67">
      <w:pPr>
        <w:jc w:val="both"/>
        <w:rPr>
          <w:b/>
        </w:rPr>
      </w:pPr>
    </w:p>
    <w:p w14:paraId="51EFE92D" w14:textId="77777777" w:rsidR="00416D67" w:rsidRPr="00416D67" w:rsidRDefault="00416D67" w:rsidP="00416D67">
      <w:pPr>
        <w:jc w:val="both"/>
        <w:rPr>
          <w:b/>
        </w:rPr>
      </w:pPr>
    </w:p>
    <w:p w14:paraId="7BD141D4" w14:textId="77777777" w:rsidR="00416D67" w:rsidRPr="00416D67" w:rsidRDefault="00416D67" w:rsidP="00416D67">
      <w:pPr>
        <w:jc w:val="both"/>
        <w:rPr>
          <w:b/>
        </w:rPr>
      </w:pPr>
    </w:p>
    <w:tbl>
      <w:tblPr>
        <w:tblW w:w="15200" w:type="dxa"/>
        <w:tblInd w:w="93" w:type="dxa"/>
        <w:tblLook w:val="04A0" w:firstRow="1" w:lastRow="0" w:firstColumn="1" w:lastColumn="0" w:noHBand="0" w:noVBand="1"/>
      </w:tblPr>
      <w:tblGrid>
        <w:gridCol w:w="6800"/>
        <w:gridCol w:w="1540"/>
        <w:gridCol w:w="1620"/>
        <w:gridCol w:w="1600"/>
        <w:gridCol w:w="1660"/>
        <w:gridCol w:w="1020"/>
        <w:gridCol w:w="960"/>
      </w:tblGrid>
      <w:tr w:rsidR="00416D67" w:rsidRPr="00416D67" w14:paraId="547546F2" w14:textId="77777777" w:rsidTr="00BB1392">
        <w:trPr>
          <w:trHeight w:val="720"/>
        </w:trPr>
        <w:tc>
          <w:tcPr>
            <w:tcW w:w="6800"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5D76418"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 xml:space="preserve">Rashodi  prema izvorima financiranja </w:t>
            </w:r>
          </w:p>
        </w:tc>
        <w:tc>
          <w:tcPr>
            <w:tcW w:w="1540" w:type="dxa"/>
            <w:tcBorders>
              <w:top w:val="single" w:sz="4" w:space="0" w:color="auto"/>
              <w:left w:val="nil"/>
              <w:bottom w:val="single" w:sz="4" w:space="0" w:color="auto"/>
              <w:right w:val="single" w:sz="4" w:space="0" w:color="auto"/>
            </w:tcBorders>
            <w:shd w:val="clear" w:color="000000" w:fill="C0C0C0"/>
            <w:vAlign w:val="center"/>
            <w:hideMark/>
          </w:tcPr>
          <w:p w14:paraId="5327ACC8"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2024. godina</w:t>
            </w:r>
          </w:p>
        </w:tc>
        <w:tc>
          <w:tcPr>
            <w:tcW w:w="1620" w:type="dxa"/>
            <w:tcBorders>
              <w:top w:val="single" w:sz="4" w:space="0" w:color="auto"/>
              <w:left w:val="nil"/>
              <w:bottom w:val="single" w:sz="4" w:space="0" w:color="auto"/>
              <w:right w:val="single" w:sz="4" w:space="0" w:color="auto"/>
            </w:tcBorders>
            <w:shd w:val="clear" w:color="000000" w:fill="C0C0C0"/>
            <w:vAlign w:val="center"/>
            <w:hideMark/>
          </w:tcPr>
          <w:p w14:paraId="341C5A1C"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600" w:type="dxa"/>
            <w:tcBorders>
              <w:top w:val="single" w:sz="4" w:space="0" w:color="auto"/>
              <w:left w:val="nil"/>
              <w:bottom w:val="single" w:sz="4" w:space="0" w:color="auto"/>
              <w:right w:val="single" w:sz="4" w:space="0" w:color="auto"/>
            </w:tcBorders>
            <w:shd w:val="clear" w:color="000000" w:fill="C0C0C0"/>
            <w:vAlign w:val="center"/>
            <w:hideMark/>
          </w:tcPr>
          <w:p w14:paraId="3EB9BBC3"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660" w:type="dxa"/>
            <w:tcBorders>
              <w:top w:val="single" w:sz="4" w:space="0" w:color="auto"/>
              <w:left w:val="nil"/>
              <w:bottom w:val="single" w:sz="4" w:space="0" w:color="auto"/>
              <w:right w:val="single" w:sz="4" w:space="0" w:color="auto"/>
            </w:tcBorders>
            <w:shd w:val="clear" w:color="000000" w:fill="C0C0C0"/>
            <w:vAlign w:val="center"/>
            <w:hideMark/>
          </w:tcPr>
          <w:p w14:paraId="76650EA3"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102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1DEF8B83"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4/1</w:t>
            </w:r>
          </w:p>
        </w:tc>
        <w:tc>
          <w:tcPr>
            <w:tcW w:w="96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9C7E3A8"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4/3</w:t>
            </w:r>
          </w:p>
        </w:tc>
      </w:tr>
      <w:tr w:rsidR="00416D67" w:rsidRPr="00416D67" w14:paraId="1DF285C1"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22FA47B"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 xml:space="preserve"> </w:t>
            </w:r>
          </w:p>
        </w:tc>
        <w:tc>
          <w:tcPr>
            <w:tcW w:w="1540" w:type="dxa"/>
            <w:tcBorders>
              <w:top w:val="single" w:sz="4" w:space="0" w:color="auto"/>
              <w:left w:val="nil"/>
              <w:bottom w:val="single" w:sz="4" w:space="0" w:color="auto"/>
              <w:right w:val="single" w:sz="4" w:space="0" w:color="auto"/>
            </w:tcBorders>
            <w:shd w:val="clear" w:color="000000" w:fill="C0C0C0"/>
            <w:noWrap/>
            <w:vAlign w:val="bottom"/>
            <w:hideMark/>
          </w:tcPr>
          <w:p w14:paraId="68C5D21B"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1</w:t>
            </w:r>
          </w:p>
        </w:tc>
        <w:tc>
          <w:tcPr>
            <w:tcW w:w="1620" w:type="dxa"/>
            <w:tcBorders>
              <w:top w:val="single" w:sz="4" w:space="0" w:color="auto"/>
              <w:left w:val="nil"/>
              <w:bottom w:val="single" w:sz="4" w:space="0" w:color="auto"/>
              <w:right w:val="single" w:sz="4" w:space="0" w:color="auto"/>
            </w:tcBorders>
            <w:shd w:val="clear" w:color="000000" w:fill="C0C0C0"/>
            <w:noWrap/>
            <w:vAlign w:val="bottom"/>
            <w:hideMark/>
          </w:tcPr>
          <w:p w14:paraId="081A4455"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2</w:t>
            </w:r>
          </w:p>
        </w:tc>
        <w:tc>
          <w:tcPr>
            <w:tcW w:w="1600" w:type="dxa"/>
            <w:tcBorders>
              <w:top w:val="single" w:sz="4" w:space="0" w:color="auto"/>
              <w:left w:val="nil"/>
              <w:bottom w:val="single" w:sz="4" w:space="0" w:color="auto"/>
              <w:right w:val="single" w:sz="4" w:space="0" w:color="auto"/>
            </w:tcBorders>
            <w:shd w:val="clear" w:color="000000" w:fill="C0C0C0"/>
            <w:noWrap/>
            <w:vAlign w:val="bottom"/>
            <w:hideMark/>
          </w:tcPr>
          <w:p w14:paraId="72BC2148"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3</w:t>
            </w:r>
          </w:p>
        </w:tc>
        <w:tc>
          <w:tcPr>
            <w:tcW w:w="1660" w:type="dxa"/>
            <w:tcBorders>
              <w:top w:val="single" w:sz="4" w:space="0" w:color="auto"/>
              <w:left w:val="nil"/>
              <w:bottom w:val="single" w:sz="4" w:space="0" w:color="auto"/>
              <w:right w:val="single" w:sz="4" w:space="0" w:color="auto"/>
            </w:tcBorders>
            <w:shd w:val="clear" w:color="000000" w:fill="C0C0C0"/>
            <w:noWrap/>
            <w:vAlign w:val="bottom"/>
            <w:hideMark/>
          </w:tcPr>
          <w:p w14:paraId="3655AE09"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4</w:t>
            </w:r>
          </w:p>
        </w:tc>
        <w:tc>
          <w:tcPr>
            <w:tcW w:w="102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00251E2"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5</w:t>
            </w:r>
          </w:p>
        </w:tc>
        <w:tc>
          <w:tcPr>
            <w:tcW w:w="96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40C10EF"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6</w:t>
            </w:r>
          </w:p>
        </w:tc>
      </w:tr>
      <w:tr w:rsidR="00416D67" w:rsidRPr="00416D67" w14:paraId="7AE22D8F"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C020A4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6. Donacije</w:t>
            </w:r>
          </w:p>
        </w:tc>
        <w:tc>
          <w:tcPr>
            <w:tcW w:w="1540" w:type="dxa"/>
            <w:tcBorders>
              <w:top w:val="single" w:sz="4" w:space="0" w:color="auto"/>
              <w:left w:val="nil"/>
              <w:bottom w:val="single" w:sz="4" w:space="0" w:color="auto"/>
              <w:right w:val="single" w:sz="4" w:space="0" w:color="auto"/>
            </w:tcBorders>
            <w:shd w:val="clear" w:color="000000" w:fill="FFFF00"/>
            <w:noWrap/>
            <w:vAlign w:val="bottom"/>
            <w:hideMark/>
          </w:tcPr>
          <w:p w14:paraId="7551962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4.715,58</w:t>
            </w:r>
          </w:p>
        </w:tc>
        <w:tc>
          <w:tcPr>
            <w:tcW w:w="1620" w:type="dxa"/>
            <w:tcBorders>
              <w:top w:val="single" w:sz="4" w:space="0" w:color="auto"/>
              <w:left w:val="nil"/>
              <w:bottom w:val="single" w:sz="4" w:space="0" w:color="auto"/>
              <w:right w:val="single" w:sz="4" w:space="0" w:color="auto"/>
            </w:tcBorders>
            <w:shd w:val="clear" w:color="000000" w:fill="FFFF00"/>
            <w:noWrap/>
            <w:vAlign w:val="bottom"/>
            <w:hideMark/>
          </w:tcPr>
          <w:p w14:paraId="55FACF0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w:t>
            </w:r>
          </w:p>
        </w:tc>
        <w:tc>
          <w:tcPr>
            <w:tcW w:w="1600" w:type="dxa"/>
            <w:tcBorders>
              <w:top w:val="single" w:sz="4" w:space="0" w:color="auto"/>
              <w:left w:val="nil"/>
              <w:bottom w:val="single" w:sz="4" w:space="0" w:color="auto"/>
              <w:right w:val="single" w:sz="4" w:space="0" w:color="auto"/>
            </w:tcBorders>
            <w:shd w:val="clear" w:color="000000" w:fill="FFFF00"/>
            <w:noWrap/>
            <w:vAlign w:val="bottom"/>
            <w:hideMark/>
          </w:tcPr>
          <w:p w14:paraId="11E43C0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w:t>
            </w:r>
          </w:p>
        </w:tc>
        <w:tc>
          <w:tcPr>
            <w:tcW w:w="1660" w:type="dxa"/>
            <w:tcBorders>
              <w:top w:val="single" w:sz="4" w:space="0" w:color="auto"/>
              <w:left w:val="nil"/>
              <w:bottom w:val="single" w:sz="4" w:space="0" w:color="auto"/>
              <w:right w:val="single" w:sz="4" w:space="0" w:color="auto"/>
            </w:tcBorders>
            <w:shd w:val="clear" w:color="000000" w:fill="FFFF00"/>
            <w:noWrap/>
            <w:vAlign w:val="bottom"/>
            <w:hideMark/>
          </w:tcPr>
          <w:p w14:paraId="7BE0544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10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80EF3C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0ABD39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2352FCC3"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51FACCFF" w14:textId="77777777" w:rsidR="00416D67" w:rsidRPr="00416D67" w:rsidRDefault="00416D67" w:rsidP="00416D67">
            <w:pPr>
              <w:rPr>
                <w:rFonts w:ascii="Arial" w:hAnsi="Arial" w:cs="Arial"/>
                <w:sz w:val="14"/>
                <w:szCs w:val="14"/>
              </w:rPr>
            </w:pPr>
            <w:r w:rsidRPr="00416D67">
              <w:rPr>
                <w:rFonts w:ascii="Arial" w:hAnsi="Arial" w:cs="Arial"/>
                <w:sz w:val="14"/>
                <w:szCs w:val="14"/>
              </w:rPr>
              <w:t>Izvor 6.1. 06 Donacije</w:t>
            </w:r>
          </w:p>
        </w:tc>
        <w:tc>
          <w:tcPr>
            <w:tcW w:w="1540" w:type="dxa"/>
            <w:tcBorders>
              <w:top w:val="single" w:sz="4" w:space="0" w:color="auto"/>
              <w:left w:val="nil"/>
              <w:bottom w:val="single" w:sz="4" w:space="0" w:color="auto"/>
              <w:right w:val="single" w:sz="4" w:space="0" w:color="auto"/>
            </w:tcBorders>
            <w:noWrap/>
            <w:vAlign w:val="bottom"/>
            <w:hideMark/>
          </w:tcPr>
          <w:p w14:paraId="1D972AD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4.715,58</w:t>
            </w:r>
          </w:p>
        </w:tc>
        <w:tc>
          <w:tcPr>
            <w:tcW w:w="1620" w:type="dxa"/>
            <w:tcBorders>
              <w:top w:val="single" w:sz="4" w:space="0" w:color="auto"/>
              <w:left w:val="nil"/>
              <w:bottom w:val="single" w:sz="4" w:space="0" w:color="auto"/>
              <w:right w:val="single" w:sz="4" w:space="0" w:color="auto"/>
            </w:tcBorders>
            <w:noWrap/>
            <w:vAlign w:val="bottom"/>
            <w:hideMark/>
          </w:tcPr>
          <w:p w14:paraId="4B52D8D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600" w:type="dxa"/>
            <w:tcBorders>
              <w:top w:val="single" w:sz="4" w:space="0" w:color="auto"/>
              <w:left w:val="nil"/>
              <w:bottom w:val="single" w:sz="4" w:space="0" w:color="auto"/>
              <w:right w:val="single" w:sz="4" w:space="0" w:color="auto"/>
            </w:tcBorders>
            <w:noWrap/>
            <w:vAlign w:val="bottom"/>
            <w:hideMark/>
          </w:tcPr>
          <w:p w14:paraId="4455711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660" w:type="dxa"/>
            <w:tcBorders>
              <w:top w:val="single" w:sz="4" w:space="0" w:color="auto"/>
              <w:left w:val="nil"/>
              <w:bottom w:val="single" w:sz="4" w:space="0" w:color="auto"/>
              <w:right w:val="single" w:sz="4" w:space="0" w:color="auto"/>
            </w:tcBorders>
            <w:noWrap/>
            <w:vAlign w:val="bottom"/>
            <w:hideMark/>
          </w:tcPr>
          <w:p w14:paraId="1CDF858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4612322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31BFA0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74AEB44B"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41B79D1B" w14:textId="77777777" w:rsidR="00416D67" w:rsidRPr="00416D67" w:rsidRDefault="00416D67" w:rsidP="00416D67">
            <w:pPr>
              <w:rPr>
                <w:rFonts w:ascii="Arial" w:hAnsi="Arial" w:cs="Arial"/>
                <w:sz w:val="14"/>
                <w:szCs w:val="14"/>
              </w:rPr>
            </w:pPr>
            <w:r w:rsidRPr="00416D67">
              <w:rPr>
                <w:rFonts w:ascii="Arial" w:hAnsi="Arial" w:cs="Arial"/>
                <w:sz w:val="14"/>
                <w:szCs w:val="14"/>
              </w:rPr>
              <w:t>Izvor 6.2. Donacije PK</w:t>
            </w:r>
          </w:p>
        </w:tc>
        <w:tc>
          <w:tcPr>
            <w:tcW w:w="1540" w:type="dxa"/>
            <w:tcBorders>
              <w:top w:val="single" w:sz="4" w:space="0" w:color="auto"/>
              <w:left w:val="nil"/>
              <w:bottom w:val="single" w:sz="4" w:space="0" w:color="auto"/>
              <w:right w:val="single" w:sz="4" w:space="0" w:color="auto"/>
            </w:tcBorders>
            <w:noWrap/>
            <w:vAlign w:val="bottom"/>
            <w:hideMark/>
          </w:tcPr>
          <w:p w14:paraId="3C12ED9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620" w:type="dxa"/>
            <w:tcBorders>
              <w:top w:val="single" w:sz="4" w:space="0" w:color="auto"/>
              <w:left w:val="nil"/>
              <w:bottom w:val="single" w:sz="4" w:space="0" w:color="auto"/>
              <w:right w:val="single" w:sz="4" w:space="0" w:color="auto"/>
            </w:tcBorders>
            <w:noWrap/>
            <w:vAlign w:val="bottom"/>
            <w:hideMark/>
          </w:tcPr>
          <w:p w14:paraId="3D31E9C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300,00</w:t>
            </w:r>
          </w:p>
        </w:tc>
        <w:tc>
          <w:tcPr>
            <w:tcW w:w="1600" w:type="dxa"/>
            <w:tcBorders>
              <w:top w:val="single" w:sz="4" w:space="0" w:color="auto"/>
              <w:left w:val="nil"/>
              <w:bottom w:val="single" w:sz="4" w:space="0" w:color="auto"/>
              <w:right w:val="single" w:sz="4" w:space="0" w:color="auto"/>
            </w:tcBorders>
            <w:noWrap/>
            <w:vAlign w:val="bottom"/>
            <w:hideMark/>
          </w:tcPr>
          <w:p w14:paraId="3EE2B0B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300,00</w:t>
            </w:r>
          </w:p>
        </w:tc>
        <w:tc>
          <w:tcPr>
            <w:tcW w:w="1660" w:type="dxa"/>
            <w:tcBorders>
              <w:top w:val="single" w:sz="4" w:space="0" w:color="auto"/>
              <w:left w:val="nil"/>
              <w:bottom w:val="single" w:sz="4" w:space="0" w:color="auto"/>
              <w:right w:val="single" w:sz="4" w:space="0" w:color="auto"/>
            </w:tcBorders>
            <w:noWrap/>
            <w:vAlign w:val="bottom"/>
            <w:hideMark/>
          </w:tcPr>
          <w:p w14:paraId="19A3320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24C2270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76123F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534646B1"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D47861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Izvor 7. Prihodi od prodaje ili zamjene nefinancijske imovine i </w:t>
            </w:r>
            <w:proofErr w:type="spellStart"/>
            <w:r w:rsidRPr="00416D67">
              <w:rPr>
                <w:rFonts w:ascii="Arial" w:hAnsi="Arial" w:cs="Arial"/>
                <w:b/>
                <w:bCs/>
                <w:sz w:val="14"/>
                <w:szCs w:val="14"/>
              </w:rPr>
              <w:t>nakna</w:t>
            </w:r>
            <w:proofErr w:type="spellEnd"/>
          </w:p>
        </w:tc>
        <w:tc>
          <w:tcPr>
            <w:tcW w:w="1540" w:type="dxa"/>
            <w:tcBorders>
              <w:top w:val="single" w:sz="4" w:space="0" w:color="auto"/>
              <w:left w:val="nil"/>
              <w:bottom w:val="single" w:sz="4" w:space="0" w:color="auto"/>
              <w:right w:val="single" w:sz="4" w:space="0" w:color="auto"/>
            </w:tcBorders>
            <w:shd w:val="clear" w:color="000000" w:fill="FFFF00"/>
            <w:noWrap/>
            <w:vAlign w:val="bottom"/>
            <w:hideMark/>
          </w:tcPr>
          <w:p w14:paraId="6BF059C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8.886,01</w:t>
            </w:r>
          </w:p>
        </w:tc>
        <w:tc>
          <w:tcPr>
            <w:tcW w:w="1620" w:type="dxa"/>
            <w:tcBorders>
              <w:top w:val="single" w:sz="4" w:space="0" w:color="auto"/>
              <w:left w:val="nil"/>
              <w:bottom w:val="single" w:sz="4" w:space="0" w:color="auto"/>
              <w:right w:val="single" w:sz="4" w:space="0" w:color="auto"/>
            </w:tcBorders>
            <w:shd w:val="clear" w:color="000000" w:fill="FFFF00"/>
            <w:noWrap/>
            <w:vAlign w:val="bottom"/>
            <w:hideMark/>
          </w:tcPr>
          <w:p w14:paraId="7EB1FCE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1.683.370,00</w:t>
            </w:r>
          </w:p>
        </w:tc>
        <w:tc>
          <w:tcPr>
            <w:tcW w:w="1600" w:type="dxa"/>
            <w:tcBorders>
              <w:top w:val="single" w:sz="4" w:space="0" w:color="auto"/>
              <w:left w:val="nil"/>
              <w:bottom w:val="single" w:sz="4" w:space="0" w:color="auto"/>
              <w:right w:val="single" w:sz="4" w:space="0" w:color="auto"/>
            </w:tcBorders>
            <w:shd w:val="clear" w:color="000000" w:fill="FFFF00"/>
            <w:noWrap/>
            <w:vAlign w:val="bottom"/>
            <w:hideMark/>
          </w:tcPr>
          <w:p w14:paraId="0D3F949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1.683.370,00</w:t>
            </w:r>
          </w:p>
        </w:tc>
        <w:tc>
          <w:tcPr>
            <w:tcW w:w="1660" w:type="dxa"/>
            <w:tcBorders>
              <w:top w:val="single" w:sz="4" w:space="0" w:color="auto"/>
              <w:left w:val="nil"/>
              <w:bottom w:val="single" w:sz="4" w:space="0" w:color="auto"/>
              <w:right w:val="single" w:sz="4" w:space="0" w:color="auto"/>
            </w:tcBorders>
            <w:shd w:val="clear" w:color="000000" w:fill="FFFF00"/>
            <w:noWrap/>
            <w:vAlign w:val="bottom"/>
            <w:hideMark/>
          </w:tcPr>
          <w:p w14:paraId="5B333B2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550.885,43</w:t>
            </w:r>
          </w:p>
        </w:tc>
        <w:tc>
          <w:tcPr>
            <w:tcW w:w="10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770C45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6199,47%</w:t>
            </w:r>
          </w:p>
        </w:tc>
        <w:tc>
          <w:tcPr>
            <w:tcW w:w="9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C285B6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32,73%</w:t>
            </w:r>
          </w:p>
        </w:tc>
      </w:tr>
      <w:tr w:rsidR="00416D67" w:rsidRPr="00416D67" w14:paraId="57AA2450"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4A12E5D1"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7.1. 07 Prihodi od prodaje ili zamjene  </w:t>
            </w:r>
            <w:proofErr w:type="spellStart"/>
            <w:r w:rsidRPr="00416D67">
              <w:rPr>
                <w:rFonts w:ascii="Arial" w:hAnsi="Arial" w:cs="Arial"/>
                <w:sz w:val="14"/>
                <w:szCs w:val="14"/>
              </w:rPr>
              <w:t>nefinanc.imovine</w:t>
            </w:r>
            <w:proofErr w:type="spellEnd"/>
            <w:r w:rsidRPr="00416D67">
              <w:rPr>
                <w:rFonts w:ascii="Arial" w:hAnsi="Arial" w:cs="Arial"/>
                <w:sz w:val="14"/>
                <w:szCs w:val="14"/>
              </w:rPr>
              <w:t xml:space="preserve"> i </w:t>
            </w:r>
            <w:proofErr w:type="spellStart"/>
            <w:r w:rsidRPr="00416D67">
              <w:rPr>
                <w:rFonts w:ascii="Arial" w:hAnsi="Arial" w:cs="Arial"/>
                <w:sz w:val="14"/>
                <w:szCs w:val="14"/>
              </w:rPr>
              <w:t>nadokn</w:t>
            </w:r>
            <w:proofErr w:type="spellEnd"/>
          </w:p>
        </w:tc>
        <w:tc>
          <w:tcPr>
            <w:tcW w:w="1540" w:type="dxa"/>
            <w:tcBorders>
              <w:top w:val="single" w:sz="4" w:space="0" w:color="auto"/>
              <w:left w:val="nil"/>
              <w:bottom w:val="single" w:sz="4" w:space="0" w:color="auto"/>
              <w:right w:val="single" w:sz="4" w:space="0" w:color="auto"/>
            </w:tcBorders>
            <w:noWrap/>
            <w:vAlign w:val="bottom"/>
            <w:hideMark/>
          </w:tcPr>
          <w:p w14:paraId="520763E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2.140,00</w:t>
            </w:r>
          </w:p>
        </w:tc>
        <w:tc>
          <w:tcPr>
            <w:tcW w:w="1620" w:type="dxa"/>
            <w:tcBorders>
              <w:top w:val="single" w:sz="4" w:space="0" w:color="auto"/>
              <w:left w:val="nil"/>
              <w:bottom w:val="single" w:sz="4" w:space="0" w:color="auto"/>
              <w:right w:val="single" w:sz="4" w:space="0" w:color="auto"/>
            </w:tcBorders>
            <w:noWrap/>
            <w:vAlign w:val="bottom"/>
            <w:hideMark/>
          </w:tcPr>
          <w:p w14:paraId="008FB09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1.679.870,00</w:t>
            </w:r>
          </w:p>
        </w:tc>
        <w:tc>
          <w:tcPr>
            <w:tcW w:w="1600" w:type="dxa"/>
            <w:tcBorders>
              <w:top w:val="single" w:sz="4" w:space="0" w:color="auto"/>
              <w:left w:val="nil"/>
              <w:bottom w:val="single" w:sz="4" w:space="0" w:color="auto"/>
              <w:right w:val="single" w:sz="4" w:space="0" w:color="auto"/>
            </w:tcBorders>
            <w:noWrap/>
            <w:vAlign w:val="bottom"/>
            <w:hideMark/>
          </w:tcPr>
          <w:p w14:paraId="2376626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1.679.870,00</w:t>
            </w:r>
          </w:p>
        </w:tc>
        <w:tc>
          <w:tcPr>
            <w:tcW w:w="1660" w:type="dxa"/>
            <w:tcBorders>
              <w:top w:val="single" w:sz="4" w:space="0" w:color="auto"/>
              <w:left w:val="nil"/>
              <w:bottom w:val="single" w:sz="4" w:space="0" w:color="auto"/>
              <w:right w:val="single" w:sz="4" w:space="0" w:color="auto"/>
            </w:tcBorders>
            <w:noWrap/>
            <w:vAlign w:val="bottom"/>
            <w:hideMark/>
          </w:tcPr>
          <w:p w14:paraId="0FA8EEB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547.938,78</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5ED9DE4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25604,62%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730D6B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32,62%</w:t>
            </w:r>
          </w:p>
        </w:tc>
      </w:tr>
      <w:tr w:rsidR="00416D67" w:rsidRPr="00416D67" w14:paraId="1BB2CF0A"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353FF83D"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7.2. Prodaja državnog </w:t>
            </w:r>
            <w:proofErr w:type="spellStart"/>
            <w:r w:rsidRPr="00416D67">
              <w:rPr>
                <w:rFonts w:ascii="Arial" w:hAnsi="Arial" w:cs="Arial"/>
                <w:sz w:val="14"/>
                <w:szCs w:val="14"/>
              </w:rPr>
              <w:t>poljopr.zemljišta</w:t>
            </w:r>
            <w:proofErr w:type="spellEnd"/>
            <w:r w:rsidRPr="00416D67">
              <w:rPr>
                <w:rFonts w:ascii="Arial" w:hAnsi="Arial" w:cs="Arial"/>
                <w:sz w:val="14"/>
                <w:szCs w:val="14"/>
              </w:rPr>
              <w:t xml:space="preserve"> 6457</w:t>
            </w:r>
          </w:p>
        </w:tc>
        <w:tc>
          <w:tcPr>
            <w:tcW w:w="1540" w:type="dxa"/>
            <w:tcBorders>
              <w:top w:val="single" w:sz="4" w:space="0" w:color="auto"/>
              <w:left w:val="nil"/>
              <w:bottom w:val="single" w:sz="4" w:space="0" w:color="auto"/>
              <w:right w:val="single" w:sz="4" w:space="0" w:color="auto"/>
            </w:tcBorders>
            <w:noWrap/>
            <w:vAlign w:val="bottom"/>
            <w:hideMark/>
          </w:tcPr>
          <w:p w14:paraId="72231A9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6.746,01</w:t>
            </w:r>
          </w:p>
        </w:tc>
        <w:tc>
          <w:tcPr>
            <w:tcW w:w="1620" w:type="dxa"/>
            <w:tcBorders>
              <w:top w:val="single" w:sz="4" w:space="0" w:color="auto"/>
              <w:left w:val="nil"/>
              <w:bottom w:val="single" w:sz="4" w:space="0" w:color="auto"/>
              <w:right w:val="single" w:sz="4" w:space="0" w:color="auto"/>
            </w:tcBorders>
            <w:noWrap/>
            <w:vAlign w:val="bottom"/>
            <w:hideMark/>
          </w:tcPr>
          <w:p w14:paraId="47BF27C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3.500,00</w:t>
            </w:r>
          </w:p>
        </w:tc>
        <w:tc>
          <w:tcPr>
            <w:tcW w:w="1600" w:type="dxa"/>
            <w:tcBorders>
              <w:top w:val="single" w:sz="4" w:space="0" w:color="auto"/>
              <w:left w:val="nil"/>
              <w:bottom w:val="single" w:sz="4" w:space="0" w:color="auto"/>
              <w:right w:val="single" w:sz="4" w:space="0" w:color="auto"/>
            </w:tcBorders>
            <w:noWrap/>
            <w:vAlign w:val="bottom"/>
            <w:hideMark/>
          </w:tcPr>
          <w:p w14:paraId="0B660E4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3.500,00</w:t>
            </w:r>
          </w:p>
        </w:tc>
        <w:tc>
          <w:tcPr>
            <w:tcW w:w="1660" w:type="dxa"/>
            <w:tcBorders>
              <w:top w:val="single" w:sz="4" w:space="0" w:color="auto"/>
              <w:left w:val="nil"/>
              <w:bottom w:val="single" w:sz="4" w:space="0" w:color="auto"/>
              <w:right w:val="single" w:sz="4" w:space="0" w:color="auto"/>
            </w:tcBorders>
            <w:noWrap/>
            <w:vAlign w:val="bottom"/>
            <w:hideMark/>
          </w:tcPr>
          <w:p w14:paraId="653EA5D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2.946,65</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2F6D001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43,68%</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3A9948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84,19%</w:t>
            </w:r>
          </w:p>
        </w:tc>
      </w:tr>
      <w:tr w:rsidR="00416D67" w:rsidRPr="00416D67" w14:paraId="12C5B397"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5BD729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9. Višak prihoda ranijih godina</w:t>
            </w:r>
          </w:p>
        </w:tc>
        <w:tc>
          <w:tcPr>
            <w:tcW w:w="1540" w:type="dxa"/>
            <w:tcBorders>
              <w:top w:val="single" w:sz="4" w:space="0" w:color="auto"/>
              <w:left w:val="nil"/>
              <w:bottom w:val="single" w:sz="4" w:space="0" w:color="auto"/>
              <w:right w:val="single" w:sz="4" w:space="0" w:color="auto"/>
            </w:tcBorders>
            <w:shd w:val="clear" w:color="000000" w:fill="FFFF00"/>
            <w:noWrap/>
            <w:vAlign w:val="bottom"/>
            <w:hideMark/>
          </w:tcPr>
          <w:p w14:paraId="3FE31C3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348.690,81</w:t>
            </w:r>
          </w:p>
        </w:tc>
        <w:tc>
          <w:tcPr>
            <w:tcW w:w="1620" w:type="dxa"/>
            <w:tcBorders>
              <w:top w:val="single" w:sz="4" w:space="0" w:color="auto"/>
              <w:left w:val="nil"/>
              <w:bottom w:val="single" w:sz="4" w:space="0" w:color="auto"/>
              <w:right w:val="single" w:sz="4" w:space="0" w:color="auto"/>
            </w:tcBorders>
            <w:shd w:val="clear" w:color="000000" w:fill="FFFF00"/>
            <w:noWrap/>
            <w:vAlign w:val="bottom"/>
            <w:hideMark/>
          </w:tcPr>
          <w:p w14:paraId="06BF789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1.638.339,82</w:t>
            </w:r>
          </w:p>
        </w:tc>
        <w:tc>
          <w:tcPr>
            <w:tcW w:w="1600" w:type="dxa"/>
            <w:tcBorders>
              <w:top w:val="single" w:sz="4" w:space="0" w:color="auto"/>
              <w:left w:val="nil"/>
              <w:bottom w:val="single" w:sz="4" w:space="0" w:color="auto"/>
              <w:right w:val="single" w:sz="4" w:space="0" w:color="auto"/>
            </w:tcBorders>
            <w:shd w:val="clear" w:color="000000" w:fill="FFFF00"/>
            <w:noWrap/>
            <w:vAlign w:val="bottom"/>
            <w:hideMark/>
          </w:tcPr>
          <w:p w14:paraId="7A826C0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1.638.339,82</w:t>
            </w:r>
          </w:p>
        </w:tc>
        <w:tc>
          <w:tcPr>
            <w:tcW w:w="1660" w:type="dxa"/>
            <w:tcBorders>
              <w:top w:val="single" w:sz="4" w:space="0" w:color="auto"/>
              <w:left w:val="nil"/>
              <w:bottom w:val="single" w:sz="4" w:space="0" w:color="auto"/>
              <w:right w:val="single" w:sz="4" w:space="0" w:color="auto"/>
            </w:tcBorders>
            <w:shd w:val="clear" w:color="000000" w:fill="FFFF00"/>
            <w:noWrap/>
            <w:vAlign w:val="bottom"/>
            <w:hideMark/>
          </w:tcPr>
          <w:p w14:paraId="78766E2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980.282,57</w:t>
            </w:r>
          </w:p>
        </w:tc>
        <w:tc>
          <w:tcPr>
            <w:tcW w:w="10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26DB27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249,79%</w:t>
            </w:r>
          </w:p>
        </w:tc>
        <w:tc>
          <w:tcPr>
            <w:tcW w:w="9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563DA9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53,16%</w:t>
            </w:r>
          </w:p>
        </w:tc>
      </w:tr>
      <w:tr w:rsidR="00416D67" w:rsidRPr="00416D67" w14:paraId="360D366A"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45876E8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9.1. Višak prihoda ranijih godina opći prihodi i primici</w:t>
            </w:r>
          </w:p>
        </w:tc>
        <w:tc>
          <w:tcPr>
            <w:tcW w:w="1540" w:type="dxa"/>
            <w:tcBorders>
              <w:top w:val="single" w:sz="4" w:space="0" w:color="auto"/>
              <w:left w:val="nil"/>
              <w:bottom w:val="single" w:sz="4" w:space="0" w:color="auto"/>
              <w:right w:val="single" w:sz="4" w:space="0" w:color="auto"/>
            </w:tcBorders>
            <w:noWrap/>
            <w:vAlign w:val="bottom"/>
            <w:hideMark/>
          </w:tcPr>
          <w:p w14:paraId="77A77C7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292.076,30</w:t>
            </w:r>
          </w:p>
        </w:tc>
        <w:tc>
          <w:tcPr>
            <w:tcW w:w="1620" w:type="dxa"/>
            <w:tcBorders>
              <w:top w:val="single" w:sz="4" w:space="0" w:color="auto"/>
              <w:left w:val="nil"/>
              <w:bottom w:val="single" w:sz="4" w:space="0" w:color="auto"/>
              <w:right w:val="single" w:sz="4" w:space="0" w:color="auto"/>
            </w:tcBorders>
            <w:noWrap/>
            <w:vAlign w:val="bottom"/>
            <w:hideMark/>
          </w:tcPr>
          <w:p w14:paraId="6F5DE79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76.839,28</w:t>
            </w:r>
          </w:p>
        </w:tc>
        <w:tc>
          <w:tcPr>
            <w:tcW w:w="1600" w:type="dxa"/>
            <w:tcBorders>
              <w:top w:val="single" w:sz="4" w:space="0" w:color="auto"/>
              <w:left w:val="nil"/>
              <w:bottom w:val="single" w:sz="4" w:space="0" w:color="auto"/>
              <w:right w:val="single" w:sz="4" w:space="0" w:color="auto"/>
            </w:tcBorders>
            <w:noWrap/>
            <w:vAlign w:val="bottom"/>
            <w:hideMark/>
          </w:tcPr>
          <w:p w14:paraId="008BA03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72.999,28</w:t>
            </w:r>
          </w:p>
        </w:tc>
        <w:tc>
          <w:tcPr>
            <w:tcW w:w="1660" w:type="dxa"/>
            <w:tcBorders>
              <w:top w:val="single" w:sz="4" w:space="0" w:color="auto"/>
              <w:left w:val="nil"/>
              <w:bottom w:val="single" w:sz="4" w:space="0" w:color="auto"/>
              <w:right w:val="single" w:sz="4" w:space="0" w:color="auto"/>
            </w:tcBorders>
            <w:noWrap/>
            <w:vAlign w:val="bottom"/>
            <w:hideMark/>
          </w:tcPr>
          <w:p w14:paraId="078F508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926.198,79</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2010208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4,52%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5BBF0A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18,08%</w:t>
            </w:r>
          </w:p>
        </w:tc>
      </w:tr>
      <w:tr w:rsidR="00416D67" w:rsidRPr="00416D67" w14:paraId="1DB23C3F"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33ED519E" w14:textId="77777777" w:rsidR="00416D67" w:rsidRPr="00416D67" w:rsidRDefault="00416D67" w:rsidP="00416D67">
            <w:pPr>
              <w:rPr>
                <w:rFonts w:ascii="Arial" w:hAnsi="Arial" w:cs="Arial"/>
                <w:sz w:val="14"/>
                <w:szCs w:val="14"/>
              </w:rPr>
            </w:pPr>
            <w:r w:rsidRPr="00416D67">
              <w:rPr>
                <w:rFonts w:ascii="Arial" w:hAnsi="Arial" w:cs="Arial"/>
                <w:sz w:val="14"/>
                <w:szCs w:val="14"/>
              </w:rPr>
              <w:t>Izvor 9.1.1 Opći prihodi i primici</w:t>
            </w:r>
          </w:p>
        </w:tc>
        <w:tc>
          <w:tcPr>
            <w:tcW w:w="1540" w:type="dxa"/>
            <w:tcBorders>
              <w:top w:val="single" w:sz="4" w:space="0" w:color="auto"/>
              <w:left w:val="nil"/>
              <w:bottom w:val="single" w:sz="4" w:space="0" w:color="auto"/>
              <w:right w:val="single" w:sz="4" w:space="0" w:color="auto"/>
            </w:tcBorders>
            <w:noWrap/>
            <w:vAlign w:val="bottom"/>
            <w:hideMark/>
          </w:tcPr>
          <w:p w14:paraId="3260F91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292.076,30</w:t>
            </w:r>
          </w:p>
        </w:tc>
        <w:tc>
          <w:tcPr>
            <w:tcW w:w="1620" w:type="dxa"/>
            <w:tcBorders>
              <w:top w:val="single" w:sz="4" w:space="0" w:color="auto"/>
              <w:left w:val="nil"/>
              <w:bottom w:val="single" w:sz="4" w:space="0" w:color="auto"/>
              <w:right w:val="single" w:sz="4" w:space="0" w:color="auto"/>
            </w:tcBorders>
            <w:noWrap/>
            <w:vAlign w:val="bottom"/>
            <w:hideMark/>
          </w:tcPr>
          <w:p w14:paraId="4D41716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1.504.831,74</w:t>
            </w:r>
          </w:p>
        </w:tc>
        <w:tc>
          <w:tcPr>
            <w:tcW w:w="1600" w:type="dxa"/>
            <w:tcBorders>
              <w:top w:val="single" w:sz="4" w:space="0" w:color="auto"/>
              <w:left w:val="nil"/>
              <w:bottom w:val="single" w:sz="4" w:space="0" w:color="auto"/>
              <w:right w:val="single" w:sz="4" w:space="0" w:color="auto"/>
            </w:tcBorders>
            <w:noWrap/>
            <w:vAlign w:val="bottom"/>
            <w:hideMark/>
          </w:tcPr>
          <w:p w14:paraId="62A93CA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1.508.671,74</w:t>
            </w:r>
          </w:p>
        </w:tc>
        <w:tc>
          <w:tcPr>
            <w:tcW w:w="1660" w:type="dxa"/>
            <w:tcBorders>
              <w:top w:val="single" w:sz="4" w:space="0" w:color="auto"/>
              <w:left w:val="nil"/>
              <w:bottom w:val="single" w:sz="4" w:space="0" w:color="auto"/>
              <w:right w:val="single" w:sz="4" w:space="0" w:color="auto"/>
            </w:tcBorders>
            <w:noWrap/>
            <w:vAlign w:val="bottom"/>
            <w:hideMark/>
          </w:tcPr>
          <w:p w14:paraId="118905F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926.198,79</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50B6EE7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275,18%</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4E7DA6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53,27%</w:t>
            </w:r>
          </w:p>
        </w:tc>
      </w:tr>
      <w:tr w:rsidR="00416D67" w:rsidRPr="00416D67" w14:paraId="020D0CF6"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59BDF16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9.3. Višak prihoda prethodne godine PK</w:t>
            </w:r>
          </w:p>
        </w:tc>
        <w:tc>
          <w:tcPr>
            <w:tcW w:w="1540" w:type="dxa"/>
            <w:tcBorders>
              <w:top w:val="single" w:sz="4" w:space="0" w:color="auto"/>
              <w:left w:val="nil"/>
              <w:bottom w:val="single" w:sz="4" w:space="0" w:color="auto"/>
              <w:right w:val="single" w:sz="4" w:space="0" w:color="auto"/>
            </w:tcBorders>
            <w:noWrap/>
            <w:vAlign w:val="bottom"/>
            <w:hideMark/>
          </w:tcPr>
          <w:p w14:paraId="66E32FA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620" w:type="dxa"/>
            <w:tcBorders>
              <w:top w:val="single" w:sz="4" w:space="0" w:color="auto"/>
              <w:left w:val="nil"/>
              <w:bottom w:val="single" w:sz="4" w:space="0" w:color="auto"/>
              <w:right w:val="single" w:sz="4" w:space="0" w:color="auto"/>
            </w:tcBorders>
            <w:noWrap/>
            <w:vAlign w:val="bottom"/>
            <w:hideMark/>
          </w:tcPr>
          <w:p w14:paraId="34A7B95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140,97</w:t>
            </w:r>
          </w:p>
        </w:tc>
        <w:tc>
          <w:tcPr>
            <w:tcW w:w="1600" w:type="dxa"/>
            <w:tcBorders>
              <w:top w:val="single" w:sz="4" w:space="0" w:color="auto"/>
              <w:left w:val="nil"/>
              <w:bottom w:val="single" w:sz="4" w:space="0" w:color="auto"/>
              <w:right w:val="single" w:sz="4" w:space="0" w:color="auto"/>
            </w:tcBorders>
            <w:noWrap/>
            <w:vAlign w:val="bottom"/>
            <w:hideMark/>
          </w:tcPr>
          <w:p w14:paraId="217EF84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140,97</w:t>
            </w:r>
          </w:p>
        </w:tc>
        <w:tc>
          <w:tcPr>
            <w:tcW w:w="1660" w:type="dxa"/>
            <w:tcBorders>
              <w:top w:val="single" w:sz="4" w:space="0" w:color="auto"/>
              <w:left w:val="nil"/>
              <w:bottom w:val="single" w:sz="4" w:space="0" w:color="auto"/>
              <w:right w:val="single" w:sz="4" w:space="0" w:color="auto"/>
            </w:tcBorders>
            <w:noWrap/>
            <w:vAlign w:val="bottom"/>
            <w:hideMark/>
          </w:tcPr>
          <w:p w14:paraId="1F06BCC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140,97</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60856FC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A1E937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w:t>
            </w:r>
          </w:p>
        </w:tc>
      </w:tr>
      <w:tr w:rsidR="00416D67" w:rsidRPr="00416D67" w14:paraId="1D85FF7F"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49B6F83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9.4. Višak prihoda ranijih godina</w:t>
            </w:r>
          </w:p>
        </w:tc>
        <w:tc>
          <w:tcPr>
            <w:tcW w:w="1540" w:type="dxa"/>
            <w:tcBorders>
              <w:top w:val="single" w:sz="4" w:space="0" w:color="auto"/>
              <w:left w:val="nil"/>
              <w:bottom w:val="single" w:sz="4" w:space="0" w:color="auto"/>
              <w:right w:val="single" w:sz="4" w:space="0" w:color="auto"/>
            </w:tcBorders>
            <w:noWrap/>
            <w:vAlign w:val="bottom"/>
            <w:hideMark/>
          </w:tcPr>
          <w:p w14:paraId="0B5DD87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56.217,89</w:t>
            </w:r>
          </w:p>
        </w:tc>
        <w:tc>
          <w:tcPr>
            <w:tcW w:w="1620" w:type="dxa"/>
            <w:tcBorders>
              <w:top w:val="single" w:sz="4" w:space="0" w:color="auto"/>
              <w:left w:val="nil"/>
              <w:bottom w:val="single" w:sz="4" w:space="0" w:color="auto"/>
              <w:right w:val="single" w:sz="4" w:space="0" w:color="auto"/>
            </w:tcBorders>
            <w:noWrap/>
            <w:vAlign w:val="bottom"/>
            <w:hideMark/>
          </w:tcPr>
          <w:p w14:paraId="2A46F0D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600" w:type="dxa"/>
            <w:tcBorders>
              <w:top w:val="single" w:sz="4" w:space="0" w:color="auto"/>
              <w:left w:val="nil"/>
              <w:bottom w:val="single" w:sz="4" w:space="0" w:color="auto"/>
              <w:right w:val="single" w:sz="4" w:space="0" w:color="auto"/>
            </w:tcBorders>
            <w:noWrap/>
            <w:vAlign w:val="bottom"/>
            <w:hideMark/>
          </w:tcPr>
          <w:p w14:paraId="7E92B2E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660" w:type="dxa"/>
            <w:tcBorders>
              <w:top w:val="single" w:sz="4" w:space="0" w:color="auto"/>
              <w:left w:val="nil"/>
              <w:bottom w:val="single" w:sz="4" w:space="0" w:color="auto"/>
              <w:right w:val="single" w:sz="4" w:space="0" w:color="auto"/>
            </w:tcBorders>
            <w:noWrap/>
            <w:vAlign w:val="bottom"/>
            <w:hideMark/>
          </w:tcPr>
          <w:p w14:paraId="5CE76F9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35AFC12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291C6D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463988D5"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38A7795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9.4.2 Višak prihoda komunalni doprinos</w:t>
            </w:r>
          </w:p>
        </w:tc>
        <w:tc>
          <w:tcPr>
            <w:tcW w:w="1540" w:type="dxa"/>
            <w:tcBorders>
              <w:top w:val="single" w:sz="4" w:space="0" w:color="auto"/>
              <w:left w:val="nil"/>
              <w:bottom w:val="single" w:sz="4" w:space="0" w:color="auto"/>
              <w:right w:val="single" w:sz="4" w:space="0" w:color="auto"/>
            </w:tcBorders>
            <w:noWrap/>
            <w:vAlign w:val="bottom"/>
            <w:hideMark/>
          </w:tcPr>
          <w:p w14:paraId="0BE7B08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33.426,78</w:t>
            </w:r>
          </w:p>
        </w:tc>
        <w:tc>
          <w:tcPr>
            <w:tcW w:w="1620" w:type="dxa"/>
            <w:tcBorders>
              <w:top w:val="single" w:sz="4" w:space="0" w:color="auto"/>
              <w:left w:val="nil"/>
              <w:bottom w:val="single" w:sz="4" w:space="0" w:color="auto"/>
              <w:right w:val="single" w:sz="4" w:space="0" w:color="auto"/>
            </w:tcBorders>
            <w:noWrap/>
            <w:vAlign w:val="bottom"/>
            <w:hideMark/>
          </w:tcPr>
          <w:p w14:paraId="526C6A1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600" w:type="dxa"/>
            <w:tcBorders>
              <w:top w:val="single" w:sz="4" w:space="0" w:color="auto"/>
              <w:left w:val="nil"/>
              <w:bottom w:val="single" w:sz="4" w:space="0" w:color="auto"/>
              <w:right w:val="single" w:sz="4" w:space="0" w:color="auto"/>
            </w:tcBorders>
            <w:noWrap/>
            <w:vAlign w:val="bottom"/>
            <w:hideMark/>
          </w:tcPr>
          <w:p w14:paraId="242F950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660" w:type="dxa"/>
            <w:tcBorders>
              <w:top w:val="single" w:sz="4" w:space="0" w:color="auto"/>
              <w:left w:val="nil"/>
              <w:bottom w:val="single" w:sz="4" w:space="0" w:color="auto"/>
              <w:right w:val="single" w:sz="4" w:space="0" w:color="auto"/>
            </w:tcBorders>
            <w:noWrap/>
            <w:vAlign w:val="bottom"/>
            <w:hideMark/>
          </w:tcPr>
          <w:p w14:paraId="50760E9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5C1B25F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88BCCB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0A1E2E15"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284332F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9.4.312 Višak koncesija javne usluge pražnjenja i dovoza otpadnih vo</w:t>
            </w:r>
          </w:p>
        </w:tc>
        <w:tc>
          <w:tcPr>
            <w:tcW w:w="1540" w:type="dxa"/>
            <w:tcBorders>
              <w:top w:val="single" w:sz="4" w:space="0" w:color="auto"/>
              <w:left w:val="nil"/>
              <w:bottom w:val="single" w:sz="4" w:space="0" w:color="auto"/>
              <w:right w:val="single" w:sz="4" w:space="0" w:color="auto"/>
            </w:tcBorders>
            <w:noWrap/>
            <w:vAlign w:val="bottom"/>
            <w:hideMark/>
          </w:tcPr>
          <w:p w14:paraId="3507E50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620" w:type="dxa"/>
            <w:tcBorders>
              <w:top w:val="single" w:sz="4" w:space="0" w:color="auto"/>
              <w:left w:val="nil"/>
              <w:bottom w:val="single" w:sz="4" w:space="0" w:color="auto"/>
              <w:right w:val="single" w:sz="4" w:space="0" w:color="auto"/>
            </w:tcBorders>
            <w:noWrap/>
            <w:vAlign w:val="bottom"/>
            <w:hideMark/>
          </w:tcPr>
          <w:p w14:paraId="0AEB3F6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2.585,02</w:t>
            </w:r>
          </w:p>
        </w:tc>
        <w:tc>
          <w:tcPr>
            <w:tcW w:w="1600" w:type="dxa"/>
            <w:tcBorders>
              <w:top w:val="single" w:sz="4" w:space="0" w:color="auto"/>
              <w:left w:val="nil"/>
              <w:bottom w:val="single" w:sz="4" w:space="0" w:color="auto"/>
              <w:right w:val="single" w:sz="4" w:space="0" w:color="auto"/>
            </w:tcBorders>
            <w:noWrap/>
            <w:vAlign w:val="bottom"/>
            <w:hideMark/>
          </w:tcPr>
          <w:p w14:paraId="7DECFD4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2.585,02</w:t>
            </w:r>
          </w:p>
        </w:tc>
        <w:tc>
          <w:tcPr>
            <w:tcW w:w="1660" w:type="dxa"/>
            <w:tcBorders>
              <w:top w:val="single" w:sz="4" w:space="0" w:color="auto"/>
              <w:left w:val="nil"/>
              <w:bottom w:val="single" w:sz="4" w:space="0" w:color="auto"/>
              <w:right w:val="single" w:sz="4" w:space="0" w:color="auto"/>
            </w:tcBorders>
            <w:noWrap/>
            <w:vAlign w:val="bottom"/>
            <w:hideMark/>
          </w:tcPr>
          <w:p w14:paraId="07BE88D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339411A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275BE9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32C8EC6B"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42DA9313"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9.4.37 Višak prihoda prethodne godine prihodi od prodaje </w:t>
            </w:r>
            <w:proofErr w:type="spellStart"/>
            <w:r w:rsidRPr="00416D67">
              <w:rPr>
                <w:rFonts w:ascii="Arial" w:hAnsi="Arial" w:cs="Arial"/>
                <w:sz w:val="14"/>
                <w:szCs w:val="14"/>
              </w:rPr>
              <w:t>nef.imovin</w:t>
            </w:r>
            <w:proofErr w:type="spellEnd"/>
          </w:p>
        </w:tc>
        <w:tc>
          <w:tcPr>
            <w:tcW w:w="1540" w:type="dxa"/>
            <w:tcBorders>
              <w:top w:val="single" w:sz="4" w:space="0" w:color="auto"/>
              <w:left w:val="nil"/>
              <w:bottom w:val="single" w:sz="4" w:space="0" w:color="auto"/>
              <w:right w:val="single" w:sz="4" w:space="0" w:color="auto"/>
            </w:tcBorders>
            <w:noWrap/>
            <w:vAlign w:val="bottom"/>
            <w:hideMark/>
          </w:tcPr>
          <w:p w14:paraId="564929A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22.791,11</w:t>
            </w:r>
          </w:p>
        </w:tc>
        <w:tc>
          <w:tcPr>
            <w:tcW w:w="1620" w:type="dxa"/>
            <w:tcBorders>
              <w:top w:val="single" w:sz="4" w:space="0" w:color="auto"/>
              <w:left w:val="nil"/>
              <w:bottom w:val="single" w:sz="4" w:space="0" w:color="auto"/>
              <w:right w:val="single" w:sz="4" w:space="0" w:color="auto"/>
            </w:tcBorders>
            <w:noWrap/>
            <w:vAlign w:val="bottom"/>
            <w:hideMark/>
          </w:tcPr>
          <w:p w14:paraId="4FCEC44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600" w:type="dxa"/>
            <w:tcBorders>
              <w:top w:val="single" w:sz="4" w:space="0" w:color="auto"/>
              <w:left w:val="nil"/>
              <w:bottom w:val="single" w:sz="4" w:space="0" w:color="auto"/>
              <w:right w:val="single" w:sz="4" w:space="0" w:color="auto"/>
            </w:tcBorders>
            <w:noWrap/>
            <w:vAlign w:val="bottom"/>
            <w:hideMark/>
          </w:tcPr>
          <w:p w14:paraId="4A4CB9E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660" w:type="dxa"/>
            <w:tcBorders>
              <w:top w:val="single" w:sz="4" w:space="0" w:color="auto"/>
              <w:left w:val="nil"/>
              <w:bottom w:val="single" w:sz="4" w:space="0" w:color="auto"/>
              <w:right w:val="single" w:sz="4" w:space="0" w:color="auto"/>
            </w:tcBorders>
            <w:noWrap/>
            <w:vAlign w:val="bottom"/>
            <w:hideMark/>
          </w:tcPr>
          <w:p w14:paraId="7C83974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5F501F0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FC3BA2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40C349E9"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61228994"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9.5.3 Višak prihoda  </w:t>
            </w:r>
            <w:proofErr w:type="spellStart"/>
            <w:r w:rsidRPr="00416D67">
              <w:rPr>
                <w:rFonts w:ascii="Arial" w:hAnsi="Arial" w:cs="Arial"/>
                <w:sz w:val="14"/>
                <w:szCs w:val="14"/>
              </w:rPr>
              <w:t>p.g</w:t>
            </w:r>
            <w:proofErr w:type="spellEnd"/>
            <w:r w:rsidRPr="00416D67">
              <w:rPr>
                <w:rFonts w:ascii="Arial" w:hAnsi="Arial" w:cs="Arial"/>
                <w:sz w:val="14"/>
                <w:szCs w:val="14"/>
              </w:rPr>
              <w:t>. pomoći Ministarstvo turizma i  sporta</w:t>
            </w:r>
          </w:p>
        </w:tc>
        <w:tc>
          <w:tcPr>
            <w:tcW w:w="1540" w:type="dxa"/>
            <w:tcBorders>
              <w:top w:val="single" w:sz="4" w:space="0" w:color="auto"/>
              <w:left w:val="nil"/>
              <w:bottom w:val="single" w:sz="4" w:space="0" w:color="auto"/>
              <w:right w:val="single" w:sz="4" w:space="0" w:color="auto"/>
            </w:tcBorders>
            <w:noWrap/>
            <w:vAlign w:val="bottom"/>
            <w:hideMark/>
          </w:tcPr>
          <w:p w14:paraId="0504E24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620" w:type="dxa"/>
            <w:tcBorders>
              <w:top w:val="single" w:sz="4" w:space="0" w:color="auto"/>
              <w:left w:val="nil"/>
              <w:bottom w:val="single" w:sz="4" w:space="0" w:color="auto"/>
              <w:right w:val="single" w:sz="4" w:space="0" w:color="auto"/>
            </w:tcBorders>
            <w:noWrap/>
            <w:vAlign w:val="bottom"/>
            <w:hideMark/>
          </w:tcPr>
          <w:p w14:paraId="2768E29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53.942,81</w:t>
            </w:r>
          </w:p>
        </w:tc>
        <w:tc>
          <w:tcPr>
            <w:tcW w:w="1600" w:type="dxa"/>
            <w:tcBorders>
              <w:top w:val="single" w:sz="4" w:space="0" w:color="auto"/>
              <w:left w:val="nil"/>
              <w:bottom w:val="single" w:sz="4" w:space="0" w:color="auto"/>
              <w:right w:val="single" w:sz="4" w:space="0" w:color="auto"/>
            </w:tcBorders>
            <w:noWrap/>
            <w:vAlign w:val="bottom"/>
            <w:hideMark/>
          </w:tcPr>
          <w:p w14:paraId="7DCA2BF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53.942,81</w:t>
            </w:r>
          </w:p>
        </w:tc>
        <w:tc>
          <w:tcPr>
            <w:tcW w:w="1660" w:type="dxa"/>
            <w:tcBorders>
              <w:top w:val="single" w:sz="4" w:space="0" w:color="auto"/>
              <w:left w:val="nil"/>
              <w:bottom w:val="single" w:sz="4" w:space="0" w:color="auto"/>
              <w:right w:val="single" w:sz="4" w:space="0" w:color="auto"/>
            </w:tcBorders>
            <w:noWrap/>
            <w:vAlign w:val="bottom"/>
            <w:hideMark/>
          </w:tcPr>
          <w:p w14:paraId="5005DD3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53.942,81</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0C04D7F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0DD9C5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w:t>
            </w:r>
          </w:p>
        </w:tc>
      </w:tr>
      <w:tr w:rsidR="00416D67" w:rsidRPr="00416D67" w14:paraId="3AC3719D"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1EF7521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Izvor 9.7. Višak prihoda </w:t>
            </w:r>
            <w:proofErr w:type="spellStart"/>
            <w:r w:rsidRPr="00416D67">
              <w:rPr>
                <w:rFonts w:ascii="Arial" w:hAnsi="Arial" w:cs="Arial"/>
                <w:b/>
                <w:bCs/>
                <w:sz w:val="14"/>
                <w:szCs w:val="14"/>
              </w:rPr>
              <w:t>preth.godine</w:t>
            </w:r>
            <w:proofErr w:type="spellEnd"/>
            <w:r w:rsidRPr="00416D67">
              <w:rPr>
                <w:rFonts w:ascii="Arial" w:hAnsi="Arial" w:cs="Arial"/>
                <w:b/>
                <w:bCs/>
                <w:sz w:val="14"/>
                <w:szCs w:val="14"/>
              </w:rPr>
              <w:t xml:space="preserve"> PK  </w:t>
            </w:r>
          </w:p>
        </w:tc>
        <w:tc>
          <w:tcPr>
            <w:tcW w:w="1540" w:type="dxa"/>
            <w:tcBorders>
              <w:top w:val="single" w:sz="4" w:space="0" w:color="auto"/>
              <w:left w:val="nil"/>
              <w:bottom w:val="single" w:sz="4" w:space="0" w:color="auto"/>
              <w:right w:val="single" w:sz="4" w:space="0" w:color="auto"/>
            </w:tcBorders>
            <w:noWrap/>
            <w:vAlign w:val="bottom"/>
            <w:hideMark/>
          </w:tcPr>
          <w:p w14:paraId="11157CD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396,62</w:t>
            </w:r>
          </w:p>
        </w:tc>
        <w:tc>
          <w:tcPr>
            <w:tcW w:w="1620" w:type="dxa"/>
            <w:tcBorders>
              <w:top w:val="single" w:sz="4" w:space="0" w:color="auto"/>
              <w:left w:val="nil"/>
              <w:bottom w:val="single" w:sz="4" w:space="0" w:color="auto"/>
              <w:right w:val="single" w:sz="4" w:space="0" w:color="auto"/>
            </w:tcBorders>
            <w:noWrap/>
            <w:vAlign w:val="bottom"/>
            <w:hideMark/>
          </w:tcPr>
          <w:p w14:paraId="00635CA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600" w:type="dxa"/>
            <w:tcBorders>
              <w:top w:val="single" w:sz="4" w:space="0" w:color="auto"/>
              <w:left w:val="nil"/>
              <w:bottom w:val="single" w:sz="4" w:space="0" w:color="auto"/>
              <w:right w:val="single" w:sz="4" w:space="0" w:color="auto"/>
            </w:tcBorders>
            <w:noWrap/>
            <w:vAlign w:val="bottom"/>
            <w:hideMark/>
          </w:tcPr>
          <w:p w14:paraId="7EE6925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660" w:type="dxa"/>
            <w:tcBorders>
              <w:top w:val="single" w:sz="4" w:space="0" w:color="auto"/>
              <w:left w:val="nil"/>
              <w:bottom w:val="single" w:sz="4" w:space="0" w:color="auto"/>
              <w:right w:val="single" w:sz="4" w:space="0" w:color="auto"/>
            </w:tcBorders>
            <w:noWrap/>
            <w:vAlign w:val="bottom"/>
            <w:hideMark/>
          </w:tcPr>
          <w:p w14:paraId="6E88F05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167A296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7942E5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60D65212" w14:textId="77777777" w:rsidTr="00BB1392">
        <w:trPr>
          <w:trHeight w:val="195"/>
        </w:trPr>
        <w:tc>
          <w:tcPr>
            <w:tcW w:w="6800" w:type="dxa"/>
            <w:tcBorders>
              <w:top w:val="single" w:sz="4" w:space="0" w:color="auto"/>
              <w:left w:val="single" w:sz="4" w:space="0" w:color="auto"/>
              <w:bottom w:val="single" w:sz="4" w:space="0" w:color="auto"/>
              <w:right w:val="single" w:sz="4" w:space="0" w:color="auto"/>
            </w:tcBorders>
            <w:noWrap/>
            <w:vAlign w:val="bottom"/>
            <w:hideMark/>
          </w:tcPr>
          <w:p w14:paraId="76EA66F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Izvor 9.7.1 Višak prihoda PK prihodi za </w:t>
            </w:r>
            <w:proofErr w:type="spellStart"/>
            <w:r w:rsidRPr="00416D67">
              <w:rPr>
                <w:rFonts w:ascii="Arial" w:hAnsi="Arial" w:cs="Arial"/>
                <w:b/>
                <w:bCs/>
                <w:sz w:val="14"/>
                <w:szCs w:val="14"/>
              </w:rPr>
              <w:t>posebn</w:t>
            </w:r>
            <w:proofErr w:type="spellEnd"/>
            <w:r w:rsidRPr="00416D67">
              <w:rPr>
                <w:rFonts w:ascii="Arial" w:hAnsi="Arial" w:cs="Arial"/>
                <w:b/>
                <w:bCs/>
                <w:sz w:val="14"/>
                <w:szCs w:val="14"/>
              </w:rPr>
              <w:t xml:space="preserve"> namjene boravak</w:t>
            </w:r>
          </w:p>
        </w:tc>
        <w:tc>
          <w:tcPr>
            <w:tcW w:w="1540" w:type="dxa"/>
            <w:tcBorders>
              <w:top w:val="single" w:sz="4" w:space="0" w:color="auto"/>
              <w:left w:val="nil"/>
              <w:bottom w:val="single" w:sz="4" w:space="0" w:color="auto"/>
              <w:right w:val="single" w:sz="4" w:space="0" w:color="auto"/>
            </w:tcBorders>
            <w:noWrap/>
            <w:vAlign w:val="bottom"/>
            <w:hideMark/>
          </w:tcPr>
          <w:p w14:paraId="197D87F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396,62</w:t>
            </w:r>
          </w:p>
        </w:tc>
        <w:tc>
          <w:tcPr>
            <w:tcW w:w="1620" w:type="dxa"/>
            <w:tcBorders>
              <w:top w:val="single" w:sz="4" w:space="0" w:color="auto"/>
              <w:left w:val="nil"/>
              <w:bottom w:val="single" w:sz="4" w:space="0" w:color="auto"/>
              <w:right w:val="single" w:sz="4" w:space="0" w:color="auto"/>
            </w:tcBorders>
            <w:noWrap/>
            <w:vAlign w:val="bottom"/>
            <w:hideMark/>
          </w:tcPr>
          <w:p w14:paraId="7FD523F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600" w:type="dxa"/>
            <w:tcBorders>
              <w:top w:val="single" w:sz="4" w:space="0" w:color="auto"/>
              <w:left w:val="nil"/>
              <w:bottom w:val="single" w:sz="4" w:space="0" w:color="auto"/>
              <w:right w:val="single" w:sz="4" w:space="0" w:color="auto"/>
            </w:tcBorders>
            <w:noWrap/>
            <w:vAlign w:val="bottom"/>
            <w:hideMark/>
          </w:tcPr>
          <w:p w14:paraId="2ED14E1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660" w:type="dxa"/>
            <w:tcBorders>
              <w:top w:val="single" w:sz="4" w:space="0" w:color="auto"/>
              <w:left w:val="nil"/>
              <w:bottom w:val="single" w:sz="4" w:space="0" w:color="auto"/>
              <w:right w:val="single" w:sz="4" w:space="0" w:color="auto"/>
            </w:tcBorders>
            <w:noWrap/>
            <w:vAlign w:val="bottom"/>
            <w:hideMark/>
          </w:tcPr>
          <w:p w14:paraId="2EAC908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020" w:type="dxa"/>
            <w:tcBorders>
              <w:top w:val="single" w:sz="4" w:space="0" w:color="auto"/>
              <w:left w:val="single" w:sz="4" w:space="0" w:color="auto"/>
              <w:bottom w:val="single" w:sz="4" w:space="0" w:color="auto"/>
              <w:right w:val="single" w:sz="4" w:space="0" w:color="auto"/>
            </w:tcBorders>
            <w:noWrap/>
            <w:vAlign w:val="bottom"/>
            <w:hideMark/>
          </w:tcPr>
          <w:p w14:paraId="2D32822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5B7376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bl>
    <w:p w14:paraId="191777F3" w14:textId="77777777" w:rsidR="00416D67" w:rsidRPr="00416D67" w:rsidRDefault="00416D67" w:rsidP="00416D67">
      <w:pPr>
        <w:jc w:val="both"/>
        <w:rPr>
          <w:b/>
        </w:rPr>
      </w:pPr>
    </w:p>
    <w:p w14:paraId="34615EF9" w14:textId="77777777" w:rsidR="00416D67" w:rsidRPr="00416D67" w:rsidRDefault="00416D67" w:rsidP="00416D67">
      <w:pPr>
        <w:jc w:val="both"/>
        <w:rPr>
          <w:b/>
        </w:rPr>
      </w:pPr>
    </w:p>
    <w:p w14:paraId="16854B0E" w14:textId="77777777" w:rsidR="00416D67" w:rsidRPr="00416D67" w:rsidRDefault="00416D67" w:rsidP="00416D67">
      <w:pPr>
        <w:jc w:val="both"/>
        <w:rPr>
          <w:b/>
          <w:sz w:val="20"/>
          <w:szCs w:val="20"/>
        </w:rPr>
      </w:pPr>
      <w:r w:rsidRPr="00416D67">
        <w:rPr>
          <w:b/>
          <w:sz w:val="20"/>
          <w:szCs w:val="20"/>
        </w:rPr>
        <w:t>Rashodi prema funkcijskoj klasifikaciji</w:t>
      </w:r>
    </w:p>
    <w:p w14:paraId="129D0E56" w14:textId="77777777" w:rsidR="00416D67" w:rsidRPr="00416D67" w:rsidRDefault="00416D67" w:rsidP="00416D67">
      <w:pPr>
        <w:jc w:val="center"/>
        <w:rPr>
          <w:b/>
          <w:sz w:val="20"/>
          <w:szCs w:val="20"/>
        </w:rPr>
      </w:pPr>
    </w:p>
    <w:tbl>
      <w:tblPr>
        <w:tblW w:w="13389" w:type="dxa"/>
        <w:tblInd w:w="93" w:type="dxa"/>
        <w:tblLook w:val="04A0" w:firstRow="1" w:lastRow="0" w:firstColumn="1" w:lastColumn="0" w:noHBand="0" w:noVBand="1"/>
      </w:tblPr>
      <w:tblGrid>
        <w:gridCol w:w="7003"/>
        <w:gridCol w:w="1135"/>
        <w:gridCol w:w="1184"/>
        <w:gridCol w:w="1154"/>
        <w:gridCol w:w="1203"/>
        <w:gridCol w:w="925"/>
        <w:gridCol w:w="785"/>
      </w:tblGrid>
      <w:tr w:rsidR="00416D67" w:rsidRPr="00416D67" w14:paraId="1F0DC082" w14:textId="77777777" w:rsidTr="00BB1392">
        <w:trPr>
          <w:trHeight w:val="645"/>
        </w:trPr>
        <w:tc>
          <w:tcPr>
            <w:tcW w:w="700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E3BC033" w14:textId="77777777" w:rsidR="00416D67" w:rsidRPr="00416D67" w:rsidRDefault="00416D67" w:rsidP="00416D67">
            <w:pPr>
              <w:jc w:val="center"/>
              <w:rPr>
                <w:rFonts w:ascii="Arial" w:hAnsi="Arial" w:cs="Arial"/>
                <w:b/>
                <w:bCs/>
                <w:sz w:val="14"/>
                <w:szCs w:val="14"/>
              </w:rPr>
            </w:pPr>
            <w:r w:rsidRPr="00416D67">
              <w:rPr>
                <w:rFonts w:ascii="Arial" w:hAnsi="Arial" w:cs="Arial"/>
                <w:b/>
                <w:bCs/>
                <w:sz w:val="14"/>
                <w:szCs w:val="14"/>
              </w:rPr>
              <w:t>Račun/Opis</w:t>
            </w:r>
          </w:p>
        </w:tc>
        <w:tc>
          <w:tcPr>
            <w:tcW w:w="1135" w:type="dxa"/>
            <w:tcBorders>
              <w:top w:val="single" w:sz="4" w:space="0" w:color="auto"/>
              <w:left w:val="nil"/>
              <w:bottom w:val="single" w:sz="4" w:space="0" w:color="auto"/>
              <w:right w:val="single" w:sz="4" w:space="0" w:color="auto"/>
            </w:tcBorders>
            <w:shd w:val="clear" w:color="000000" w:fill="D9D9D9"/>
            <w:vAlign w:val="center"/>
            <w:hideMark/>
          </w:tcPr>
          <w:p w14:paraId="45493EE4"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2024. godina</w:t>
            </w:r>
          </w:p>
        </w:tc>
        <w:tc>
          <w:tcPr>
            <w:tcW w:w="1184" w:type="dxa"/>
            <w:tcBorders>
              <w:top w:val="single" w:sz="4" w:space="0" w:color="auto"/>
              <w:left w:val="nil"/>
              <w:bottom w:val="single" w:sz="4" w:space="0" w:color="auto"/>
              <w:right w:val="single" w:sz="4" w:space="0" w:color="auto"/>
            </w:tcBorders>
            <w:shd w:val="clear" w:color="000000" w:fill="D9D9D9"/>
            <w:vAlign w:val="center"/>
            <w:hideMark/>
          </w:tcPr>
          <w:p w14:paraId="25FE8CEB"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154" w:type="dxa"/>
            <w:tcBorders>
              <w:top w:val="single" w:sz="4" w:space="0" w:color="auto"/>
              <w:left w:val="nil"/>
              <w:bottom w:val="single" w:sz="4" w:space="0" w:color="auto"/>
              <w:right w:val="single" w:sz="4" w:space="0" w:color="auto"/>
            </w:tcBorders>
            <w:shd w:val="clear" w:color="000000" w:fill="D9D9D9"/>
            <w:vAlign w:val="center"/>
            <w:hideMark/>
          </w:tcPr>
          <w:p w14:paraId="3170CFEA"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203" w:type="dxa"/>
            <w:tcBorders>
              <w:top w:val="single" w:sz="4" w:space="0" w:color="auto"/>
              <w:left w:val="nil"/>
              <w:bottom w:val="single" w:sz="4" w:space="0" w:color="auto"/>
              <w:right w:val="single" w:sz="4" w:space="0" w:color="auto"/>
            </w:tcBorders>
            <w:shd w:val="clear" w:color="000000" w:fill="D9D9D9"/>
            <w:vAlign w:val="center"/>
            <w:hideMark/>
          </w:tcPr>
          <w:p w14:paraId="4FE514DB"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925" w:type="dxa"/>
            <w:tcBorders>
              <w:top w:val="single" w:sz="4" w:space="0" w:color="auto"/>
              <w:left w:val="nil"/>
              <w:bottom w:val="single" w:sz="4" w:space="0" w:color="auto"/>
              <w:right w:val="single" w:sz="4" w:space="0" w:color="auto"/>
            </w:tcBorders>
            <w:shd w:val="clear" w:color="000000" w:fill="D9D9D9"/>
            <w:vAlign w:val="center"/>
            <w:hideMark/>
          </w:tcPr>
          <w:p w14:paraId="225DEF06"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4/1</w:t>
            </w:r>
          </w:p>
        </w:tc>
        <w:tc>
          <w:tcPr>
            <w:tcW w:w="785" w:type="dxa"/>
            <w:tcBorders>
              <w:top w:val="single" w:sz="4" w:space="0" w:color="auto"/>
              <w:left w:val="nil"/>
              <w:bottom w:val="single" w:sz="4" w:space="0" w:color="auto"/>
              <w:right w:val="single" w:sz="4" w:space="0" w:color="auto"/>
            </w:tcBorders>
            <w:shd w:val="clear" w:color="000000" w:fill="D9D9D9"/>
            <w:vAlign w:val="center"/>
            <w:hideMark/>
          </w:tcPr>
          <w:p w14:paraId="08A78E60"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4/3</w:t>
            </w:r>
          </w:p>
        </w:tc>
      </w:tr>
      <w:tr w:rsidR="00416D67" w:rsidRPr="00416D67" w14:paraId="7AC41687"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D9F0793" w14:textId="77777777" w:rsidR="00416D67" w:rsidRPr="00416D67" w:rsidRDefault="00416D67" w:rsidP="00416D67">
            <w:pPr>
              <w:jc w:val="center"/>
              <w:rPr>
                <w:rFonts w:ascii="Arial" w:hAnsi="Arial" w:cs="Arial"/>
                <w:b/>
                <w:bCs/>
                <w:sz w:val="14"/>
                <w:szCs w:val="14"/>
              </w:rPr>
            </w:pPr>
            <w:r w:rsidRPr="00416D67">
              <w:rPr>
                <w:rFonts w:ascii="Arial" w:hAnsi="Arial" w:cs="Arial"/>
                <w:b/>
                <w:bCs/>
                <w:sz w:val="14"/>
                <w:szCs w:val="14"/>
              </w:rPr>
              <w:t> </w:t>
            </w:r>
          </w:p>
        </w:tc>
        <w:tc>
          <w:tcPr>
            <w:tcW w:w="1135" w:type="dxa"/>
            <w:tcBorders>
              <w:top w:val="single" w:sz="4" w:space="0" w:color="auto"/>
              <w:left w:val="nil"/>
              <w:bottom w:val="single" w:sz="4" w:space="0" w:color="auto"/>
              <w:right w:val="single" w:sz="4" w:space="0" w:color="auto"/>
            </w:tcBorders>
            <w:shd w:val="clear" w:color="000000" w:fill="D9D9D9"/>
            <w:noWrap/>
            <w:vAlign w:val="bottom"/>
            <w:hideMark/>
          </w:tcPr>
          <w:p w14:paraId="08F29621"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1</w:t>
            </w:r>
          </w:p>
        </w:tc>
        <w:tc>
          <w:tcPr>
            <w:tcW w:w="1184" w:type="dxa"/>
            <w:tcBorders>
              <w:top w:val="single" w:sz="4" w:space="0" w:color="auto"/>
              <w:left w:val="nil"/>
              <w:bottom w:val="single" w:sz="4" w:space="0" w:color="auto"/>
              <w:right w:val="single" w:sz="4" w:space="0" w:color="auto"/>
            </w:tcBorders>
            <w:shd w:val="clear" w:color="000000" w:fill="D9D9D9"/>
            <w:noWrap/>
            <w:vAlign w:val="bottom"/>
            <w:hideMark/>
          </w:tcPr>
          <w:p w14:paraId="5D76300D"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2</w:t>
            </w:r>
          </w:p>
        </w:tc>
        <w:tc>
          <w:tcPr>
            <w:tcW w:w="1154" w:type="dxa"/>
            <w:tcBorders>
              <w:top w:val="single" w:sz="4" w:space="0" w:color="auto"/>
              <w:left w:val="nil"/>
              <w:bottom w:val="single" w:sz="4" w:space="0" w:color="auto"/>
              <w:right w:val="single" w:sz="4" w:space="0" w:color="auto"/>
            </w:tcBorders>
            <w:shd w:val="clear" w:color="000000" w:fill="D9D9D9"/>
            <w:noWrap/>
            <w:vAlign w:val="bottom"/>
            <w:hideMark/>
          </w:tcPr>
          <w:p w14:paraId="1A1E482E"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3</w:t>
            </w:r>
          </w:p>
        </w:tc>
        <w:tc>
          <w:tcPr>
            <w:tcW w:w="1203" w:type="dxa"/>
            <w:tcBorders>
              <w:top w:val="single" w:sz="4" w:space="0" w:color="auto"/>
              <w:left w:val="nil"/>
              <w:bottom w:val="single" w:sz="4" w:space="0" w:color="auto"/>
              <w:right w:val="single" w:sz="4" w:space="0" w:color="auto"/>
            </w:tcBorders>
            <w:shd w:val="clear" w:color="000000" w:fill="D9D9D9"/>
            <w:noWrap/>
            <w:vAlign w:val="bottom"/>
            <w:hideMark/>
          </w:tcPr>
          <w:p w14:paraId="16C3BDF1"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4</w:t>
            </w:r>
          </w:p>
        </w:tc>
        <w:tc>
          <w:tcPr>
            <w:tcW w:w="925" w:type="dxa"/>
            <w:tcBorders>
              <w:top w:val="single" w:sz="4" w:space="0" w:color="auto"/>
              <w:left w:val="nil"/>
              <w:bottom w:val="single" w:sz="4" w:space="0" w:color="auto"/>
              <w:right w:val="single" w:sz="4" w:space="0" w:color="auto"/>
            </w:tcBorders>
            <w:shd w:val="clear" w:color="000000" w:fill="D9D9D9"/>
            <w:noWrap/>
            <w:vAlign w:val="bottom"/>
            <w:hideMark/>
          </w:tcPr>
          <w:p w14:paraId="6E5A86FD"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5</w:t>
            </w:r>
          </w:p>
        </w:tc>
        <w:tc>
          <w:tcPr>
            <w:tcW w:w="785" w:type="dxa"/>
            <w:tcBorders>
              <w:top w:val="single" w:sz="4" w:space="0" w:color="auto"/>
              <w:left w:val="nil"/>
              <w:bottom w:val="single" w:sz="4" w:space="0" w:color="auto"/>
              <w:right w:val="single" w:sz="4" w:space="0" w:color="auto"/>
            </w:tcBorders>
            <w:shd w:val="clear" w:color="000000" w:fill="D9D9D9"/>
            <w:noWrap/>
            <w:vAlign w:val="bottom"/>
            <w:hideMark/>
          </w:tcPr>
          <w:p w14:paraId="21F979D8"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6</w:t>
            </w:r>
          </w:p>
        </w:tc>
      </w:tr>
      <w:tr w:rsidR="00416D67" w:rsidRPr="00416D67" w14:paraId="6CC6EB44"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4FA128A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Funkcijska klasifikacija  SVEUKUPNI RASHODI</w:t>
            </w:r>
          </w:p>
        </w:tc>
        <w:tc>
          <w:tcPr>
            <w:tcW w:w="1135" w:type="dxa"/>
            <w:tcBorders>
              <w:top w:val="single" w:sz="4" w:space="0" w:color="auto"/>
              <w:left w:val="nil"/>
              <w:bottom w:val="single" w:sz="4" w:space="0" w:color="auto"/>
              <w:right w:val="single" w:sz="4" w:space="0" w:color="auto"/>
            </w:tcBorders>
            <w:noWrap/>
            <w:vAlign w:val="bottom"/>
            <w:hideMark/>
          </w:tcPr>
          <w:p w14:paraId="74A2B44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5.249.998,65</w:t>
            </w:r>
          </w:p>
        </w:tc>
        <w:tc>
          <w:tcPr>
            <w:tcW w:w="1184" w:type="dxa"/>
            <w:tcBorders>
              <w:top w:val="single" w:sz="4" w:space="0" w:color="auto"/>
              <w:left w:val="nil"/>
              <w:bottom w:val="single" w:sz="4" w:space="0" w:color="auto"/>
              <w:right w:val="single" w:sz="4" w:space="0" w:color="auto"/>
            </w:tcBorders>
            <w:noWrap/>
            <w:vAlign w:val="bottom"/>
            <w:hideMark/>
          </w:tcPr>
          <w:p w14:paraId="20EB583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8.896.596,24</w:t>
            </w:r>
          </w:p>
        </w:tc>
        <w:tc>
          <w:tcPr>
            <w:tcW w:w="1154" w:type="dxa"/>
            <w:tcBorders>
              <w:top w:val="single" w:sz="4" w:space="0" w:color="auto"/>
              <w:left w:val="nil"/>
              <w:bottom w:val="single" w:sz="4" w:space="0" w:color="auto"/>
              <w:right w:val="single" w:sz="4" w:space="0" w:color="auto"/>
            </w:tcBorders>
            <w:noWrap/>
            <w:vAlign w:val="bottom"/>
            <w:hideMark/>
          </w:tcPr>
          <w:p w14:paraId="7FA528F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8.896.596,24</w:t>
            </w:r>
          </w:p>
        </w:tc>
        <w:tc>
          <w:tcPr>
            <w:tcW w:w="1203" w:type="dxa"/>
            <w:tcBorders>
              <w:top w:val="single" w:sz="4" w:space="0" w:color="auto"/>
              <w:left w:val="nil"/>
              <w:bottom w:val="single" w:sz="4" w:space="0" w:color="auto"/>
              <w:right w:val="single" w:sz="4" w:space="0" w:color="auto"/>
            </w:tcBorders>
            <w:noWrap/>
            <w:vAlign w:val="bottom"/>
            <w:hideMark/>
          </w:tcPr>
          <w:p w14:paraId="7E20D7B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6.360.293,08</w:t>
            </w:r>
          </w:p>
        </w:tc>
        <w:tc>
          <w:tcPr>
            <w:tcW w:w="925" w:type="dxa"/>
            <w:tcBorders>
              <w:top w:val="single" w:sz="4" w:space="0" w:color="auto"/>
              <w:left w:val="nil"/>
              <w:bottom w:val="single" w:sz="4" w:space="0" w:color="auto"/>
              <w:right w:val="single" w:sz="4" w:space="0" w:color="auto"/>
            </w:tcBorders>
            <w:noWrap/>
            <w:vAlign w:val="bottom"/>
            <w:hideMark/>
          </w:tcPr>
          <w:p w14:paraId="4D00F8A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121,15%</w:t>
            </w:r>
          </w:p>
        </w:tc>
        <w:tc>
          <w:tcPr>
            <w:tcW w:w="785" w:type="dxa"/>
            <w:tcBorders>
              <w:top w:val="single" w:sz="4" w:space="0" w:color="auto"/>
              <w:left w:val="nil"/>
              <w:bottom w:val="single" w:sz="4" w:space="0" w:color="auto"/>
              <w:right w:val="single" w:sz="4" w:space="0" w:color="auto"/>
            </w:tcBorders>
            <w:noWrap/>
            <w:vAlign w:val="bottom"/>
            <w:hideMark/>
          </w:tcPr>
          <w:p w14:paraId="3950D34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71,49%</w:t>
            </w:r>
          </w:p>
        </w:tc>
      </w:tr>
      <w:tr w:rsidR="00416D67" w:rsidRPr="00416D67" w14:paraId="24F6E882"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263C75AF" w14:textId="77777777" w:rsidR="00416D67" w:rsidRPr="00416D67" w:rsidRDefault="00416D67" w:rsidP="00416D67">
            <w:pPr>
              <w:rPr>
                <w:rFonts w:ascii="Arial" w:hAnsi="Arial" w:cs="Arial"/>
                <w:b/>
                <w:bCs/>
                <w:color w:val="000000"/>
                <w:sz w:val="14"/>
                <w:szCs w:val="14"/>
              </w:rPr>
            </w:pPr>
            <w:r w:rsidRPr="00416D67">
              <w:rPr>
                <w:rFonts w:ascii="Arial" w:hAnsi="Arial" w:cs="Arial"/>
                <w:b/>
                <w:bCs/>
                <w:color w:val="000000"/>
                <w:sz w:val="14"/>
                <w:szCs w:val="14"/>
              </w:rPr>
              <w:t>Funkcijska klasifikacija 01 Opće javne usluge</w:t>
            </w:r>
          </w:p>
        </w:tc>
        <w:tc>
          <w:tcPr>
            <w:tcW w:w="1135" w:type="dxa"/>
            <w:tcBorders>
              <w:top w:val="single" w:sz="4" w:space="0" w:color="auto"/>
              <w:left w:val="nil"/>
              <w:bottom w:val="single" w:sz="4" w:space="0" w:color="auto"/>
              <w:right w:val="single" w:sz="4" w:space="0" w:color="auto"/>
            </w:tcBorders>
            <w:noWrap/>
            <w:vAlign w:val="bottom"/>
            <w:hideMark/>
          </w:tcPr>
          <w:p w14:paraId="787B764A"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844.921,20</w:t>
            </w:r>
          </w:p>
        </w:tc>
        <w:tc>
          <w:tcPr>
            <w:tcW w:w="1184" w:type="dxa"/>
            <w:tcBorders>
              <w:top w:val="single" w:sz="4" w:space="0" w:color="auto"/>
              <w:left w:val="nil"/>
              <w:bottom w:val="single" w:sz="4" w:space="0" w:color="auto"/>
              <w:right w:val="single" w:sz="4" w:space="0" w:color="auto"/>
            </w:tcBorders>
            <w:noWrap/>
            <w:vAlign w:val="bottom"/>
            <w:hideMark/>
          </w:tcPr>
          <w:p w14:paraId="3375EC2B"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1.198.266,32</w:t>
            </w:r>
          </w:p>
        </w:tc>
        <w:tc>
          <w:tcPr>
            <w:tcW w:w="1154" w:type="dxa"/>
            <w:tcBorders>
              <w:top w:val="single" w:sz="4" w:space="0" w:color="auto"/>
              <w:left w:val="nil"/>
              <w:bottom w:val="single" w:sz="4" w:space="0" w:color="auto"/>
              <w:right w:val="single" w:sz="4" w:space="0" w:color="auto"/>
            </w:tcBorders>
            <w:noWrap/>
            <w:vAlign w:val="bottom"/>
            <w:hideMark/>
          </w:tcPr>
          <w:p w14:paraId="4DF20E0E"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1.195.741,32</w:t>
            </w:r>
          </w:p>
        </w:tc>
        <w:tc>
          <w:tcPr>
            <w:tcW w:w="1203" w:type="dxa"/>
            <w:tcBorders>
              <w:top w:val="single" w:sz="4" w:space="0" w:color="auto"/>
              <w:left w:val="nil"/>
              <w:bottom w:val="single" w:sz="4" w:space="0" w:color="auto"/>
              <w:right w:val="single" w:sz="4" w:space="0" w:color="auto"/>
            </w:tcBorders>
            <w:noWrap/>
            <w:vAlign w:val="bottom"/>
            <w:hideMark/>
          </w:tcPr>
          <w:p w14:paraId="5A120028"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1.044.844,00</w:t>
            </w:r>
          </w:p>
        </w:tc>
        <w:tc>
          <w:tcPr>
            <w:tcW w:w="925" w:type="dxa"/>
            <w:tcBorders>
              <w:top w:val="single" w:sz="4" w:space="0" w:color="auto"/>
              <w:left w:val="nil"/>
              <w:bottom w:val="single" w:sz="4" w:space="0" w:color="auto"/>
              <w:right w:val="single" w:sz="4" w:space="0" w:color="auto"/>
            </w:tcBorders>
            <w:noWrap/>
            <w:vAlign w:val="bottom"/>
            <w:hideMark/>
          </w:tcPr>
          <w:p w14:paraId="7F9CECE6"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123,66%</w:t>
            </w:r>
          </w:p>
        </w:tc>
        <w:tc>
          <w:tcPr>
            <w:tcW w:w="785" w:type="dxa"/>
            <w:tcBorders>
              <w:top w:val="single" w:sz="4" w:space="0" w:color="auto"/>
              <w:left w:val="nil"/>
              <w:bottom w:val="single" w:sz="4" w:space="0" w:color="auto"/>
              <w:right w:val="single" w:sz="4" w:space="0" w:color="auto"/>
            </w:tcBorders>
            <w:noWrap/>
            <w:vAlign w:val="bottom"/>
            <w:hideMark/>
          </w:tcPr>
          <w:p w14:paraId="423922C0"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87,38%</w:t>
            </w:r>
          </w:p>
        </w:tc>
      </w:tr>
      <w:tr w:rsidR="00416D67" w:rsidRPr="00416D67" w14:paraId="48472E23"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vAlign w:val="bottom"/>
            <w:hideMark/>
          </w:tcPr>
          <w:p w14:paraId="2F428504" w14:textId="77777777" w:rsidR="00416D67" w:rsidRPr="00416D67" w:rsidRDefault="00416D67" w:rsidP="00416D67">
            <w:pPr>
              <w:rPr>
                <w:rFonts w:ascii="Arial" w:hAnsi="Arial" w:cs="Arial"/>
                <w:color w:val="000000"/>
                <w:sz w:val="14"/>
                <w:szCs w:val="14"/>
              </w:rPr>
            </w:pPr>
            <w:r w:rsidRPr="00416D67">
              <w:rPr>
                <w:rFonts w:ascii="Arial" w:hAnsi="Arial" w:cs="Arial"/>
                <w:color w:val="000000"/>
                <w:sz w:val="14"/>
                <w:szCs w:val="14"/>
              </w:rPr>
              <w:t>Funkcijska klasifikacija 011 Izvršna  i zakonodavna tijela, financijski i fiskalni poslovi, vanjski poslovi</w:t>
            </w:r>
          </w:p>
        </w:tc>
        <w:tc>
          <w:tcPr>
            <w:tcW w:w="1135" w:type="dxa"/>
            <w:tcBorders>
              <w:top w:val="single" w:sz="4" w:space="0" w:color="auto"/>
              <w:left w:val="nil"/>
              <w:bottom w:val="single" w:sz="4" w:space="0" w:color="auto"/>
              <w:right w:val="single" w:sz="4" w:space="0" w:color="auto"/>
            </w:tcBorders>
            <w:noWrap/>
            <w:vAlign w:val="bottom"/>
            <w:hideMark/>
          </w:tcPr>
          <w:p w14:paraId="25F5B05D"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840.193,11</w:t>
            </w:r>
          </w:p>
        </w:tc>
        <w:tc>
          <w:tcPr>
            <w:tcW w:w="1184" w:type="dxa"/>
            <w:tcBorders>
              <w:top w:val="single" w:sz="4" w:space="0" w:color="auto"/>
              <w:left w:val="nil"/>
              <w:bottom w:val="single" w:sz="4" w:space="0" w:color="auto"/>
              <w:right w:val="single" w:sz="4" w:space="0" w:color="auto"/>
            </w:tcBorders>
            <w:noWrap/>
            <w:vAlign w:val="bottom"/>
            <w:hideMark/>
          </w:tcPr>
          <w:p w14:paraId="5D7BA551"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1.192.716,32</w:t>
            </w:r>
          </w:p>
        </w:tc>
        <w:tc>
          <w:tcPr>
            <w:tcW w:w="1154" w:type="dxa"/>
            <w:tcBorders>
              <w:top w:val="single" w:sz="4" w:space="0" w:color="auto"/>
              <w:left w:val="nil"/>
              <w:bottom w:val="single" w:sz="4" w:space="0" w:color="auto"/>
              <w:right w:val="single" w:sz="4" w:space="0" w:color="auto"/>
            </w:tcBorders>
            <w:noWrap/>
            <w:vAlign w:val="bottom"/>
            <w:hideMark/>
          </w:tcPr>
          <w:p w14:paraId="6B8203D8"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1.190.191,32</w:t>
            </w:r>
          </w:p>
        </w:tc>
        <w:tc>
          <w:tcPr>
            <w:tcW w:w="1203" w:type="dxa"/>
            <w:tcBorders>
              <w:top w:val="single" w:sz="4" w:space="0" w:color="auto"/>
              <w:left w:val="nil"/>
              <w:bottom w:val="single" w:sz="4" w:space="0" w:color="auto"/>
              <w:right w:val="single" w:sz="4" w:space="0" w:color="auto"/>
            </w:tcBorders>
            <w:noWrap/>
            <w:vAlign w:val="bottom"/>
            <w:hideMark/>
          </w:tcPr>
          <w:p w14:paraId="75DA5320"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1.041.034,83</w:t>
            </w:r>
          </w:p>
        </w:tc>
        <w:tc>
          <w:tcPr>
            <w:tcW w:w="925" w:type="dxa"/>
            <w:tcBorders>
              <w:top w:val="single" w:sz="4" w:space="0" w:color="auto"/>
              <w:left w:val="nil"/>
              <w:bottom w:val="single" w:sz="4" w:space="0" w:color="auto"/>
              <w:right w:val="single" w:sz="4" w:space="0" w:color="auto"/>
            </w:tcBorders>
            <w:noWrap/>
            <w:vAlign w:val="bottom"/>
            <w:hideMark/>
          </w:tcPr>
          <w:p w14:paraId="53B3F4ED"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123,90%</w:t>
            </w:r>
          </w:p>
        </w:tc>
        <w:tc>
          <w:tcPr>
            <w:tcW w:w="785" w:type="dxa"/>
            <w:tcBorders>
              <w:top w:val="single" w:sz="4" w:space="0" w:color="auto"/>
              <w:left w:val="nil"/>
              <w:bottom w:val="single" w:sz="4" w:space="0" w:color="auto"/>
              <w:right w:val="single" w:sz="4" w:space="0" w:color="auto"/>
            </w:tcBorders>
            <w:noWrap/>
            <w:vAlign w:val="bottom"/>
            <w:hideMark/>
          </w:tcPr>
          <w:p w14:paraId="39C7FD24"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87,47%</w:t>
            </w:r>
          </w:p>
        </w:tc>
      </w:tr>
      <w:tr w:rsidR="00416D67" w:rsidRPr="00416D67" w14:paraId="284AA884"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6DC1C94E" w14:textId="77777777" w:rsidR="00416D67" w:rsidRPr="00416D67" w:rsidRDefault="00416D67" w:rsidP="00416D67">
            <w:pPr>
              <w:rPr>
                <w:rFonts w:ascii="Arial" w:hAnsi="Arial" w:cs="Arial"/>
                <w:color w:val="000000"/>
                <w:sz w:val="14"/>
                <w:szCs w:val="14"/>
              </w:rPr>
            </w:pPr>
            <w:r w:rsidRPr="00416D67">
              <w:rPr>
                <w:rFonts w:ascii="Arial" w:hAnsi="Arial" w:cs="Arial"/>
                <w:color w:val="000000"/>
                <w:sz w:val="14"/>
                <w:szCs w:val="14"/>
              </w:rPr>
              <w:t>Funkcijska klasifikacija 017 Transakcije vezane za javni dug</w:t>
            </w:r>
          </w:p>
        </w:tc>
        <w:tc>
          <w:tcPr>
            <w:tcW w:w="1135" w:type="dxa"/>
            <w:tcBorders>
              <w:top w:val="single" w:sz="4" w:space="0" w:color="auto"/>
              <w:left w:val="nil"/>
              <w:bottom w:val="single" w:sz="4" w:space="0" w:color="auto"/>
              <w:right w:val="single" w:sz="4" w:space="0" w:color="auto"/>
            </w:tcBorders>
            <w:noWrap/>
            <w:vAlign w:val="bottom"/>
            <w:hideMark/>
          </w:tcPr>
          <w:p w14:paraId="3E54B850"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4.728,09</w:t>
            </w:r>
          </w:p>
        </w:tc>
        <w:tc>
          <w:tcPr>
            <w:tcW w:w="1184" w:type="dxa"/>
            <w:tcBorders>
              <w:top w:val="single" w:sz="4" w:space="0" w:color="auto"/>
              <w:left w:val="nil"/>
              <w:bottom w:val="single" w:sz="4" w:space="0" w:color="auto"/>
              <w:right w:val="single" w:sz="4" w:space="0" w:color="auto"/>
            </w:tcBorders>
            <w:noWrap/>
            <w:vAlign w:val="bottom"/>
            <w:hideMark/>
          </w:tcPr>
          <w:p w14:paraId="532F9C05"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5.550,00</w:t>
            </w:r>
          </w:p>
        </w:tc>
        <w:tc>
          <w:tcPr>
            <w:tcW w:w="1154" w:type="dxa"/>
            <w:tcBorders>
              <w:top w:val="single" w:sz="4" w:space="0" w:color="auto"/>
              <w:left w:val="nil"/>
              <w:bottom w:val="single" w:sz="4" w:space="0" w:color="auto"/>
              <w:right w:val="single" w:sz="4" w:space="0" w:color="auto"/>
            </w:tcBorders>
            <w:noWrap/>
            <w:vAlign w:val="bottom"/>
            <w:hideMark/>
          </w:tcPr>
          <w:p w14:paraId="6481462E"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5.550,00</w:t>
            </w:r>
          </w:p>
        </w:tc>
        <w:tc>
          <w:tcPr>
            <w:tcW w:w="1203" w:type="dxa"/>
            <w:tcBorders>
              <w:top w:val="single" w:sz="4" w:space="0" w:color="auto"/>
              <w:left w:val="nil"/>
              <w:bottom w:val="single" w:sz="4" w:space="0" w:color="auto"/>
              <w:right w:val="single" w:sz="4" w:space="0" w:color="auto"/>
            </w:tcBorders>
            <w:noWrap/>
            <w:vAlign w:val="bottom"/>
            <w:hideMark/>
          </w:tcPr>
          <w:p w14:paraId="4E6E2ECC"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3.809,17</w:t>
            </w:r>
          </w:p>
        </w:tc>
        <w:tc>
          <w:tcPr>
            <w:tcW w:w="925" w:type="dxa"/>
            <w:tcBorders>
              <w:top w:val="single" w:sz="4" w:space="0" w:color="auto"/>
              <w:left w:val="nil"/>
              <w:bottom w:val="single" w:sz="4" w:space="0" w:color="auto"/>
              <w:right w:val="single" w:sz="4" w:space="0" w:color="auto"/>
            </w:tcBorders>
            <w:noWrap/>
            <w:vAlign w:val="bottom"/>
            <w:hideMark/>
          </w:tcPr>
          <w:p w14:paraId="74062B03"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80,56%</w:t>
            </w:r>
          </w:p>
        </w:tc>
        <w:tc>
          <w:tcPr>
            <w:tcW w:w="785" w:type="dxa"/>
            <w:tcBorders>
              <w:top w:val="single" w:sz="4" w:space="0" w:color="auto"/>
              <w:left w:val="nil"/>
              <w:bottom w:val="single" w:sz="4" w:space="0" w:color="auto"/>
              <w:right w:val="single" w:sz="4" w:space="0" w:color="auto"/>
            </w:tcBorders>
            <w:noWrap/>
            <w:vAlign w:val="bottom"/>
            <w:hideMark/>
          </w:tcPr>
          <w:p w14:paraId="2BAD094D"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68,63%</w:t>
            </w:r>
          </w:p>
        </w:tc>
      </w:tr>
      <w:tr w:rsidR="00416D67" w:rsidRPr="00416D67" w14:paraId="1ED7ABD4"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532F85C0" w14:textId="77777777" w:rsidR="00416D67" w:rsidRPr="00416D67" w:rsidRDefault="00416D67" w:rsidP="00416D67">
            <w:pPr>
              <w:rPr>
                <w:rFonts w:ascii="Arial" w:hAnsi="Arial" w:cs="Arial"/>
                <w:b/>
                <w:bCs/>
                <w:color w:val="000000"/>
                <w:sz w:val="14"/>
                <w:szCs w:val="14"/>
              </w:rPr>
            </w:pPr>
            <w:r w:rsidRPr="00416D67">
              <w:rPr>
                <w:rFonts w:ascii="Arial" w:hAnsi="Arial" w:cs="Arial"/>
                <w:b/>
                <w:bCs/>
                <w:color w:val="000000"/>
                <w:sz w:val="14"/>
                <w:szCs w:val="14"/>
              </w:rPr>
              <w:t>Funkcijska klasifikacija 03 Javni red i sigurnost</w:t>
            </w:r>
          </w:p>
        </w:tc>
        <w:tc>
          <w:tcPr>
            <w:tcW w:w="1135" w:type="dxa"/>
            <w:tcBorders>
              <w:top w:val="single" w:sz="4" w:space="0" w:color="auto"/>
              <w:left w:val="nil"/>
              <w:bottom w:val="single" w:sz="4" w:space="0" w:color="auto"/>
              <w:right w:val="single" w:sz="4" w:space="0" w:color="auto"/>
            </w:tcBorders>
            <w:noWrap/>
            <w:vAlign w:val="bottom"/>
            <w:hideMark/>
          </w:tcPr>
          <w:p w14:paraId="612B009F"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258.050,17</w:t>
            </w:r>
          </w:p>
        </w:tc>
        <w:tc>
          <w:tcPr>
            <w:tcW w:w="1184" w:type="dxa"/>
            <w:tcBorders>
              <w:top w:val="single" w:sz="4" w:space="0" w:color="auto"/>
              <w:left w:val="nil"/>
              <w:bottom w:val="single" w:sz="4" w:space="0" w:color="auto"/>
              <w:right w:val="single" w:sz="4" w:space="0" w:color="auto"/>
            </w:tcBorders>
            <w:noWrap/>
            <w:vAlign w:val="bottom"/>
            <w:hideMark/>
          </w:tcPr>
          <w:p w14:paraId="49C3C6DA"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342.308,00</w:t>
            </w:r>
          </w:p>
        </w:tc>
        <w:tc>
          <w:tcPr>
            <w:tcW w:w="1154" w:type="dxa"/>
            <w:tcBorders>
              <w:top w:val="single" w:sz="4" w:space="0" w:color="auto"/>
              <w:left w:val="nil"/>
              <w:bottom w:val="single" w:sz="4" w:space="0" w:color="auto"/>
              <w:right w:val="single" w:sz="4" w:space="0" w:color="auto"/>
            </w:tcBorders>
            <w:noWrap/>
            <w:vAlign w:val="bottom"/>
            <w:hideMark/>
          </w:tcPr>
          <w:p w14:paraId="76B07308"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333.618,00</w:t>
            </w:r>
          </w:p>
        </w:tc>
        <w:tc>
          <w:tcPr>
            <w:tcW w:w="1203" w:type="dxa"/>
            <w:tcBorders>
              <w:top w:val="single" w:sz="4" w:space="0" w:color="auto"/>
              <w:left w:val="nil"/>
              <w:bottom w:val="single" w:sz="4" w:space="0" w:color="auto"/>
              <w:right w:val="single" w:sz="4" w:space="0" w:color="auto"/>
            </w:tcBorders>
            <w:noWrap/>
            <w:vAlign w:val="bottom"/>
            <w:hideMark/>
          </w:tcPr>
          <w:p w14:paraId="6A39F1F0"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309.223,30</w:t>
            </w:r>
          </w:p>
        </w:tc>
        <w:tc>
          <w:tcPr>
            <w:tcW w:w="925" w:type="dxa"/>
            <w:tcBorders>
              <w:top w:val="single" w:sz="4" w:space="0" w:color="auto"/>
              <w:left w:val="nil"/>
              <w:bottom w:val="single" w:sz="4" w:space="0" w:color="auto"/>
              <w:right w:val="single" w:sz="4" w:space="0" w:color="auto"/>
            </w:tcBorders>
            <w:noWrap/>
            <w:vAlign w:val="bottom"/>
            <w:hideMark/>
          </w:tcPr>
          <w:p w14:paraId="4C038417"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119,83%</w:t>
            </w:r>
          </w:p>
        </w:tc>
        <w:tc>
          <w:tcPr>
            <w:tcW w:w="785" w:type="dxa"/>
            <w:tcBorders>
              <w:top w:val="single" w:sz="4" w:space="0" w:color="auto"/>
              <w:left w:val="nil"/>
              <w:bottom w:val="single" w:sz="4" w:space="0" w:color="auto"/>
              <w:right w:val="single" w:sz="4" w:space="0" w:color="auto"/>
            </w:tcBorders>
            <w:noWrap/>
            <w:vAlign w:val="bottom"/>
            <w:hideMark/>
          </w:tcPr>
          <w:p w14:paraId="3DEF4285"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92,69%</w:t>
            </w:r>
          </w:p>
        </w:tc>
      </w:tr>
      <w:tr w:rsidR="00416D67" w:rsidRPr="00416D67" w14:paraId="5B521FFA"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52E7B0BE" w14:textId="77777777" w:rsidR="00416D67" w:rsidRPr="00416D67" w:rsidRDefault="00416D67" w:rsidP="00416D67">
            <w:pPr>
              <w:rPr>
                <w:rFonts w:ascii="Arial" w:hAnsi="Arial" w:cs="Arial"/>
                <w:color w:val="000000"/>
                <w:sz w:val="14"/>
                <w:szCs w:val="14"/>
              </w:rPr>
            </w:pPr>
            <w:r w:rsidRPr="00416D67">
              <w:rPr>
                <w:rFonts w:ascii="Arial" w:hAnsi="Arial" w:cs="Arial"/>
                <w:color w:val="000000"/>
                <w:sz w:val="14"/>
                <w:szCs w:val="14"/>
              </w:rPr>
              <w:t>Funkcijska klasifikacija 032 Usluge protupožarne zaštite</w:t>
            </w:r>
          </w:p>
        </w:tc>
        <w:tc>
          <w:tcPr>
            <w:tcW w:w="1135" w:type="dxa"/>
            <w:tcBorders>
              <w:top w:val="single" w:sz="4" w:space="0" w:color="auto"/>
              <w:left w:val="nil"/>
              <w:bottom w:val="single" w:sz="4" w:space="0" w:color="auto"/>
              <w:right w:val="single" w:sz="4" w:space="0" w:color="auto"/>
            </w:tcBorders>
            <w:noWrap/>
            <w:vAlign w:val="bottom"/>
            <w:hideMark/>
          </w:tcPr>
          <w:p w14:paraId="1D7442DD"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254.140,41</w:t>
            </w:r>
          </w:p>
        </w:tc>
        <w:tc>
          <w:tcPr>
            <w:tcW w:w="1184" w:type="dxa"/>
            <w:tcBorders>
              <w:top w:val="single" w:sz="4" w:space="0" w:color="auto"/>
              <w:left w:val="nil"/>
              <w:bottom w:val="single" w:sz="4" w:space="0" w:color="auto"/>
              <w:right w:val="single" w:sz="4" w:space="0" w:color="auto"/>
            </w:tcBorders>
            <w:noWrap/>
            <w:vAlign w:val="bottom"/>
            <w:hideMark/>
          </w:tcPr>
          <w:p w14:paraId="1035E9F6"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333.778,00</w:t>
            </w:r>
          </w:p>
        </w:tc>
        <w:tc>
          <w:tcPr>
            <w:tcW w:w="1154" w:type="dxa"/>
            <w:tcBorders>
              <w:top w:val="single" w:sz="4" w:space="0" w:color="auto"/>
              <w:left w:val="nil"/>
              <w:bottom w:val="single" w:sz="4" w:space="0" w:color="auto"/>
              <w:right w:val="single" w:sz="4" w:space="0" w:color="auto"/>
            </w:tcBorders>
            <w:noWrap/>
            <w:vAlign w:val="bottom"/>
            <w:hideMark/>
          </w:tcPr>
          <w:p w14:paraId="7F5D3564"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325.088,00</w:t>
            </w:r>
          </w:p>
        </w:tc>
        <w:tc>
          <w:tcPr>
            <w:tcW w:w="1203" w:type="dxa"/>
            <w:tcBorders>
              <w:top w:val="single" w:sz="4" w:space="0" w:color="auto"/>
              <w:left w:val="nil"/>
              <w:bottom w:val="single" w:sz="4" w:space="0" w:color="auto"/>
              <w:right w:val="single" w:sz="4" w:space="0" w:color="auto"/>
            </w:tcBorders>
            <w:noWrap/>
            <w:vAlign w:val="bottom"/>
            <w:hideMark/>
          </w:tcPr>
          <w:p w14:paraId="35D631EB"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304.349,55</w:t>
            </w:r>
          </w:p>
        </w:tc>
        <w:tc>
          <w:tcPr>
            <w:tcW w:w="925" w:type="dxa"/>
            <w:tcBorders>
              <w:top w:val="single" w:sz="4" w:space="0" w:color="auto"/>
              <w:left w:val="nil"/>
              <w:bottom w:val="single" w:sz="4" w:space="0" w:color="auto"/>
              <w:right w:val="single" w:sz="4" w:space="0" w:color="auto"/>
            </w:tcBorders>
            <w:noWrap/>
            <w:vAlign w:val="bottom"/>
            <w:hideMark/>
          </w:tcPr>
          <w:p w14:paraId="7545D01F"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119,76%</w:t>
            </w:r>
          </w:p>
        </w:tc>
        <w:tc>
          <w:tcPr>
            <w:tcW w:w="785" w:type="dxa"/>
            <w:tcBorders>
              <w:top w:val="single" w:sz="4" w:space="0" w:color="auto"/>
              <w:left w:val="nil"/>
              <w:bottom w:val="single" w:sz="4" w:space="0" w:color="auto"/>
              <w:right w:val="single" w:sz="4" w:space="0" w:color="auto"/>
            </w:tcBorders>
            <w:noWrap/>
            <w:vAlign w:val="bottom"/>
            <w:hideMark/>
          </w:tcPr>
          <w:p w14:paraId="124E279B"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93,62%</w:t>
            </w:r>
          </w:p>
        </w:tc>
      </w:tr>
      <w:tr w:rsidR="00416D67" w:rsidRPr="00416D67" w14:paraId="085439DB"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vAlign w:val="bottom"/>
            <w:hideMark/>
          </w:tcPr>
          <w:p w14:paraId="78A19C46" w14:textId="77777777" w:rsidR="00416D67" w:rsidRPr="00416D67" w:rsidRDefault="00416D67" w:rsidP="00416D67">
            <w:pPr>
              <w:rPr>
                <w:rFonts w:ascii="Arial" w:hAnsi="Arial" w:cs="Arial"/>
                <w:color w:val="000000"/>
                <w:sz w:val="14"/>
                <w:szCs w:val="14"/>
              </w:rPr>
            </w:pPr>
            <w:r w:rsidRPr="00416D67">
              <w:rPr>
                <w:rFonts w:ascii="Arial" w:hAnsi="Arial" w:cs="Arial"/>
                <w:color w:val="000000"/>
                <w:sz w:val="14"/>
                <w:szCs w:val="14"/>
              </w:rPr>
              <w:t>Funkcijska klasifikacija 036 Rashodi za javni red i sigurnost koji nisu drugdje svrstani</w:t>
            </w:r>
          </w:p>
        </w:tc>
        <w:tc>
          <w:tcPr>
            <w:tcW w:w="1135" w:type="dxa"/>
            <w:tcBorders>
              <w:top w:val="single" w:sz="4" w:space="0" w:color="auto"/>
              <w:left w:val="nil"/>
              <w:bottom w:val="single" w:sz="4" w:space="0" w:color="auto"/>
              <w:right w:val="single" w:sz="4" w:space="0" w:color="auto"/>
            </w:tcBorders>
            <w:noWrap/>
            <w:vAlign w:val="bottom"/>
            <w:hideMark/>
          </w:tcPr>
          <w:p w14:paraId="6AF51D31"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3.909,76</w:t>
            </w:r>
          </w:p>
        </w:tc>
        <w:tc>
          <w:tcPr>
            <w:tcW w:w="1184" w:type="dxa"/>
            <w:tcBorders>
              <w:top w:val="single" w:sz="4" w:space="0" w:color="auto"/>
              <w:left w:val="nil"/>
              <w:bottom w:val="single" w:sz="4" w:space="0" w:color="auto"/>
              <w:right w:val="single" w:sz="4" w:space="0" w:color="auto"/>
            </w:tcBorders>
            <w:noWrap/>
            <w:vAlign w:val="bottom"/>
            <w:hideMark/>
          </w:tcPr>
          <w:p w14:paraId="586DD311"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8.530,00</w:t>
            </w:r>
          </w:p>
        </w:tc>
        <w:tc>
          <w:tcPr>
            <w:tcW w:w="1154" w:type="dxa"/>
            <w:tcBorders>
              <w:top w:val="single" w:sz="4" w:space="0" w:color="auto"/>
              <w:left w:val="nil"/>
              <w:bottom w:val="single" w:sz="4" w:space="0" w:color="auto"/>
              <w:right w:val="single" w:sz="4" w:space="0" w:color="auto"/>
            </w:tcBorders>
            <w:noWrap/>
            <w:vAlign w:val="bottom"/>
            <w:hideMark/>
          </w:tcPr>
          <w:p w14:paraId="08470D2B"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8.530,00</w:t>
            </w:r>
          </w:p>
        </w:tc>
        <w:tc>
          <w:tcPr>
            <w:tcW w:w="1203" w:type="dxa"/>
            <w:tcBorders>
              <w:top w:val="single" w:sz="4" w:space="0" w:color="auto"/>
              <w:left w:val="nil"/>
              <w:bottom w:val="single" w:sz="4" w:space="0" w:color="auto"/>
              <w:right w:val="single" w:sz="4" w:space="0" w:color="auto"/>
            </w:tcBorders>
            <w:noWrap/>
            <w:vAlign w:val="bottom"/>
            <w:hideMark/>
          </w:tcPr>
          <w:p w14:paraId="28D0E3DE"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4.873,75</w:t>
            </w:r>
          </w:p>
        </w:tc>
        <w:tc>
          <w:tcPr>
            <w:tcW w:w="925" w:type="dxa"/>
            <w:tcBorders>
              <w:top w:val="single" w:sz="4" w:space="0" w:color="auto"/>
              <w:left w:val="nil"/>
              <w:bottom w:val="single" w:sz="4" w:space="0" w:color="auto"/>
              <w:right w:val="single" w:sz="4" w:space="0" w:color="auto"/>
            </w:tcBorders>
            <w:noWrap/>
            <w:vAlign w:val="bottom"/>
            <w:hideMark/>
          </w:tcPr>
          <w:p w14:paraId="70C28CCB"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124,66%</w:t>
            </w:r>
          </w:p>
        </w:tc>
        <w:tc>
          <w:tcPr>
            <w:tcW w:w="785" w:type="dxa"/>
            <w:tcBorders>
              <w:top w:val="single" w:sz="4" w:space="0" w:color="auto"/>
              <w:left w:val="nil"/>
              <w:bottom w:val="single" w:sz="4" w:space="0" w:color="auto"/>
              <w:right w:val="single" w:sz="4" w:space="0" w:color="auto"/>
            </w:tcBorders>
            <w:noWrap/>
            <w:vAlign w:val="bottom"/>
            <w:hideMark/>
          </w:tcPr>
          <w:p w14:paraId="72A03D15"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57,14%</w:t>
            </w:r>
          </w:p>
        </w:tc>
      </w:tr>
      <w:tr w:rsidR="00416D67" w:rsidRPr="00416D67" w14:paraId="2CB91D27"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223C3757" w14:textId="77777777" w:rsidR="00416D67" w:rsidRPr="00416D67" w:rsidRDefault="00416D67" w:rsidP="00416D67">
            <w:pPr>
              <w:rPr>
                <w:rFonts w:ascii="Arial" w:hAnsi="Arial" w:cs="Arial"/>
                <w:b/>
                <w:bCs/>
                <w:color w:val="000000"/>
                <w:sz w:val="14"/>
                <w:szCs w:val="14"/>
              </w:rPr>
            </w:pPr>
            <w:r w:rsidRPr="00416D67">
              <w:rPr>
                <w:rFonts w:ascii="Arial" w:hAnsi="Arial" w:cs="Arial"/>
                <w:b/>
                <w:bCs/>
                <w:color w:val="000000"/>
                <w:sz w:val="14"/>
                <w:szCs w:val="14"/>
              </w:rPr>
              <w:t>Funkcijska klasifikacija 04 Ekonomski poslovi</w:t>
            </w:r>
          </w:p>
        </w:tc>
        <w:tc>
          <w:tcPr>
            <w:tcW w:w="1135" w:type="dxa"/>
            <w:tcBorders>
              <w:top w:val="single" w:sz="4" w:space="0" w:color="auto"/>
              <w:left w:val="nil"/>
              <w:bottom w:val="single" w:sz="4" w:space="0" w:color="auto"/>
              <w:right w:val="single" w:sz="4" w:space="0" w:color="auto"/>
            </w:tcBorders>
            <w:noWrap/>
            <w:vAlign w:val="bottom"/>
            <w:hideMark/>
          </w:tcPr>
          <w:p w14:paraId="7B23C198"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51.852,00</w:t>
            </w:r>
          </w:p>
        </w:tc>
        <w:tc>
          <w:tcPr>
            <w:tcW w:w="1184" w:type="dxa"/>
            <w:tcBorders>
              <w:top w:val="single" w:sz="4" w:space="0" w:color="auto"/>
              <w:left w:val="nil"/>
              <w:bottom w:val="single" w:sz="4" w:space="0" w:color="auto"/>
              <w:right w:val="single" w:sz="4" w:space="0" w:color="auto"/>
            </w:tcBorders>
            <w:noWrap/>
            <w:vAlign w:val="bottom"/>
            <w:hideMark/>
          </w:tcPr>
          <w:p w14:paraId="25C6DEE1"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457.504,55</w:t>
            </w:r>
          </w:p>
        </w:tc>
        <w:tc>
          <w:tcPr>
            <w:tcW w:w="1154" w:type="dxa"/>
            <w:tcBorders>
              <w:top w:val="single" w:sz="4" w:space="0" w:color="auto"/>
              <w:left w:val="nil"/>
              <w:bottom w:val="single" w:sz="4" w:space="0" w:color="auto"/>
              <w:right w:val="single" w:sz="4" w:space="0" w:color="auto"/>
            </w:tcBorders>
            <w:noWrap/>
            <w:vAlign w:val="bottom"/>
            <w:hideMark/>
          </w:tcPr>
          <w:p w14:paraId="59611E8D"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459.154,55</w:t>
            </w:r>
          </w:p>
        </w:tc>
        <w:tc>
          <w:tcPr>
            <w:tcW w:w="1203" w:type="dxa"/>
            <w:tcBorders>
              <w:top w:val="single" w:sz="4" w:space="0" w:color="auto"/>
              <w:left w:val="nil"/>
              <w:bottom w:val="single" w:sz="4" w:space="0" w:color="auto"/>
              <w:right w:val="single" w:sz="4" w:space="0" w:color="auto"/>
            </w:tcBorders>
            <w:noWrap/>
            <w:vAlign w:val="bottom"/>
            <w:hideMark/>
          </w:tcPr>
          <w:p w14:paraId="7DDDE5A1"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180.011,99</w:t>
            </w:r>
          </w:p>
        </w:tc>
        <w:tc>
          <w:tcPr>
            <w:tcW w:w="925" w:type="dxa"/>
            <w:tcBorders>
              <w:top w:val="single" w:sz="4" w:space="0" w:color="auto"/>
              <w:left w:val="nil"/>
              <w:bottom w:val="single" w:sz="4" w:space="0" w:color="auto"/>
              <w:right w:val="single" w:sz="4" w:space="0" w:color="auto"/>
            </w:tcBorders>
            <w:noWrap/>
            <w:vAlign w:val="bottom"/>
            <w:hideMark/>
          </w:tcPr>
          <w:p w14:paraId="44BF4C98"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347,16%</w:t>
            </w:r>
          </w:p>
        </w:tc>
        <w:tc>
          <w:tcPr>
            <w:tcW w:w="785" w:type="dxa"/>
            <w:tcBorders>
              <w:top w:val="single" w:sz="4" w:space="0" w:color="auto"/>
              <w:left w:val="nil"/>
              <w:bottom w:val="single" w:sz="4" w:space="0" w:color="auto"/>
              <w:right w:val="single" w:sz="4" w:space="0" w:color="auto"/>
            </w:tcBorders>
            <w:noWrap/>
            <w:vAlign w:val="bottom"/>
            <w:hideMark/>
          </w:tcPr>
          <w:p w14:paraId="79EA4DD7"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39,21%</w:t>
            </w:r>
          </w:p>
        </w:tc>
      </w:tr>
      <w:tr w:rsidR="00416D67" w:rsidRPr="00416D67" w14:paraId="705CBB3A"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54A0384F" w14:textId="77777777" w:rsidR="00416D67" w:rsidRPr="00416D67" w:rsidRDefault="00416D67" w:rsidP="00416D67">
            <w:pPr>
              <w:rPr>
                <w:rFonts w:ascii="Arial" w:hAnsi="Arial" w:cs="Arial"/>
                <w:color w:val="000000"/>
                <w:sz w:val="14"/>
                <w:szCs w:val="14"/>
              </w:rPr>
            </w:pPr>
            <w:r w:rsidRPr="00416D67">
              <w:rPr>
                <w:rFonts w:ascii="Arial" w:hAnsi="Arial" w:cs="Arial"/>
                <w:color w:val="000000"/>
                <w:sz w:val="14"/>
                <w:szCs w:val="14"/>
              </w:rPr>
              <w:t>Funkcijska klasifikacija 042 Poljoprivreda, šumarstvo, ribarstvo i lov</w:t>
            </w:r>
          </w:p>
        </w:tc>
        <w:tc>
          <w:tcPr>
            <w:tcW w:w="1135" w:type="dxa"/>
            <w:tcBorders>
              <w:top w:val="single" w:sz="4" w:space="0" w:color="auto"/>
              <w:left w:val="nil"/>
              <w:bottom w:val="single" w:sz="4" w:space="0" w:color="auto"/>
              <w:right w:val="single" w:sz="4" w:space="0" w:color="auto"/>
            </w:tcBorders>
            <w:noWrap/>
            <w:vAlign w:val="bottom"/>
            <w:hideMark/>
          </w:tcPr>
          <w:p w14:paraId="219D120E"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25.145,75</w:t>
            </w:r>
          </w:p>
        </w:tc>
        <w:tc>
          <w:tcPr>
            <w:tcW w:w="1184" w:type="dxa"/>
            <w:tcBorders>
              <w:top w:val="single" w:sz="4" w:space="0" w:color="auto"/>
              <w:left w:val="nil"/>
              <w:bottom w:val="single" w:sz="4" w:space="0" w:color="auto"/>
              <w:right w:val="single" w:sz="4" w:space="0" w:color="auto"/>
            </w:tcBorders>
            <w:noWrap/>
            <w:vAlign w:val="bottom"/>
            <w:hideMark/>
          </w:tcPr>
          <w:p w14:paraId="21CA7762"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26.330,00</w:t>
            </w:r>
          </w:p>
        </w:tc>
        <w:tc>
          <w:tcPr>
            <w:tcW w:w="1154" w:type="dxa"/>
            <w:tcBorders>
              <w:top w:val="single" w:sz="4" w:space="0" w:color="auto"/>
              <w:left w:val="nil"/>
              <w:bottom w:val="single" w:sz="4" w:space="0" w:color="auto"/>
              <w:right w:val="single" w:sz="4" w:space="0" w:color="auto"/>
            </w:tcBorders>
            <w:noWrap/>
            <w:vAlign w:val="bottom"/>
            <w:hideMark/>
          </w:tcPr>
          <w:p w14:paraId="6F52AB56"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26.330,00</w:t>
            </w:r>
          </w:p>
        </w:tc>
        <w:tc>
          <w:tcPr>
            <w:tcW w:w="1203" w:type="dxa"/>
            <w:tcBorders>
              <w:top w:val="single" w:sz="4" w:space="0" w:color="auto"/>
              <w:left w:val="nil"/>
              <w:bottom w:val="single" w:sz="4" w:space="0" w:color="auto"/>
              <w:right w:val="single" w:sz="4" w:space="0" w:color="auto"/>
            </w:tcBorders>
            <w:noWrap/>
            <w:vAlign w:val="bottom"/>
            <w:hideMark/>
          </w:tcPr>
          <w:p w14:paraId="5184000C"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26.246,13</w:t>
            </w:r>
          </w:p>
        </w:tc>
        <w:tc>
          <w:tcPr>
            <w:tcW w:w="925" w:type="dxa"/>
            <w:tcBorders>
              <w:top w:val="single" w:sz="4" w:space="0" w:color="auto"/>
              <w:left w:val="nil"/>
              <w:bottom w:val="single" w:sz="4" w:space="0" w:color="auto"/>
              <w:right w:val="single" w:sz="4" w:space="0" w:color="auto"/>
            </w:tcBorders>
            <w:noWrap/>
            <w:vAlign w:val="bottom"/>
            <w:hideMark/>
          </w:tcPr>
          <w:p w14:paraId="5002A54C"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104,38%</w:t>
            </w:r>
          </w:p>
        </w:tc>
        <w:tc>
          <w:tcPr>
            <w:tcW w:w="785" w:type="dxa"/>
            <w:tcBorders>
              <w:top w:val="single" w:sz="4" w:space="0" w:color="auto"/>
              <w:left w:val="nil"/>
              <w:bottom w:val="single" w:sz="4" w:space="0" w:color="auto"/>
              <w:right w:val="single" w:sz="4" w:space="0" w:color="auto"/>
            </w:tcBorders>
            <w:noWrap/>
            <w:vAlign w:val="bottom"/>
            <w:hideMark/>
          </w:tcPr>
          <w:p w14:paraId="108C45C1"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99,68%</w:t>
            </w:r>
          </w:p>
        </w:tc>
      </w:tr>
      <w:tr w:rsidR="00416D67" w:rsidRPr="00416D67" w14:paraId="7E5E928C"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3087902A" w14:textId="77777777" w:rsidR="00416D67" w:rsidRPr="00416D67" w:rsidRDefault="00416D67" w:rsidP="00416D67">
            <w:pPr>
              <w:rPr>
                <w:rFonts w:ascii="Arial" w:hAnsi="Arial" w:cs="Arial"/>
                <w:color w:val="000000"/>
                <w:sz w:val="14"/>
                <w:szCs w:val="14"/>
              </w:rPr>
            </w:pPr>
            <w:r w:rsidRPr="00416D67">
              <w:rPr>
                <w:rFonts w:ascii="Arial" w:hAnsi="Arial" w:cs="Arial"/>
                <w:color w:val="000000"/>
                <w:sz w:val="14"/>
                <w:szCs w:val="14"/>
              </w:rPr>
              <w:t>Funkcijska klasifikacija 045 Promet</w:t>
            </w:r>
          </w:p>
        </w:tc>
        <w:tc>
          <w:tcPr>
            <w:tcW w:w="1135" w:type="dxa"/>
            <w:tcBorders>
              <w:top w:val="single" w:sz="4" w:space="0" w:color="auto"/>
              <w:left w:val="nil"/>
              <w:bottom w:val="single" w:sz="4" w:space="0" w:color="auto"/>
              <w:right w:val="single" w:sz="4" w:space="0" w:color="auto"/>
            </w:tcBorders>
            <w:noWrap/>
            <w:vAlign w:val="bottom"/>
            <w:hideMark/>
          </w:tcPr>
          <w:p w14:paraId="5BB26AE8"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26.181,25</w:t>
            </w:r>
          </w:p>
        </w:tc>
        <w:tc>
          <w:tcPr>
            <w:tcW w:w="1184" w:type="dxa"/>
            <w:tcBorders>
              <w:top w:val="single" w:sz="4" w:space="0" w:color="auto"/>
              <w:left w:val="nil"/>
              <w:bottom w:val="single" w:sz="4" w:space="0" w:color="auto"/>
              <w:right w:val="single" w:sz="4" w:space="0" w:color="auto"/>
            </w:tcBorders>
            <w:noWrap/>
            <w:vAlign w:val="bottom"/>
            <w:hideMark/>
          </w:tcPr>
          <w:p w14:paraId="66BC2357"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75.000,00</w:t>
            </w:r>
          </w:p>
        </w:tc>
        <w:tc>
          <w:tcPr>
            <w:tcW w:w="1154" w:type="dxa"/>
            <w:tcBorders>
              <w:top w:val="single" w:sz="4" w:space="0" w:color="auto"/>
              <w:left w:val="nil"/>
              <w:bottom w:val="single" w:sz="4" w:space="0" w:color="auto"/>
              <w:right w:val="single" w:sz="4" w:space="0" w:color="auto"/>
            </w:tcBorders>
            <w:noWrap/>
            <w:vAlign w:val="bottom"/>
            <w:hideMark/>
          </w:tcPr>
          <w:p w14:paraId="5AA4B15F"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76.650,00</w:t>
            </w:r>
          </w:p>
        </w:tc>
        <w:tc>
          <w:tcPr>
            <w:tcW w:w="1203" w:type="dxa"/>
            <w:tcBorders>
              <w:top w:val="single" w:sz="4" w:space="0" w:color="auto"/>
              <w:left w:val="nil"/>
              <w:bottom w:val="single" w:sz="4" w:space="0" w:color="auto"/>
              <w:right w:val="single" w:sz="4" w:space="0" w:color="auto"/>
            </w:tcBorders>
            <w:noWrap/>
            <w:vAlign w:val="bottom"/>
            <w:hideMark/>
          </w:tcPr>
          <w:p w14:paraId="7B357182"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75.692,11</w:t>
            </w:r>
          </w:p>
        </w:tc>
        <w:tc>
          <w:tcPr>
            <w:tcW w:w="925" w:type="dxa"/>
            <w:tcBorders>
              <w:top w:val="single" w:sz="4" w:space="0" w:color="auto"/>
              <w:left w:val="nil"/>
              <w:bottom w:val="single" w:sz="4" w:space="0" w:color="auto"/>
              <w:right w:val="single" w:sz="4" w:space="0" w:color="auto"/>
            </w:tcBorders>
            <w:noWrap/>
            <w:vAlign w:val="bottom"/>
            <w:hideMark/>
          </w:tcPr>
          <w:p w14:paraId="4C508CED"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289,11%</w:t>
            </w:r>
          </w:p>
        </w:tc>
        <w:tc>
          <w:tcPr>
            <w:tcW w:w="785" w:type="dxa"/>
            <w:tcBorders>
              <w:top w:val="single" w:sz="4" w:space="0" w:color="auto"/>
              <w:left w:val="nil"/>
              <w:bottom w:val="single" w:sz="4" w:space="0" w:color="auto"/>
              <w:right w:val="single" w:sz="4" w:space="0" w:color="auto"/>
            </w:tcBorders>
            <w:noWrap/>
            <w:vAlign w:val="bottom"/>
            <w:hideMark/>
          </w:tcPr>
          <w:p w14:paraId="493B2DF3"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98,75%</w:t>
            </w:r>
          </w:p>
        </w:tc>
      </w:tr>
      <w:tr w:rsidR="00416D67" w:rsidRPr="00416D67" w14:paraId="0D7512F5"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0D290BCF" w14:textId="77777777" w:rsidR="00416D67" w:rsidRPr="00416D67" w:rsidRDefault="00416D67" w:rsidP="00416D67">
            <w:pPr>
              <w:rPr>
                <w:rFonts w:ascii="Arial" w:hAnsi="Arial" w:cs="Arial"/>
                <w:color w:val="000000"/>
                <w:sz w:val="14"/>
                <w:szCs w:val="14"/>
              </w:rPr>
            </w:pPr>
            <w:r w:rsidRPr="00416D67">
              <w:rPr>
                <w:rFonts w:ascii="Arial" w:hAnsi="Arial" w:cs="Arial"/>
                <w:color w:val="000000"/>
                <w:sz w:val="14"/>
                <w:szCs w:val="14"/>
              </w:rPr>
              <w:t>Funkcijska klasifikacija 049 Ekonomski poslovi koji nisu drugdje svrstani</w:t>
            </w:r>
          </w:p>
        </w:tc>
        <w:tc>
          <w:tcPr>
            <w:tcW w:w="1135" w:type="dxa"/>
            <w:tcBorders>
              <w:top w:val="single" w:sz="4" w:space="0" w:color="auto"/>
              <w:left w:val="nil"/>
              <w:bottom w:val="single" w:sz="4" w:space="0" w:color="auto"/>
              <w:right w:val="single" w:sz="4" w:space="0" w:color="auto"/>
            </w:tcBorders>
            <w:noWrap/>
            <w:vAlign w:val="bottom"/>
            <w:hideMark/>
          </w:tcPr>
          <w:p w14:paraId="7AB6BCEB"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525,00</w:t>
            </w:r>
          </w:p>
        </w:tc>
        <w:tc>
          <w:tcPr>
            <w:tcW w:w="1184" w:type="dxa"/>
            <w:tcBorders>
              <w:top w:val="single" w:sz="4" w:space="0" w:color="auto"/>
              <w:left w:val="nil"/>
              <w:bottom w:val="single" w:sz="4" w:space="0" w:color="auto"/>
              <w:right w:val="single" w:sz="4" w:space="0" w:color="auto"/>
            </w:tcBorders>
            <w:noWrap/>
            <w:vAlign w:val="bottom"/>
            <w:hideMark/>
          </w:tcPr>
          <w:p w14:paraId="4F7A7077"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356.174,55</w:t>
            </w:r>
          </w:p>
        </w:tc>
        <w:tc>
          <w:tcPr>
            <w:tcW w:w="1154" w:type="dxa"/>
            <w:tcBorders>
              <w:top w:val="single" w:sz="4" w:space="0" w:color="auto"/>
              <w:left w:val="nil"/>
              <w:bottom w:val="single" w:sz="4" w:space="0" w:color="auto"/>
              <w:right w:val="single" w:sz="4" w:space="0" w:color="auto"/>
            </w:tcBorders>
            <w:noWrap/>
            <w:vAlign w:val="bottom"/>
            <w:hideMark/>
          </w:tcPr>
          <w:p w14:paraId="2739710E"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356.174,55</w:t>
            </w:r>
          </w:p>
        </w:tc>
        <w:tc>
          <w:tcPr>
            <w:tcW w:w="1203" w:type="dxa"/>
            <w:tcBorders>
              <w:top w:val="single" w:sz="4" w:space="0" w:color="auto"/>
              <w:left w:val="nil"/>
              <w:bottom w:val="single" w:sz="4" w:space="0" w:color="auto"/>
              <w:right w:val="single" w:sz="4" w:space="0" w:color="auto"/>
            </w:tcBorders>
            <w:noWrap/>
            <w:vAlign w:val="bottom"/>
            <w:hideMark/>
          </w:tcPr>
          <w:p w14:paraId="61B2E82C"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78.073,75</w:t>
            </w:r>
          </w:p>
        </w:tc>
        <w:tc>
          <w:tcPr>
            <w:tcW w:w="925" w:type="dxa"/>
            <w:tcBorders>
              <w:top w:val="single" w:sz="4" w:space="0" w:color="auto"/>
              <w:left w:val="nil"/>
              <w:bottom w:val="single" w:sz="4" w:space="0" w:color="auto"/>
              <w:right w:val="single" w:sz="4" w:space="0" w:color="auto"/>
            </w:tcBorders>
            <w:noWrap/>
            <w:vAlign w:val="bottom"/>
            <w:hideMark/>
          </w:tcPr>
          <w:p w14:paraId="2781C1C5"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14871,19%</w:t>
            </w:r>
          </w:p>
        </w:tc>
        <w:tc>
          <w:tcPr>
            <w:tcW w:w="785" w:type="dxa"/>
            <w:tcBorders>
              <w:top w:val="single" w:sz="4" w:space="0" w:color="auto"/>
              <w:left w:val="nil"/>
              <w:bottom w:val="single" w:sz="4" w:space="0" w:color="auto"/>
              <w:right w:val="single" w:sz="4" w:space="0" w:color="auto"/>
            </w:tcBorders>
            <w:noWrap/>
            <w:vAlign w:val="bottom"/>
            <w:hideMark/>
          </w:tcPr>
          <w:p w14:paraId="37F3579E"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21,92%</w:t>
            </w:r>
          </w:p>
        </w:tc>
      </w:tr>
      <w:tr w:rsidR="00416D67" w:rsidRPr="00416D67" w14:paraId="19C6A608"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5F64EA36" w14:textId="77777777" w:rsidR="00416D67" w:rsidRPr="00416D67" w:rsidRDefault="00416D67" w:rsidP="00416D67">
            <w:pPr>
              <w:rPr>
                <w:rFonts w:ascii="Arial" w:hAnsi="Arial" w:cs="Arial"/>
                <w:b/>
                <w:bCs/>
                <w:color w:val="000000"/>
                <w:sz w:val="14"/>
                <w:szCs w:val="14"/>
              </w:rPr>
            </w:pPr>
            <w:r w:rsidRPr="00416D67">
              <w:rPr>
                <w:rFonts w:ascii="Arial" w:hAnsi="Arial" w:cs="Arial"/>
                <w:b/>
                <w:bCs/>
                <w:color w:val="000000"/>
                <w:sz w:val="14"/>
                <w:szCs w:val="14"/>
              </w:rPr>
              <w:lastRenderedPageBreak/>
              <w:t>Funkcijska klasifikacija 05 Zaštita okoliša</w:t>
            </w:r>
          </w:p>
        </w:tc>
        <w:tc>
          <w:tcPr>
            <w:tcW w:w="1135" w:type="dxa"/>
            <w:tcBorders>
              <w:top w:val="single" w:sz="4" w:space="0" w:color="auto"/>
              <w:left w:val="nil"/>
              <w:bottom w:val="single" w:sz="4" w:space="0" w:color="auto"/>
              <w:right w:val="single" w:sz="4" w:space="0" w:color="auto"/>
            </w:tcBorders>
            <w:noWrap/>
            <w:vAlign w:val="bottom"/>
            <w:hideMark/>
          </w:tcPr>
          <w:p w14:paraId="3D7A1613"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143.242,78</w:t>
            </w:r>
          </w:p>
        </w:tc>
        <w:tc>
          <w:tcPr>
            <w:tcW w:w="1184" w:type="dxa"/>
            <w:tcBorders>
              <w:top w:val="single" w:sz="4" w:space="0" w:color="auto"/>
              <w:left w:val="nil"/>
              <w:bottom w:val="single" w:sz="4" w:space="0" w:color="auto"/>
              <w:right w:val="single" w:sz="4" w:space="0" w:color="auto"/>
            </w:tcBorders>
            <w:noWrap/>
            <w:vAlign w:val="bottom"/>
            <w:hideMark/>
          </w:tcPr>
          <w:p w14:paraId="0FADA56E"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142.107,70</w:t>
            </w:r>
          </w:p>
        </w:tc>
        <w:tc>
          <w:tcPr>
            <w:tcW w:w="1154" w:type="dxa"/>
            <w:tcBorders>
              <w:top w:val="single" w:sz="4" w:space="0" w:color="auto"/>
              <w:left w:val="nil"/>
              <w:bottom w:val="single" w:sz="4" w:space="0" w:color="auto"/>
              <w:right w:val="single" w:sz="4" w:space="0" w:color="auto"/>
            </w:tcBorders>
            <w:noWrap/>
            <w:vAlign w:val="bottom"/>
            <w:hideMark/>
          </w:tcPr>
          <w:p w14:paraId="13B02E3A"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142.107,70</w:t>
            </w:r>
          </w:p>
        </w:tc>
        <w:tc>
          <w:tcPr>
            <w:tcW w:w="1203" w:type="dxa"/>
            <w:tcBorders>
              <w:top w:val="single" w:sz="4" w:space="0" w:color="auto"/>
              <w:left w:val="nil"/>
              <w:bottom w:val="single" w:sz="4" w:space="0" w:color="auto"/>
              <w:right w:val="single" w:sz="4" w:space="0" w:color="auto"/>
            </w:tcBorders>
            <w:noWrap/>
            <w:vAlign w:val="bottom"/>
            <w:hideMark/>
          </w:tcPr>
          <w:p w14:paraId="68EA2290"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101.675,70</w:t>
            </w:r>
          </w:p>
        </w:tc>
        <w:tc>
          <w:tcPr>
            <w:tcW w:w="925" w:type="dxa"/>
            <w:tcBorders>
              <w:top w:val="single" w:sz="4" w:space="0" w:color="auto"/>
              <w:left w:val="nil"/>
              <w:bottom w:val="single" w:sz="4" w:space="0" w:color="auto"/>
              <w:right w:val="single" w:sz="4" w:space="0" w:color="auto"/>
            </w:tcBorders>
            <w:noWrap/>
            <w:vAlign w:val="bottom"/>
            <w:hideMark/>
          </w:tcPr>
          <w:p w14:paraId="793CD0B1"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70,98%</w:t>
            </w:r>
          </w:p>
        </w:tc>
        <w:tc>
          <w:tcPr>
            <w:tcW w:w="785" w:type="dxa"/>
            <w:tcBorders>
              <w:top w:val="single" w:sz="4" w:space="0" w:color="auto"/>
              <w:left w:val="nil"/>
              <w:bottom w:val="single" w:sz="4" w:space="0" w:color="auto"/>
              <w:right w:val="single" w:sz="4" w:space="0" w:color="auto"/>
            </w:tcBorders>
            <w:noWrap/>
            <w:vAlign w:val="bottom"/>
            <w:hideMark/>
          </w:tcPr>
          <w:p w14:paraId="2D1F0319"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71,55%</w:t>
            </w:r>
          </w:p>
        </w:tc>
      </w:tr>
    </w:tbl>
    <w:p w14:paraId="74DC5379" w14:textId="77777777" w:rsidR="00416D67" w:rsidRPr="00416D67" w:rsidRDefault="00416D67" w:rsidP="00416D67">
      <w:pPr>
        <w:jc w:val="center"/>
        <w:rPr>
          <w:b/>
        </w:rPr>
      </w:pPr>
    </w:p>
    <w:p w14:paraId="437B4F9A" w14:textId="77777777" w:rsidR="00416D67" w:rsidRPr="00416D67" w:rsidRDefault="00416D67" w:rsidP="00416D67">
      <w:pPr>
        <w:rPr>
          <w:b/>
        </w:rPr>
      </w:pPr>
    </w:p>
    <w:p w14:paraId="6CA9B084" w14:textId="77777777" w:rsidR="00416D67" w:rsidRPr="00416D67" w:rsidRDefault="00416D67" w:rsidP="00416D67">
      <w:pPr>
        <w:jc w:val="center"/>
        <w:rPr>
          <w:b/>
        </w:rPr>
      </w:pPr>
    </w:p>
    <w:tbl>
      <w:tblPr>
        <w:tblW w:w="13320" w:type="dxa"/>
        <w:tblInd w:w="93" w:type="dxa"/>
        <w:tblLook w:val="04A0" w:firstRow="1" w:lastRow="0" w:firstColumn="1" w:lastColumn="0" w:noHBand="0" w:noVBand="1"/>
      </w:tblPr>
      <w:tblGrid>
        <w:gridCol w:w="7003"/>
        <w:gridCol w:w="1148"/>
        <w:gridCol w:w="1200"/>
        <w:gridCol w:w="1169"/>
        <w:gridCol w:w="1220"/>
        <w:gridCol w:w="785"/>
        <w:gridCol w:w="795"/>
      </w:tblGrid>
      <w:tr w:rsidR="00416D67" w:rsidRPr="00416D67" w14:paraId="1D77FC62" w14:textId="77777777" w:rsidTr="00BB1392">
        <w:trPr>
          <w:trHeight w:val="645"/>
        </w:trPr>
        <w:tc>
          <w:tcPr>
            <w:tcW w:w="700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4E5B588" w14:textId="77777777" w:rsidR="00416D67" w:rsidRPr="00416D67" w:rsidRDefault="00416D67" w:rsidP="00416D67">
            <w:pPr>
              <w:jc w:val="center"/>
              <w:rPr>
                <w:rFonts w:ascii="Arial" w:hAnsi="Arial" w:cs="Arial"/>
                <w:b/>
                <w:bCs/>
                <w:sz w:val="14"/>
                <w:szCs w:val="14"/>
              </w:rPr>
            </w:pPr>
            <w:r w:rsidRPr="00416D67">
              <w:rPr>
                <w:rFonts w:ascii="Arial" w:hAnsi="Arial" w:cs="Arial"/>
                <w:b/>
                <w:bCs/>
                <w:sz w:val="14"/>
                <w:szCs w:val="14"/>
              </w:rPr>
              <w:t>Račun/Opis</w:t>
            </w:r>
          </w:p>
        </w:tc>
        <w:tc>
          <w:tcPr>
            <w:tcW w:w="1148" w:type="dxa"/>
            <w:tcBorders>
              <w:top w:val="single" w:sz="4" w:space="0" w:color="auto"/>
              <w:left w:val="nil"/>
              <w:bottom w:val="single" w:sz="4" w:space="0" w:color="auto"/>
              <w:right w:val="single" w:sz="4" w:space="0" w:color="auto"/>
            </w:tcBorders>
            <w:shd w:val="clear" w:color="000000" w:fill="D9D9D9"/>
            <w:vAlign w:val="center"/>
            <w:hideMark/>
          </w:tcPr>
          <w:p w14:paraId="3B720CBB"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2024. godina</w:t>
            </w:r>
          </w:p>
        </w:tc>
        <w:tc>
          <w:tcPr>
            <w:tcW w:w="1200" w:type="dxa"/>
            <w:tcBorders>
              <w:top w:val="single" w:sz="4" w:space="0" w:color="auto"/>
              <w:left w:val="nil"/>
              <w:bottom w:val="single" w:sz="4" w:space="0" w:color="auto"/>
              <w:right w:val="single" w:sz="4" w:space="0" w:color="auto"/>
            </w:tcBorders>
            <w:shd w:val="clear" w:color="000000" w:fill="D9D9D9"/>
            <w:vAlign w:val="center"/>
            <w:hideMark/>
          </w:tcPr>
          <w:p w14:paraId="215F321C"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169" w:type="dxa"/>
            <w:tcBorders>
              <w:top w:val="single" w:sz="4" w:space="0" w:color="auto"/>
              <w:left w:val="nil"/>
              <w:bottom w:val="single" w:sz="4" w:space="0" w:color="auto"/>
              <w:right w:val="single" w:sz="4" w:space="0" w:color="auto"/>
            </w:tcBorders>
            <w:shd w:val="clear" w:color="000000" w:fill="D9D9D9"/>
            <w:vAlign w:val="center"/>
            <w:hideMark/>
          </w:tcPr>
          <w:p w14:paraId="5C121D48"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220" w:type="dxa"/>
            <w:tcBorders>
              <w:top w:val="single" w:sz="4" w:space="0" w:color="auto"/>
              <w:left w:val="nil"/>
              <w:bottom w:val="single" w:sz="4" w:space="0" w:color="auto"/>
              <w:right w:val="single" w:sz="4" w:space="0" w:color="auto"/>
            </w:tcBorders>
            <w:shd w:val="clear" w:color="000000" w:fill="D9D9D9"/>
            <w:vAlign w:val="center"/>
            <w:hideMark/>
          </w:tcPr>
          <w:p w14:paraId="3DFA4D71"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785" w:type="dxa"/>
            <w:tcBorders>
              <w:top w:val="single" w:sz="4" w:space="0" w:color="auto"/>
              <w:left w:val="nil"/>
              <w:bottom w:val="single" w:sz="4" w:space="0" w:color="auto"/>
              <w:right w:val="single" w:sz="4" w:space="0" w:color="auto"/>
            </w:tcBorders>
            <w:shd w:val="clear" w:color="000000" w:fill="D9D9D9"/>
            <w:vAlign w:val="center"/>
            <w:hideMark/>
          </w:tcPr>
          <w:p w14:paraId="4679AC4F"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4/1</w:t>
            </w:r>
          </w:p>
        </w:tc>
        <w:tc>
          <w:tcPr>
            <w:tcW w:w="795" w:type="dxa"/>
            <w:tcBorders>
              <w:top w:val="single" w:sz="4" w:space="0" w:color="auto"/>
              <w:left w:val="nil"/>
              <w:bottom w:val="single" w:sz="4" w:space="0" w:color="auto"/>
              <w:right w:val="single" w:sz="4" w:space="0" w:color="auto"/>
            </w:tcBorders>
            <w:shd w:val="clear" w:color="000000" w:fill="D9D9D9"/>
            <w:vAlign w:val="center"/>
            <w:hideMark/>
          </w:tcPr>
          <w:p w14:paraId="44D43EBF"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4/3</w:t>
            </w:r>
          </w:p>
        </w:tc>
      </w:tr>
      <w:tr w:rsidR="00416D67" w:rsidRPr="00416D67" w14:paraId="593B1B95"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F19EAA9" w14:textId="77777777" w:rsidR="00416D67" w:rsidRPr="00416D67" w:rsidRDefault="00416D67" w:rsidP="00416D67">
            <w:pPr>
              <w:jc w:val="center"/>
              <w:rPr>
                <w:rFonts w:ascii="Arial" w:hAnsi="Arial" w:cs="Arial"/>
                <w:b/>
                <w:bCs/>
                <w:sz w:val="14"/>
                <w:szCs w:val="14"/>
              </w:rPr>
            </w:pPr>
            <w:r w:rsidRPr="00416D67">
              <w:rPr>
                <w:rFonts w:ascii="Arial" w:hAnsi="Arial" w:cs="Arial"/>
                <w:b/>
                <w:bCs/>
                <w:sz w:val="14"/>
                <w:szCs w:val="14"/>
              </w:rPr>
              <w:t> </w:t>
            </w:r>
          </w:p>
        </w:tc>
        <w:tc>
          <w:tcPr>
            <w:tcW w:w="1148" w:type="dxa"/>
            <w:tcBorders>
              <w:top w:val="single" w:sz="4" w:space="0" w:color="auto"/>
              <w:left w:val="nil"/>
              <w:bottom w:val="single" w:sz="4" w:space="0" w:color="auto"/>
              <w:right w:val="single" w:sz="4" w:space="0" w:color="auto"/>
            </w:tcBorders>
            <w:shd w:val="clear" w:color="000000" w:fill="D9D9D9"/>
            <w:noWrap/>
            <w:vAlign w:val="bottom"/>
            <w:hideMark/>
          </w:tcPr>
          <w:p w14:paraId="404C0B91"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1</w:t>
            </w:r>
          </w:p>
        </w:tc>
        <w:tc>
          <w:tcPr>
            <w:tcW w:w="1200" w:type="dxa"/>
            <w:tcBorders>
              <w:top w:val="single" w:sz="4" w:space="0" w:color="auto"/>
              <w:left w:val="nil"/>
              <w:bottom w:val="single" w:sz="4" w:space="0" w:color="auto"/>
              <w:right w:val="single" w:sz="4" w:space="0" w:color="auto"/>
            </w:tcBorders>
            <w:shd w:val="clear" w:color="000000" w:fill="D9D9D9"/>
            <w:noWrap/>
            <w:vAlign w:val="bottom"/>
            <w:hideMark/>
          </w:tcPr>
          <w:p w14:paraId="4064A007"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2</w:t>
            </w:r>
          </w:p>
        </w:tc>
        <w:tc>
          <w:tcPr>
            <w:tcW w:w="1169" w:type="dxa"/>
            <w:tcBorders>
              <w:top w:val="single" w:sz="4" w:space="0" w:color="auto"/>
              <w:left w:val="nil"/>
              <w:bottom w:val="single" w:sz="4" w:space="0" w:color="auto"/>
              <w:right w:val="single" w:sz="4" w:space="0" w:color="auto"/>
            </w:tcBorders>
            <w:shd w:val="clear" w:color="000000" w:fill="D9D9D9"/>
            <w:noWrap/>
            <w:vAlign w:val="bottom"/>
            <w:hideMark/>
          </w:tcPr>
          <w:p w14:paraId="6F5C0B06"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3</w:t>
            </w:r>
          </w:p>
        </w:tc>
        <w:tc>
          <w:tcPr>
            <w:tcW w:w="1220" w:type="dxa"/>
            <w:tcBorders>
              <w:top w:val="single" w:sz="4" w:space="0" w:color="auto"/>
              <w:left w:val="nil"/>
              <w:bottom w:val="single" w:sz="4" w:space="0" w:color="auto"/>
              <w:right w:val="single" w:sz="4" w:space="0" w:color="auto"/>
            </w:tcBorders>
            <w:shd w:val="clear" w:color="000000" w:fill="D9D9D9"/>
            <w:noWrap/>
            <w:vAlign w:val="bottom"/>
            <w:hideMark/>
          </w:tcPr>
          <w:p w14:paraId="391FE742"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4</w:t>
            </w:r>
          </w:p>
        </w:tc>
        <w:tc>
          <w:tcPr>
            <w:tcW w:w="785" w:type="dxa"/>
            <w:tcBorders>
              <w:top w:val="single" w:sz="4" w:space="0" w:color="auto"/>
              <w:left w:val="nil"/>
              <w:bottom w:val="single" w:sz="4" w:space="0" w:color="auto"/>
              <w:right w:val="single" w:sz="4" w:space="0" w:color="auto"/>
            </w:tcBorders>
            <w:shd w:val="clear" w:color="000000" w:fill="D9D9D9"/>
            <w:noWrap/>
            <w:vAlign w:val="bottom"/>
            <w:hideMark/>
          </w:tcPr>
          <w:p w14:paraId="17F78F0B"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5</w:t>
            </w:r>
          </w:p>
        </w:tc>
        <w:tc>
          <w:tcPr>
            <w:tcW w:w="795" w:type="dxa"/>
            <w:tcBorders>
              <w:top w:val="single" w:sz="4" w:space="0" w:color="auto"/>
              <w:left w:val="nil"/>
              <w:bottom w:val="single" w:sz="4" w:space="0" w:color="auto"/>
              <w:right w:val="single" w:sz="4" w:space="0" w:color="auto"/>
            </w:tcBorders>
            <w:shd w:val="clear" w:color="000000" w:fill="D9D9D9"/>
            <w:noWrap/>
            <w:vAlign w:val="bottom"/>
            <w:hideMark/>
          </w:tcPr>
          <w:p w14:paraId="0F375817"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6</w:t>
            </w:r>
          </w:p>
        </w:tc>
      </w:tr>
      <w:tr w:rsidR="00416D67" w:rsidRPr="00416D67" w14:paraId="3FDAA1A6"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4B9E09EE" w14:textId="77777777" w:rsidR="00416D67" w:rsidRPr="00416D67" w:rsidRDefault="00416D67" w:rsidP="00416D67">
            <w:pPr>
              <w:rPr>
                <w:rFonts w:ascii="Arial" w:hAnsi="Arial" w:cs="Arial"/>
                <w:color w:val="000000"/>
                <w:sz w:val="14"/>
                <w:szCs w:val="14"/>
              </w:rPr>
            </w:pPr>
            <w:r w:rsidRPr="00416D67">
              <w:rPr>
                <w:rFonts w:ascii="Arial" w:hAnsi="Arial" w:cs="Arial"/>
                <w:color w:val="000000"/>
                <w:sz w:val="14"/>
                <w:szCs w:val="14"/>
              </w:rPr>
              <w:t>Funkcijska klasifikacija 051 Gospodarenje otpadom</w:t>
            </w:r>
          </w:p>
        </w:tc>
        <w:tc>
          <w:tcPr>
            <w:tcW w:w="1148" w:type="dxa"/>
            <w:tcBorders>
              <w:top w:val="single" w:sz="4" w:space="0" w:color="auto"/>
              <w:left w:val="nil"/>
              <w:bottom w:val="single" w:sz="4" w:space="0" w:color="auto"/>
              <w:right w:val="single" w:sz="4" w:space="0" w:color="auto"/>
            </w:tcBorders>
            <w:noWrap/>
            <w:vAlign w:val="bottom"/>
            <w:hideMark/>
          </w:tcPr>
          <w:p w14:paraId="08EFD165"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119.375,57</w:t>
            </w:r>
          </w:p>
        </w:tc>
        <w:tc>
          <w:tcPr>
            <w:tcW w:w="1200" w:type="dxa"/>
            <w:tcBorders>
              <w:top w:val="single" w:sz="4" w:space="0" w:color="auto"/>
              <w:left w:val="nil"/>
              <w:bottom w:val="single" w:sz="4" w:space="0" w:color="auto"/>
              <w:right w:val="single" w:sz="4" w:space="0" w:color="auto"/>
            </w:tcBorders>
            <w:noWrap/>
            <w:vAlign w:val="bottom"/>
            <w:hideMark/>
          </w:tcPr>
          <w:p w14:paraId="7340D2AD"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63.500,00</w:t>
            </w:r>
          </w:p>
        </w:tc>
        <w:tc>
          <w:tcPr>
            <w:tcW w:w="1169" w:type="dxa"/>
            <w:tcBorders>
              <w:top w:val="single" w:sz="4" w:space="0" w:color="auto"/>
              <w:left w:val="nil"/>
              <w:bottom w:val="single" w:sz="4" w:space="0" w:color="auto"/>
              <w:right w:val="single" w:sz="4" w:space="0" w:color="auto"/>
            </w:tcBorders>
            <w:noWrap/>
            <w:vAlign w:val="bottom"/>
            <w:hideMark/>
          </w:tcPr>
          <w:p w14:paraId="18DF1F86"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63.500,00</w:t>
            </w:r>
          </w:p>
        </w:tc>
        <w:tc>
          <w:tcPr>
            <w:tcW w:w="1220" w:type="dxa"/>
            <w:tcBorders>
              <w:top w:val="single" w:sz="4" w:space="0" w:color="auto"/>
              <w:left w:val="nil"/>
              <w:bottom w:val="single" w:sz="4" w:space="0" w:color="auto"/>
              <w:right w:val="single" w:sz="4" w:space="0" w:color="auto"/>
            </w:tcBorders>
            <w:noWrap/>
            <w:vAlign w:val="bottom"/>
            <w:hideMark/>
          </w:tcPr>
          <w:p w14:paraId="42C92814"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36.966,90</w:t>
            </w:r>
          </w:p>
        </w:tc>
        <w:tc>
          <w:tcPr>
            <w:tcW w:w="785" w:type="dxa"/>
            <w:tcBorders>
              <w:top w:val="single" w:sz="4" w:space="0" w:color="auto"/>
              <w:left w:val="nil"/>
              <w:bottom w:val="single" w:sz="4" w:space="0" w:color="auto"/>
              <w:right w:val="single" w:sz="4" w:space="0" w:color="auto"/>
            </w:tcBorders>
            <w:noWrap/>
            <w:vAlign w:val="bottom"/>
            <w:hideMark/>
          </w:tcPr>
          <w:p w14:paraId="3A135D49"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30,97%</w:t>
            </w:r>
          </w:p>
        </w:tc>
        <w:tc>
          <w:tcPr>
            <w:tcW w:w="795" w:type="dxa"/>
            <w:tcBorders>
              <w:top w:val="single" w:sz="4" w:space="0" w:color="auto"/>
              <w:left w:val="nil"/>
              <w:bottom w:val="single" w:sz="4" w:space="0" w:color="auto"/>
              <w:right w:val="single" w:sz="4" w:space="0" w:color="auto"/>
            </w:tcBorders>
            <w:noWrap/>
            <w:vAlign w:val="bottom"/>
            <w:hideMark/>
          </w:tcPr>
          <w:p w14:paraId="13EE8114"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58,22%</w:t>
            </w:r>
          </w:p>
        </w:tc>
      </w:tr>
      <w:tr w:rsidR="00416D67" w:rsidRPr="00416D67" w14:paraId="399004AC"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41783EC9" w14:textId="77777777" w:rsidR="00416D67" w:rsidRPr="00416D67" w:rsidRDefault="00416D67" w:rsidP="00416D67">
            <w:pPr>
              <w:rPr>
                <w:rFonts w:ascii="Arial" w:hAnsi="Arial" w:cs="Arial"/>
                <w:color w:val="000000"/>
                <w:sz w:val="14"/>
                <w:szCs w:val="14"/>
              </w:rPr>
            </w:pPr>
            <w:r w:rsidRPr="00416D67">
              <w:rPr>
                <w:rFonts w:ascii="Arial" w:hAnsi="Arial" w:cs="Arial"/>
                <w:color w:val="000000"/>
                <w:sz w:val="14"/>
                <w:szCs w:val="14"/>
              </w:rPr>
              <w:t>Funkcijska klasifikacija 055 Istraživanje i razvoj: Zaštita okoliša</w:t>
            </w:r>
          </w:p>
        </w:tc>
        <w:tc>
          <w:tcPr>
            <w:tcW w:w="1148" w:type="dxa"/>
            <w:tcBorders>
              <w:top w:val="single" w:sz="4" w:space="0" w:color="auto"/>
              <w:left w:val="nil"/>
              <w:bottom w:val="single" w:sz="4" w:space="0" w:color="auto"/>
              <w:right w:val="single" w:sz="4" w:space="0" w:color="auto"/>
            </w:tcBorders>
            <w:noWrap/>
            <w:vAlign w:val="bottom"/>
            <w:hideMark/>
          </w:tcPr>
          <w:p w14:paraId="3D0D8AEC"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7.790,80</w:t>
            </w:r>
          </w:p>
        </w:tc>
        <w:tc>
          <w:tcPr>
            <w:tcW w:w="1200" w:type="dxa"/>
            <w:tcBorders>
              <w:top w:val="single" w:sz="4" w:space="0" w:color="auto"/>
              <w:left w:val="nil"/>
              <w:bottom w:val="single" w:sz="4" w:space="0" w:color="auto"/>
              <w:right w:val="single" w:sz="4" w:space="0" w:color="auto"/>
            </w:tcBorders>
            <w:noWrap/>
            <w:vAlign w:val="bottom"/>
            <w:hideMark/>
          </w:tcPr>
          <w:p w14:paraId="4B975AC6"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39.452,70</w:t>
            </w:r>
          </w:p>
        </w:tc>
        <w:tc>
          <w:tcPr>
            <w:tcW w:w="1169" w:type="dxa"/>
            <w:tcBorders>
              <w:top w:val="single" w:sz="4" w:space="0" w:color="auto"/>
              <w:left w:val="nil"/>
              <w:bottom w:val="single" w:sz="4" w:space="0" w:color="auto"/>
              <w:right w:val="single" w:sz="4" w:space="0" w:color="auto"/>
            </w:tcBorders>
            <w:noWrap/>
            <w:vAlign w:val="bottom"/>
            <w:hideMark/>
          </w:tcPr>
          <w:p w14:paraId="08822C02"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39.452,70</w:t>
            </w:r>
          </w:p>
        </w:tc>
        <w:tc>
          <w:tcPr>
            <w:tcW w:w="1220" w:type="dxa"/>
            <w:tcBorders>
              <w:top w:val="single" w:sz="4" w:space="0" w:color="auto"/>
              <w:left w:val="nil"/>
              <w:bottom w:val="single" w:sz="4" w:space="0" w:color="auto"/>
              <w:right w:val="single" w:sz="4" w:space="0" w:color="auto"/>
            </w:tcBorders>
            <w:noWrap/>
            <w:vAlign w:val="bottom"/>
            <w:hideMark/>
          </w:tcPr>
          <w:p w14:paraId="04DF068C"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38.189,36</w:t>
            </w:r>
          </w:p>
        </w:tc>
        <w:tc>
          <w:tcPr>
            <w:tcW w:w="785" w:type="dxa"/>
            <w:tcBorders>
              <w:top w:val="single" w:sz="4" w:space="0" w:color="auto"/>
              <w:left w:val="nil"/>
              <w:bottom w:val="single" w:sz="4" w:space="0" w:color="auto"/>
              <w:right w:val="single" w:sz="4" w:space="0" w:color="auto"/>
            </w:tcBorders>
            <w:noWrap/>
            <w:vAlign w:val="bottom"/>
            <w:hideMark/>
          </w:tcPr>
          <w:p w14:paraId="7B0AD6B6"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490,19%</w:t>
            </w:r>
          </w:p>
        </w:tc>
        <w:tc>
          <w:tcPr>
            <w:tcW w:w="795" w:type="dxa"/>
            <w:tcBorders>
              <w:top w:val="single" w:sz="4" w:space="0" w:color="auto"/>
              <w:left w:val="nil"/>
              <w:bottom w:val="single" w:sz="4" w:space="0" w:color="auto"/>
              <w:right w:val="single" w:sz="4" w:space="0" w:color="auto"/>
            </w:tcBorders>
            <w:noWrap/>
            <w:vAlign w:val="bottom"/>
            <w:hideMark/>
          </w:tcPr>
          <w:p w14:paraId="69DC0A9C"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96,80%</w:t>
            </w:r>
          </w:p>
        </w:tc>
      </w:tr>
      <w:tr w:rsidR="00416D67" w:rsidRPr="00416D67" w14:paraId="692BF23A"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651019F1" w14:textId="77777777" w:rsidR="00416D67" w:rsidRPr="00416D67" w:rsidRDefault="00416D67" w:rsidP="00416D67">
            <w:pPr>
              <w:rPr>
                <w:rFonts w:ascii="Arial" w:hAnsi="Arial" w:cs="Arial"/>
                <w:color w:val="000000"/>
                <w:sz w:val="14"/>
                <w:szCs w:val="14"/>
              </w:rPr>
            </w:pPr>
            <w:r w:rsidRPr="00416D67">
              <w:rPr>
                <w:rFonts w:ascii="Arial" w:hAnsi="Arial" w:cs="Arial"/>
                <w:color w:val="000000"/>
                <w:sz w:val="14"/>
                <w:szCs w:val="14"/>
              </w:rPr>
              <w:t>Funkcijska klasifikacija 056 Poslovi i usluge zaštite okoliša koji nisu drugdje svrstani</w:t>
            </w:r>
          </w:p>
        </w:tc>
        <w:tc>
          <w:tcPr>
            <w:tcW w:w="1148" w:type="dxa"/>
            <w:tcBorders>
              <w:top w:val="single" w:sz="4" w:space="0" w:color="auto"/>
              <w:left w:val="nil"/>
              <w:bottom w:val="single" w:sz="4" w:space="0" w:color="auto"/>
              <w:right w:val="single" w:sz="4" w:space="0" w:color="auto"/>
            </w:tcBorders>
            <w:noWrap/>
            <w:vAlign w:val="bottom"/>
            <w:hideMark/>
          </w:tcPr>
          <w:p w14:paraId="35C01C20"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16.076,41</w:t>
            </w:r>
          </w:p>
        </w:tc>
        <w:tc>
          <w:tcPr>
            <w:tcW w:w="1200" w:type="dxa"/>
            <w:tcBorders>
              <w:top w:val="single" w:sz="4" w:space="0" w:color="auto"/>
              <w:left w:val="nil"/>
              <w:bottom w:val="single" w:sz="4" w:space="0" w:color="auto"/>
              <w:right w:val="single" w:sz="4" w:space="0" w:color="auto"/>
            </w:tcBorders>
            <w:noWrap/>
            <w:vAlign w:val="bottom"/>
            <w:hideMark/>
          </w:tcPr>
          <w:p w14:paraId="2603CED8"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39.155,00</w:t>
            </w:r>
          </w:p>
        </w:tc>
        <w:tc>
          <w:tcPr>
            <w:tcW w:w="1169" w:type="dxa"/>
            <w:tcBorders>
              <w:top w:val="single" w:sz="4" w:space="0" w:color="auto"/>
              <w:left w:val="nil"/>
              <w:bottom w:val="single" w:sz="4" w:space="0" w:color="auto"/>
              <w:right w:val="single" w:sz="4" w:space="0" w:color="auto"/>
            </w:tcBorders>
            <w:noWrap/>
            <w:vAlign w:val="bottom"/>
            <w:hideMark/>
          </w:tcPr>
          <w:p w14:paraId="7B22F86D"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39.155,00</w:t>
            </w:r>
          </w:p>
        </w:tc>
        <w:tc>
          <w:tcPr>
            <w:tcW w:w="1220" w:type="dxa"/>
            <w:tcBorders>
              <w:top w:val="single" w:sz="4" w:space="0" w:color="auto"/>
              <w:left w:val="nil"/>
              <w:bottom w:val="single" w:sz="4" w:space="0" w:color="auto"/>
              <w:right w:val="single" w:sz="4" w:space="0" w:color="auto"/>
            </w:tcBorders>
            <w:noWrap/>
            <w:vAlign w:val="bottom"/>
            <w:hideMark/>
          </w:tcPr>
          <w:p w14:paraId="07A16423"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26.519,44</w:t>
            </w:r>
          </w:p>
        </w:tc>
        <w:tc>
          <w:tcPr>
            <w:tcW w:w="785" w:type="dxa"/>
            <w:tcBorders>
              <w:top w:val="single" w:sz="4" w:space="0" w:color="auto"/>
              <w:left w:val="nil"/>
              <w:bottom w:val="single" w:sz="4" w:space="0" w:color="auto"/>
              <w:right w:val="single" w:sz="4" w:space="0" w:color="auto"/>
            </w:tcBorders>
            <w:noWrap/>
            <w:vAlign w:val="bottom"/>
            <w:hideMark/>
          </w:tcPr>
          <w:p w14:paraId="558B53FA"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164,96%</w:t>
            </w:r>
          </w:p>
        </w:tc>
        <w:tc>
          <w:tcPr>
            <w:tcW w:w="795" w:type="dxa"/>
            <w:tcBorders>
              <w:top w:val="single" w:sz="4" w:space="0" w:color="auto"/>
              <w:left w:val="nil"/>
              <w:bottom w:val="single" w:sz="4" w:space="0" w:color="auto"/>
              <w:right w:val="single" w:sz="4" w:space="0" w:color="auto"/>
            </w:tcBorders>
            <w:noWrap/>
            <w:vAlign w:val="bottom"/>
            <w:hideMark/>
          </w:tcPr>
          <w:p w14:paraId="5D217FAD"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67,73%</w:t>
            </w:r>
          </w:p>
        </w:tc>
      </w:tr>
      <w:tr w:rsidR="00416D67" w:rsidRPr="00416D67" w14:paraId="07639111"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55F887DD" w14:textId="77777777" w:rsidR="00416D67" w:rsidRPr="00416D67" w:rsidRDefault="00416D67" w:rsidP="00416D67">
            <w:pPr>
              <w:rPr>
                <w:rFonts w:ascii="Arial" w:hAnsi="Arial" w:cs="Arial"/>
                <w:b/>
                <w:bCs/>
                <w:color w:val="000000"/>
                <w:sz w:val="14"/>
                <w:szCs w:val="14"/>
              </w:rPr>
            </w:pPr>
            <w:r w:rsidRPr="00416D67">
              <w:rPr>
                <w:rFonts w:ascii="Arial" w:hAnsi="Arial" w:cs="Arial"/>
                <w:b/>
                <w:bCs/>
                <w:color w:val="000000"/>
                <w:sz w:val="14"/>
                <w:szCs w:val="14"/>
              </w:rPr>
              <w:t>Funkcijska klasifikacija 06 Usluge unapređenja stanovanja i zajednice</w:t>
            </w:r>
          </w:p>
        </w:tc>
        <w:tc>
          <w:tcPr>
            <w:tcW w:w="1148" w:type="dxa"/>
            <w:tcBorders>
              <w:top w:val="single" w:sz="4" w:space="0" w:color="auto"/>
              <w:left w:val="nil"/>
              <w:bottom w:val="single" w:sz="4" w:space="0" w:color="auto"/>
              <w:right w:val="single" w:sz="4" w:space="0" w:color="auto"/>
            </w:tcBorders>
            <w:noWrap/>
            <w:vAlign w:val="bottom"/>
            <w:hideMark/>
          </w:tcPr>
          <w:p w14:paraId="3A811F99"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2.213.666,46</w:t>
            </w:r>
          </w:p>
        </w:tc>
        <w:tc>
          <w:tcPr>
            <w:tcW w:w="1200" w:type="dxa"/>
            <w:tcBorders>
              <w:top w:val="single" w:sz="4" w:space="0" w:color="auto"/>
              <w:left w:val="nil"/>
              <w:bottom w:val="single" w:sz="4" w:space="0" w:color="auto"/>
              <w:right w:val="single" w:sz="4" w:space="0" w:color="auto"/>
            </w:tcBorders>
            <w:noWrap/>
            <w:vAlign w:val="bottom"/>
            <w:hideMark/>
          </w:tcPr>
          <w:p w14:paraId="06A60328"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2.492.905,00</w:t>
            </w:r>
          </w:p>
        </w:tc>
        <w:tc>
          <w:tcPr>
            <w:tcW w:w="1169" w:type="dxa"/>
            <w:tcBorders>
              <w:top w:val="single" w:sz="4" w:space="0" w:color="auto"/>
              <w:left w:val="nil"/>
              <w:bottom w:val="single" w:sz="4" w:space="0" w:color="auto"/>
              <w:right w:val="single" w:sz="4" w:space="0" w:color="auto"/>
            </w:tcBorders>
            <w:noWrap/>
            <w:vAlign w:val="bottom"/>
            <w:hideMark/>
          </w:tcPr>
          <w:p w14:paraId="29D3CF74"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2.538.430,00</w:t>
            </w:r>
          </w:p>
        </w:tc>
        <w:tc>
          <w:tcPr>
            <w:tcW w:w="1220" w:type="dxa"/>
            <w:tcBorders>
              <w:top w:val="single" w:sz="4" w:space="0" w:color="auto"/>
              <w:left w:val="nil"/>
              <w:bottom w:val="single" w:sz="4" w:space="0" w:color="auto"/>
              <w:right w:val="single" w:sz="4" w:space="0" w:color="auto"/>
            </w:tcBorders>
            <w:noWrap/>
            <w:vAlign w:val="bottom"/>
            <w:hideMark/>
          </w:tcPr>
          <w:p w14:paraId="3DCA5847"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2.137.891,81</w:t>
            </w:r>
          </w:p>
        </w:tc>
        <w:tc>
          <w:tcPr>
            <w:tcW w:w="785" w:type="dxa"/>
            <w:tcBorders>
              <w:top w:val="single" w:sz="4" w:space="0" w:color="auto"/>
              <w:left w:val="nil"/>
              <w:bottom w:val="single" w:sz="4" w:space="0" w:color="auto"/>
              <w:right w:val="single" w:sz="4" w:space="0" w:color="auto"/>
            </w:tcBorders>
            <w:noWrap/>
            <w:vAlign w:val="bottom"/>
            <w:hideMark/>
          </w:tcPr>
          <w:p w14:paraId="16A96C0B"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96,58%</w:t>
            </w:r>
          </w:p>
        </w:tc>
        <w:tc>
          <w:tcPr>
            <w:tcW w:w="795" w:type="dxa"/>
            <w:tcBorders>
              <w:top w:val="single" w:sz="4" w:space="0" w:color="auto"/>
              <w:left w:val="nil"/>
              <w:bottom w:val="single" w:sz="4" w:space="0" w:color="auto"/>
              <w:right w:val="single" w:sz="4" w:space="0" w:color="auto"/>
            </w:tcBorders>
            <w:noWrap/>
            <w:vAlign w:val="bottom"/>
            <w:hideMark/>
          </w:tcPr>
          <w:p w14:paraId="7CA2AA13"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84,22%</w:t>
            </w:r>
          </w:p>
        </w:tc>
      </w:tr>
      <w:tr w:rsidR="00416D67" w:rsidRPr="00416D67" w14:paraId="5A607C6B"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11C0FDE3" w14:textId="77777777" w:rsidR="00416D67" w:rsidRPr="00416D67" w:rsidRDefault="00416D67" w:rsidP="00416D67">
            <w:pPr>
              <w:rPr>
                <w:rFonts w:ascii="Arial" w:hAnsi="Arial" w:cs="Arial"/>
                <w:color w:val="000000"/>
                <w:sz w:val="14"/>
                <w:szCs w:val="14"/>
              </w:rPr>
            </w:pPr>
            <w:r w:rsidRPr="00416D67">
              <w:rPr>
                <w:rFonts w:ascii="Arial" w:hAnsi="Arial" w:cs="Arial"/>
                <w:color w:val="000000"/>
                <w:sz w:val="14"/>
                <w:szCs w:val="14"/>
              </w:rPr>
              <w:t>Funkcijska klasifikacija 061 Razvoj stanovanja</w:t>
            </w:r>
          </w:p>
        </w:tc>
        <w:tc>
          <w:tcPr>
            <w:tcW w:w="1148" w:type="dxa"/>
            <w:tcBorders>
              <w:top w:val="single" w:sz="4" w:space="0" w:color="auto"/>
              <w:left w:val="nil"/>
              <w:bottom w:val="single" w:sz="4" w:space="0" w:color="auto"/>
              <w:right w:val="single" w:sz="4" w:space="0" w:color="auto"/>
            </w:tcBorders>
            <w:noWrap/>
            <w:vAlign w:val="bottom"/>
            <w:hideMark/>
          </w:tcPr>
          <w:p w14:paraId="33D8B699"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 </w:t>
            </w:r>
          </w:p>
        </w:tc>
        <w:tc>
          <w:tcPr>
            <w:tcW w:w="1200" w:type="dxa"/>
            <w:tcBorders>
              <w:top w:val="single" w:sz="4" w:space="0" w:color="auto"/>
              <w:left w:val="nil"/>
              <w:bottom w:val="single" w:sz="4" w:space="0" w:color="auto"/>
              <w:right w:val="single" w:sz="4" w:space="0" w:color="auto"/>
            </w:tcBorders>
            <w:noWrap/>
            <w:vAlign w:val="bottom"/>
            <w:hideMark/>
          </w:tcPr>
          <w:p w14:paraId="1BE1C9DA"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160.000,00</w:t>
            </w:r>
          </w:p>
        </w:tc>
        <w:tc>
          <w:tcPr>
            <w:tcW w:w="1169" w:type="dxa"/>
            <w:tcBorders>
              <w:top w:val="single" w:sz="4" w:space="0" w:color="auto"/>
              <w:left w:val="nil"/>
              <w:bottom w:val="single" w:sz="4" w:space="0" w:color="auto"/>
              <w:right w:val="single" w:sz="4" w:space="0" w:color="auto"/>
            </w:tcBorders>
            <w:noWrap/>
            <w:vAlign w:val="bottom"/>
            <w:hideMark/>
          </w:tcPr>
          <w:p w14:paraId="40096180"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180.000,00</w:t>
            </w:r>
          </w:p>
        </w:tc>
        <w:tc>
          <w:tcPr>
            <w:tcW w:w="1220" w:type="dxa"/>
            <w:tcBorders>
              <w:top w:val="single" w:sz="4" w:space="0" w:color="auto"/>
              <w:left w:val="nil"/>
              <w:bottom w:val="single" w:sz="4" w:space="0" w:color="auto"/>
              <w:right w:val="single" w:sz="4" w:space="0" w:color="auto"/>
            </w:tcBorders>
            <w:noWrap/>
            <w:vAlign w:val="bottom"/>
            <w:hideMark/>
          </w:tcPr>
          <w:p w14:paraId="42EE32E8"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180.000,00</w:t>
            </w:r>
          </w:p>
        </w:tc>
        <w:tc>
          <w:tcPr>
            <w:tcW w:w="785" w:type="dxa"/>
            <w:tcBorders>
              <w:top w:val="single" w:sz="4" w:space="0" w:color="auto"/>
              <w:left w:val="nil"/>
              <w:bottom w:val="single" w:sz="4" w:space="0" w:color="auto"/>
              <w:right w:val="single" w:sz="4" w:space="0" w:color="auto"/>
            </w:tcBorders>
            <w:noWrap/>
            <w:vAlign w:val="bottom"/>
            <w:hideMark/>
          </w:tcPr>
          <w:p w14:paraId="4723CC17"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 </w:t>
            </w:r>
          </w:p>
        </w:tc>
        <w:tc>
          <w:tcPr>
            <w:tcW w:w="795" w:type="dxa"/>
            <w:tcBorders>
              <w:top w:val="single" w:sz="4" w:space="0" w:color="auto"/>
              <w:left w:val="nil"/>
              <w:bottom w:val="single" w:sz="4" w:space="0" w:color="auto"/>
              <w:right w:val="single" w:sz="4" w:space="0" w:color="auto"/>
            </w:tcBorders>
            <w:noWrap/>
            <w:vAlign w:val="bottom"/>
            <w:hideMark/>
          </w:tcPr>
          <w:p w14:paraId="43597814"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100,00%</w:t>
            </w:r>
          </w:p>
        </w:tc>
      </w:tr>
      <w:tr w:rsidR="00416D67" w:rsidRPr="00416D67" w14:paraId="20F01140"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4291F6F4" w14:textId="77777777" w:rsidR="00416D67" w:rsidRPr="00416D67" w:rsidRDefault="00416D67" w:rsidP="00416D67">
            <w:pPr>
              <w:rPr>
                <w:rFonts w:ascii="Arial" w:hAnsi="Arial" w:cs="Arial"/>
                <w:color w:val="000000"/>
                <w:sz w:val="14"/>
                <w:szCs w:val="14"/>
              </w:rPr>
            </w:pPr>
            <w:r w:rsidRPr="00416D67">
              <w:rPr>
                <w:rFonts w:ascii="Arial" w:hAnsi="Arial" w:cs="Arial"/>
                <w:color w:val="000000"/>
                <w:sz w:val="14"/>
                <w:szCs w:val="14"/>
              </w:rPr>
              <w:t>Funkcijska klasifikacija 062 Razvoj zajednice</w:t>
            </w:r>
          </w:p>
        </w:tc>
        <w:tc>
          <w:tcPr>
            <w:tcW w:w="1148" w:type="dxa"/>
            <w:tcBorders>
              <w:top w:val="single" w:sz="4" w:space="0" w:color="auto"/>
              <w:left w:val="nil"/>
              <w:bottom w:val="single" w:sz="4" w:space="0" w:color="auto"/>
              <w:right w:val="single" w:sz="4" w:space="0" w:color="auto"/>
            </w:tcBorders>
            <w:noWrap/>
            <w:vAlign w:val="bottom"/>
            <w:hideMark/>
          </w:tcPr>
          <w:p w14:paraId="74BBBF8F"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32.046,28</w:t>
            </w:r>
          </w:p>
        </w:tc>
        <w:tc>
          <w:tcPr>
            <w:tcW w:w="1200" w:type="dxa"/>
            <w:tcBorders>
              <w:top w:val="single" w:sz="4" w:space="0" w:color="auto"/>
              <w:left w:val="nil"/>
              <w:bottom w:val="single" w:sz="4" w:space="0" w:color="auto"/>
              <w:right w:val="single" w:sz="4" w:space="0" w:color="auto"/>
            </w:tcBorders>
            <w:noWrap/>
            <w:vAlign w:val="bottom"/>
            <w:hideMark/>
          </w:tcPr>
          <w:p w14:paraId="61B0D7BE"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205.470,00</w:t>
            </w:r>
          </w:p>
        </w:tc>
        <w:tc>
          <w:tcPr>
            <w:tcW w:w="1169" w:type="dxa"/>
            <w:tcBorders>
              <w:top w:val="single" w:sz="4" w:space="0" w:color="auto"/>
              <w:left w:val="nil"/>
              <w:bottom w:val="single" w:sz="4" w:space="0" w:color="auto"/>
              <w:right w:val="single" w:sz="4" w:space="0" w:color="auto"/>
            </w:tcBorders>
            <w:noWrap/>
            <w:vAlign w:val="bottom"/>
            <w:hideMark/>
          </w:tcPr>
          <w:p w14:paraId="58518B88"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205.470,00</w:t>
            </w:r>
          </w:p>
        </w:tc>
        <w:tc>
          <w:tcPr>
            <w:tcW w:w="1220" w:type="dxa"/>
            <w:tcBorders>
              <w:top w:val="single" w:sz="4" w:space="0" w:color="auto"/>
              <w:left w:val="nil"/>
              <w:bottom w:val="single" w:sz="4" w:space="0" w:color="auto"/>
              <w:right w:val="single" w:sz="4" w:space="0" w:color="auto"/>
            </w:tcBorders>
            <w:noWrap/>
            <w:vAlign w:val="bottom"/>
            <w:hideMark/>
          </w:tcPr>
          <w:p w14:paraId="4B62D5BE"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150.122,96</w:t>
            </w:r>
          </w:p>
        </w:tc>
        <w:tc>
          <w:tcPr>
            <w:tcW w:w="785" w:type="dxa"/>
            <w:tcBorders>
              <w:top w:val="single" w:sz="4" w:space="0" w:color="auto"/>
              <w:left w:val="nil"/>
              <w:bottom w:val="single" w:sz="4" w:space="0" w:color="auto"/>
              <w:right w:val="single" w:sz="4" w:space="0" w:color="auto"/>
            </w:tcBorders>
            <w:noWrap/>
            <w:vAlign w:val="bottom"/>
            <w:hideMark/>
          </w:tcPr>
          <w:p w14:paraId="29AEC519"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468,46%</w:t>
            </w:r>
          </w:p>
        </w:tc>
        <w:tc>
          <w:tcPr>
            <w:tcW w:w="795" w:type="dxa"/>
            <w:tcBorders>
              <w:top w:val="single" w:sz="4" w:space="0" w:color="auto"/>
              <w:left w:val="nil"/>
              <w:bottom w:val="single" w:sz="4" w:space="0" w:color="auto"/>
              <w:right w:val="single" w:sz="4" w:space="0" w:color="auto"/>
            </w:tcBorders>
            <w:noWrap/>
            <w:vAlign w:val="bottom"/>
            <w:hideMark/>
          </w:tcPr>
          <w:p w14:paraId="30CC1937"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73,06%</w:t>
            </w:r>
          </w:p>
        </w:tc>
      </w:tr>
      <w:tr w:rsidR="00416D67" w:rsidRPr="00416D67" w14:paraId="4862AEC4"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34D2758E" w14:textId="77777777" w:rsidR="00416D67" w:rsidRPr="00416D67" w:rsidRDefault="00416D67" w:rsidP="00416D67">
            <w:pPr>
              <w:rPr>
                <w:rFonts w:ascii="Arial" w:hAnsi="Arial" w:cs="Arial"/>
                <w:color w:val="000000"/>
                <w:sz w:val="14"/>
                <w:szCs w:val="14"/>
              </w:rPr>
            </w:pPr>
            <w:r w:rsidRPr="00416D67">
              <w:rPr>
                <w:rFonts w:ascii="Arial" w:hAnsi="Arial" w:cs="Arial"/>
                <w:color w:val="000000"/>
                <w:sz w:val="14"/>
                <w:szCs w:val="14"/>
              </w:rPr>
              <w:t>Funkcijska klasifikacija 063 Opskrba vodom</w:t>
            </w:r>
          </w:p>
        </w:tc>
        <w:tc>
          <w:tcPr>
            <w:tcW w:w="1148" w:type="dxa"/>
            <w:tcBorders>
              <w:top w:val="single" w:sz="4" w:space="0" w:color="auto"/>
              <w:left w:val="nil"/>
              <w:bottom w:val="single" w:sz="4" w:space="0" w:color="auto"/>
              <w:right w:val="single" w:sz="4" w:space="0" w:color="auto"/>
            </w:tcBorders>
            <w:noWrap/>
            <w:vAlign w:val="bottom"/>
            <w:hideMark/>
          </w:tcPr>
          <w:p w14:paraId="08F48FFF"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70.337,50</w:t>
            </w:r>
          </w:p>
        </w:tc>
        <w:tc>
          <w:tcPr>
            <w:tcW w:w="1200" w:type="dxa"/>
            <w:tcBorders>
              <w:top w:val="single" w:sz="4" w:space="0" w:color="auto"/>
              <w:left w:val="nil"/>
              <w:bottom w:val="single" w:sz="4" w:space="0" w:color="auto"/>
              <w:right w:val="single" w:sz="4" w:space="0" w:color="auto"/>
            </w:tcBorders>
            <w:noWrap/>
            <w:vAlign w:val="bottom"/>
            <w:hideMark/>
          </w:tcPr>
          <w:p w14:paraId="2944E116"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69.850,00</w:t>
            </w:r>
          </w:p>
        </w:tc>
        <w:tc>
          <w:tcPr>
            <w:tcW w:w="1169" w:type="dxa"/>
            <w:tcBorders>
              <w:top w:val="single" w:sz="4" w:space="0" w:color="auto"/>
              <w:left w:val="nil"/>
              <w:bottom w:val="single" w:sz="4" w:space="0" w:color="auto"/>
              <w:right w:val="single" w:sz="4" w:space="0" w:color="auto"/>
            </w:tcBorders>
            <w:noWrap/>
            <w:vAlign w:val="bottom"/>
            <w:hideMark/>
          </w:tcPr>
          <w:p w14:paraId="527BCC5A"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67.350,00</w:t>
            </w:r>
          </w:p>
        </w:tc>
        <w:tc>
          <w:tcPr>
            <w:tcW w:w="1220" w:type="dxa"/>
            <w:tcBorders>
              <w:top w:val="single" w:sz="4" w:space="0" w:color="auto"/>
              <w:left w:val="nil"/>
              <w:bottom w:val="single" w:sz="4" w:space="0" w:color="auto"/>
              <w:right w:val="single" w:sz="4" w:space="0" w:color="auto"/>
            </w:tcBorders>
            <w:noWrap/>
            <w:vAlign w:val="bottom"/>
            <w:hideMark/>
          </w:tcPr>
          <w:p w14:paraId="725B7DD9"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16.875,00</w:t>
            </w:r>
          </w:p>
        </w:tc>
        <w:tc>
          <w:tcPr>
            <w:tcW w:w="785" w:type="dxa"/>
            <w:tcBorders>
              <w:top w:val="single" w:sz="4" w:space="0" w:color="auto"/>
              <w:left w:val="nil"/>
              <w:bottom w:val="single" w:sz="4" w:space="0" w:color="auto"/>
              <w:right w:val="single" w:sz="4" w:space="0" w:color="auto"/>
            </w:tcBorders>
            <w:noWrap/>
            <w:vAlign w:val="bottom"/>
            <w:hideMark/>
          </w:tcPr>
          <w:p w14:paraId="3AF7CFEA"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23,99%</w:t>
            </w:r>
          </w:p>
        </w:tc>
        <w:tc>
          <w:tcPr>
            <w:tcW w:w="795" w:type="dxa"/>
            <w:tcBorders>
              <w:top w:val="single" w:sz="4" w:space="0" w:color="auto"/>
              <w:left w:val="nil"/>
              <w:bottom w:val="single" w:sz="4" w:space="0" w:color="auto"/>
              <w:right w:val="single" w:sz="4" w:space="0" w:color="auto"/>
            </w:tcBorders>
            <w:noWrap/>
            <w:vAlign w:val="bottom"/>
            <w:hideMark/>
          </w:tcPr>
          <w:p w14:paraId="4FF01501"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25,06%</w:t>
            </w:r>
          </w:p>
        </w:tc>
      </w:tr>
      <w:tr w:rsidR="00416D67" w:rsidRPr="00416D67" w14:paraId="3CD87F89"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0CD76228" w14:textId="77777777" w:rsidR="00416D67" w:rsidRPr="00416D67" w:rsidRDefault="00416D67" w:rsidP="00416D67">
            <w:pPr>
              <w:rPr>
                <w:rFonts w:ascii="Arial" w:hAnsi="Arial" w:cs="Arial"/>
                <w:color w:val="000000"/>
                <w:sz w:val="14"/>
                <w:szCs w:val="14"/>
              </w:rPr>
            </w:pPr>
            <w:r w:rsidRPr="00416D67">
              <w:rPr>
                <w:rFonts w:ascii="Arial" w:hAnsi="Arial" w:cs="Arial"/>
                <w:color w:val="000000"/>
                <w:sz w:val="14"/>
                <w:szCs w:val="14"/>
              </w:rPr>
              <w:t>Funkcijska klasifikacija 064 Ulična rasvjeta</w:t>
            </w:r>
          </w:p>
        </w:tc>
        <w:tc>
          <w:tcPr>
            <w:tcW w:w="1148" w:type="dxa"/>
            <w:tcBorders>
              <w:top w:val="single" w:sz="4" w:space="0" w:color="auto"/>
              <w:left w:val="nil"/>
              <w:bottom w:val="single" w:sz="4" w:space="0" w:color="auto"/>
              <w:right w:val="single" w:sz="4" w:space="0" w:color="auto"/>
            </w:tcBorders>
            <w:noWrap/>
            <w:vAlign w:val="bottom"/>
            <w:hideMark/>
          </w:tcPr>
          <w:p w14:paraId="3DDD60EA"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52.814,99</w:t>
            </w:r>
          </w:p>
        </w:tc>
        <w:tc>
          <w:tcPr>
            <w:tcW w:w="1200" w:type="dxa"/>
            <w:tcBorders>
              <w:top w:val="single" w:sz="4" w:space="0" w:color="auto"/>
              <w:left w:val="nil"/>
              <w:bottom w:val="single" w:sz="4" w:space="0" w:color="auto"/>
              <w:right w:val="single" w:sz="4" w:space="0" w:color="auto"/>
            </w:tcBorders>
            <w:noWrap/>
            <w:vAlign w:val="bottom"/>
            <w:hideMark/>
          </w:tcPr>
          <w:p w14:paraId="70DBB650"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63.000,00</w:t>
            </w:r>
          </w:p>
        </w:tc>
        <w:tc>
          <w:tcPr>
            <w:tcW w:w="1169" w:type="dxa"/>
            <w:tcBorders>
              <w:top w:val="single" w:sz="4" w:space="0" w:color="auto"/>
              <w:left w:val="nil"/>
              <w:bottom w:val="single" w:sz="4" w:space="0" w:color="auto"/>
              <w:right w:val="single" w:sz="4" w:space="0" w:color="auto"/>
            </w:tcBorders>
            <w:noWrap/>
            <w:vAlign w:val="bottom"/>
            <w:hideMark/>
          </w:tcPr>
          <w:p w14:paraId="37EE1BF1"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66.400,00</w:t>
            </w:r>
          </w:p>
        </w:tc>
        <w:tc>
          <w:tcPr>
            <w:tcW w:w="1220" w:type="dxa"/>
            <w:tcBorders>
              <w:top w:val="single" w:sz="4" w:space="0" w:color="auto"/>
              <w:left w:val="nil"/>
              <w:bottom w:val="single" w:sz="4" w:space="0" w:color="auto"/>
              <w:right w:val="single" w:sz="4" w:space="0" w:color="auto"/>
            </w:tcBorders>
            <w:noWrap/>
            <w:vAlign w:val="bottom"/>
            <w:hideMark/>
          </w:tcPr>
          <w:p w14:paraId="44B2B036"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65.491,14</w:t>
            </w:r>
          </w:p>
        </w:tc>
        <w:tc>
          <w:tcPr>
            <w:tcW w:w="785" w:type="dxa"/>
            <w:tcBorders>
              <w:top w:val="single" w:sz="4" w:space="0" w:color="auto"/>
              <w:left w:val="nil"/>
              <w:bottom w:val="single" w:sz="4" w:space="0" w:color="auto"/>
              <w:right w:val="single" w:sz="4" w:space="0" w:color="auto"/>
            </w:tcBorders>
            <w:noWrap/>
            <w:vAlign w:val="bottom"/>
            <w:hideMark/>
          </w:tcPr>
          <w:p w14:paraId="161EE249"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124,00%</w:t>
            </w:r>
          </w:p>
        </w:tc>
        <w:tc>
          <w:tcPr>
            <w:tcW w:w="795" w:type="dxa"/>
            <w:tcBorders>
              <w:top w:val="single" w:sz="4" w:space="0" w:color="auto"/>
              <w:left w:val="nil"/>
              <w:bottom w:val="single" w:sz="4" w:space="0" w:color="auto"/>
              <w:right w:val="single" w:sz="4" w:space="0" w:color="auto"/>
            </w:tcBorders>
            <w:noWrap/>
            <w:vAlign w:val="bottom"/>
            <w:hideMark/>
          </w:tcPr>
          <w:p w14:paraId="39DBB5C1"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98,63%</w:t>
            </w:r>
          </w:p>
        </w:tc>
      </w:tr>
      <w:tr w:rsidR="00416D67" w:rsidRPr="00416D67" w14:paraId="6EFCA5F7"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vAlign w:val="bottom"/>
            <w:hideMark/>
          </w:tcPr>
          <w:p w14:paraId="58A17D1D" w14:textId="77777777" w:rsidR="00416D67" w:rsidRPr="00416D67" w:rsidRDefault="00416D67" w:rsidP="00416D67">
            <w:pPr>
              <w:rPr>
                <w:rFonts w:ascii="Arial" w:hAnsi="Arial" w:cs="Arial"/>
                <w:color w:val="000000"/>
                <w:sz w:val="14"/>
                <w:szCs w:val="14"/>
              </w:rPr>
            </w:pPr>
            <w:r w:rsidRPr="00416D67">
              <w:rPr>
                <w:rFonts w:ascii="Arial" w:hAnsi="Arial" w:cs="Arial"/>
                <w:color w:val="000000"/>
                <w:sz w:val="14"/>
                <w:szCs w:val="14"/>
              </w:rPr>
              <w:t>Funkcijska klasifikacija 065 Istraživanje i razvoj stanovanja i komunalnih pogodnosti</w:t>
            </w:r>
          </w:p>
        </w:tc>
        <w:tc>
          <w:tcPr>
            <w:tcW w:w="1148" w:type="dxa"/>
            <w:tcBorders>
              <w:top w:val="single" w:sz="4" w:space="0" w:color="auto"/>
              <w:left w:val="nil"/>
              <w:bottom w:val="single" w:sz="4" w:space="0" w:color="auto"/>
              <w:right w:val="single" w:sz="4" w:space="0" w:color="auto"/>
            </w:tcBorders>
            <w:noWrap/>
            <w:vAlign w:val="bottom"/>
            <w:hideMark/>
          </w:tcPr>
          <w:p w14:paraId="4649B347"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1.490.890,81</w:t>
            </w:r>
          </w:p>
        </w:tc>
        <w:tc>
          <w:tcPr>
            <w:tcW w:w="1200" w:type="dxa"/>
            <w:tcBorders>
              <w:top w:val="single" w:sz="4" w:space="0" w:color="auto"/>
              <w:left w:val="nil"/>
              <w:bottom w:val="single" w:sz="4" w:space="0" w:color="auto"/>
              <w:right w:val="single" w:sz="4" w:space="0" w:color="auto"/>
            </w:tcBorders>
            <w:noWrap/>
            <w:vAlign w:val="bottom"/>
            <w:hideMark/>
          </w:tcPr>
          <w:p w14:paraId="146F7A4B"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1.281.400,00</w:t>
            </w:r>
          </w:p>
        </w:tc>
        <w:tc>
          <w:tcPr>
            <w:tcW w:w="1169" w:type="dxa"/>
            <w:tcBorders>
              <w:top w:val="single" w:sz="4" w:space="0" w:color="auto"/>
              <w:left w:val="nil"/>
              <w:bottom w:val="single" w:sz="4" w:space="0" w:color="auto"/>
              <w:right w:val="single" w:sz="4" w:space="0" w:color="auto"/>
            </w:tcBorders>
            <w:noWrap/>
            <w:vAlign w:val="bottom"/>
            <w:hideMark/>
          </w:tcPr>
          <w:p w14:paraId="13B35E60"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1.264.556,50</w:t>
            </w:r>
          </w:p>
        </w:tc>
        <w:tc>
          <w:tcPr>
            <w:tcW w:w="1220" w:type="dxa"/>
            <w:tcBorders>
              <w:top w:val="single" w:sz="4" w:space="0" w:color="auto"/>
              <w:left w:val="nil"/>
              <w:bottom w:val="single" w:sz="4" w:space="0" w:color="auto"/>
              <w:right w:val="single" w:sz="4" w:space="0" w:color="auto"/>
            </w:tcBorders>
            <w:noWrap/>
            <w:vAlign w:val="bottom"/>
            <w:hideMark/>
          </w:tcPr>
          <w:p w14:paraId="63383528"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1.047.795,82</w:t>
            </w:r>
          </w:p>
        </w:tc>
        <w:tc>
          <w:tcPr>
            <w:tcW w:w="785" w:type="dxa"/>
            <w:tcBorders>
              <w:top w:val="single" w:sz="4" w:space="0" w:color="auto"/>
              <w:left w:val="nil"/>
              <w:bottom w:val="single" w:sz="4" w:space="0" w:color="auto"/>
              <w:right w:val="single" w:sz="4" w:space="0" w:color="auto"/>
            </w:tcBorders>
            <w:noWrap/>
            <w:vAlign w:val="bottom"/>
            <w:hideMark/>
          </w:tcPr>
          <w:p w14:paraId="7E5C26C7"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70,28%</w:t>
            </w:r>
          </w:p>
        </w:tc>
        <w:tc>
          <w:tcPr>
            <w:tcW w:w="795" w:type="dxa"/>
            <w:tcBorders>
              <w:top w:val="single" w:sz="4" w:space="0" w:color="auto"/>
              <w:left w:val="nil"/>
              <w:bottom w:val="single" w:sz="4" w:space="0" w:color="auto"/>
              <w:right w:val="single" w:sz="4" w:space="0" w:color="auto"/>
            </w:tcBorders>
            <w:noWrap/>
            <w:vAlign w:val="bottom"/>
            <w:hideMark/>
          </w:tcPr>
          <w:p w14:paraId="3048AC09"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82,86%</w:t>
            </w:r>
          </w:p>
        </w:tc>
      </w:tr>
      <w:tr w:rsidR="00416D67" w:rsidRPr="00416D67" w14:paraId="6629E515"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vAlign w:val="bottom"/>
            <w:hideMark/>
          </w:tcPr>
          <w:p w14:paraId="6D77E69E" w14:textId="77777777" w:rsidR="00416D67" w:rsidRPr="00416D67" w:rsidRDefault="00416D67" w:rsidP="00416D67">
            <w:pPr>
              <w:rPr>
                <w:rFonts w:ascii="Arial" w:hAnsi="Arial" w:cs="Arial"/>
                <w:color w:val="000000"/>
                <w:sz w:val="14"/>
                <w:szCs w:val="14"/>
              </w:rPr>
            </w:pPr>
            <w:r w:rsidRPr="00416D67">
              <w:rPr>
                <w:rFonts w:ascii="Arial" w:hAnsi="Arial" w:cs="Arial"/>
                <w:color w:val="000000"/>
                <w:sz w:val="14"/>
                <w:szCs w:val="14"/>
              </w:rPr>
              <w:t>Funkcijska klasifikacija 066 Rashodi vezani za stanovanje i kom. pogodnosti koji nisu drugdje svrstani</w:t>
            </w:r>
          </w:p>
        </w:tc>
        <w:tc>
          <w:tcPr>
            <w:tcW w:w="1148" w:type="dxa"/>
            <w:tcBorders>
              <w:top w:val="single" w:sz="4" w:space="0" w:color="auto"/>
              <w:left w:val="nil"/>
              <w:bottom w:val="single" w:sz="4" w:space="0" w:color="auto"/>
              <w:right w:val="single" w:sz="4" w:space="0" w:color="auto"/>
            </w:tcBorders>
            <w:noWrap/>
            <w:vAlign w:val="bottom"/>
            <w:hideMark/>
          </w:tcPr>
          <w:p w14:paraId="2BD73F33"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567.576,88</w:t>
            </w:r>
          </w:p>
        </w:tc>
        <w:tc>
          <w:tcPr>
            <w:tcW w:w="1200" w:type="dxa"/>
            <w:tcBorders>
              <w:top w:val="single" w:sz="4" w:space="0" w:color="auto"/>
              <w:left w:val="nil"/>
              <w:bottom w:val="single" w:sz="4" w:space="0" w:color="auto"/>
              <w:right w:val="single" w:sz="4" w:space="0" w:color="auto"/>
            </w:tcBorders>
            <w:noWrap/>
            <w:vAlign w:val="bottom"/>
            <w:hideMark/>
          </w:tcPr>
          <w:p w14:paraId="7BA04E7B"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713.185,00</w:t>
            </w:r>
          </w:p>
        </w:tc>
        <w:tc>
          <w:tcPr>
            <w:tcW w:w="1169" w:type="dxa"/>
            <w:tcBorders>
              <w:top w:val="single" w:sz="4" w:space="0" w:color="auto"/>
              <w:left w:val="nil"/>
              <w:bottom w:val="single" w:sz="4" w:space="0" w:color="auto"/>
              <w:right w:val="single" w:sz="4" w:space="0" w:color="auto"/>
            </w:tcBorders>
            <w:noWrap/>
            <w:vAlign w:val="bottom"/>
            <w:hideMark/>
          </w:tcPr>
          <w:p w14:paraId="4FEFC569"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754.653,50</w:t>
            </w:r>
          </w:p>
        </w:tc>
        <w:tc>
          <w:tcPr>
            <w:tcW w:w="1220" w:type="dxa"/>
            <w:tcBorders>
              <w:top w:val="single" w:sz="4" w:space="0" w:color="auto"/>
              <w:left w:val="nil"/>
              <w:bottom w:val="single" w:sz="4" w:space="0" w:color="auto"/>
              <w:right w:val="single" w:sz="4" w:space="0" w:color="auto"/>
            </w:tcBorders>
            <w:noWrap/>
            <w:vAlign w:val="bottom"/>
            <w:hideMark/>
          </w:tcPr>
          <w:p w14:paraId="3C752962"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677.606,89</w:t>
            </w:r>
          </w:p>
        </w:tc>
        <w:tc>
          <w:tcPr>
            <w:tcW w:w="785" w:type="dxa"/>
            <w:tcBorders>
              <w:top w:val="single" w:sz="4" w:space="0" w:color="auto"/>
              <w:left w:val="nil"/>
              <w:bottom w:val="single" w:sz="4" w:space="0" w:color="auto"/>
              <w:right w:val="single" w:sz="4" w:space="0" w:color="auto"/>
            </w:tcBorders>
            <w:noWrap/>
            <w:vAlign w:val="bottom"/>
            <w:hideMark/>
          </w:tcPr>
          <w:p w14:paraId="75C15F14"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119,39%</w:t>
            </w:r>
          </w:p>
        </w:tc>
        <w:tc>
          <w:tcPr>
            <w:tcW w:w="795" w:type="dxa"/>
            <w:tcBorders>
              <w:top w:val="single" w:sz="4" w:space="0" w:color="auto"/>
              <w:left w:val="nil"/>
              <w:bottom w:val="single" w:sz="4" w:space="0" w:color="auto"/>
              <w:right w:val="single" w:sz="4" w:space="0" w:color="auto"/>
            </w:tcBorders>
            <w:noWrap/>
            <w:vAlign w:val="bottom"/>
            <w:hideMark/>
          </w:tcPr>
          <w:p w14:paraId="1669713D"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89,79%</w:t>
            </w:r>
          </w:p>
        </w:tc>
      </w:tr>
      <w:tr w:rsidR="00416D67" w:rsidRPr="00416D67" w14:paraId="1B8BBCA2"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7046521C" w14:textId="77777777" w:rsidR="00416D67" w:rsidRPr="00416D67" w:rsidRDefault="00416D67" w:rsidP="00416D67">
            <w:pPr>
              <w:rPr>
                <w:rFonts w:ascii="Arial" w:hAnsi="Arial" w:cs="Arial"/>
                <w:b/>
                <w:bCs/>
                <w:color w:val="000000"/>
                <w:sz w:val="14"/>
                <w:szCs w:val="14"/>
              </w:rPr>
            </w:pPr>
            <w:r w:rsidRPr="00416D67">
              <w:rPr>
                <w:rFonts w:ascii="Arial" w:hAnsi="Arial" w:cs="Arial"/>
                <w:b/>
                <w:bCs/>
                <w:color w:val="000000"/>
                <w:sz w:val="14"/>
                <w:szCs w:val="14"/>
              </w:rPr>
              <w:t>Funkcijska klasifikacija 07 Zdravstvo</w:t>
            </w:r>
          </w:p>
        </w:tc>
        <w:tc>
          <w:tcPr>
            <w:tcW w:w="1148" w:type="dxa"/>
            <w:tcBorders>
              <w:top w:val="single" w:sz="4" w:space="0" w:color="auto"/>
              <w:left w:val="nil"/>
              <w:bottom w:val="single" w:sz="4" w:space="0" w:color="auto"/>
              <w:right w:val="single" w:sz="4" w:space="0" w:color="auto"/>
            </w:tcBorders>
            <w:noWrap/>
            <w:vAlign w:val="bottom"/>
            <w:hideMark/>
          </w:tcPr>
          <w:p w14:paraId="54C8E333"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27.975,11</w:t>
            </w:r>
          </w:p>
        </w:tc>
        <w:tc>
          <w:tcPr>
            <w:tcW w:w="1200" w:type="dxa"/>
            <w:tcBorders>
              <w:top w:val="single" w:sz="4" w:space="0" w:color="auto"/>
              <w:left w:val="nil"/>
              <w:bottom w:val="single" w:sz="4" w:space="0" w:color="auto"/>
              <w:right w:val="single" w:sz="4" w:space="0" w:color="auto"/>
            </w:tcBorders>
            <w:noWrap/>
            <w:vAlign w:val="bottom"/>
            <w:hideMark/>
          </w:tcPr>
          <w:p w14:paraId="39C0EC13"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46.144,00</w:t>
            </w:r>
          </w:p>
        </w:tc>
        <w:tc>
          <w:tcPr>
            <w:tcW w:w="1169" w:type="dxa"/>
            <w:tcBorders>
              <w:top w:val="single" w:sz="4" w:space="0" w:color="auto"/>
              <w:left w:val="nil"/>
              <w:bottom w:val="single" w:sz="4" w:space="0" w:color="auto"/>
              <w:right w:val="single" w:sz="4" w:space="0" w:color="auto"/>
            </w:tcBorders>
            <w:noWrap/>
            <w:vAlign w:val="bottom"/>
            <w:hideMark/>
          </w:tcPr>
          <w:p w14:paraId="392D78DC"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46.144,00</w:t>
            </w:r>
          </w:p>
        </w:tc>
        <w:tc>
          <w:tcPr>
            <w:tcW w:w="1220" w:type="dxa"/>
            <w:tcBorders>
              <w:top w:val="single" w:sz="4" w:space="0" w:color="auto"/>
              <w:left w:val="nil"/>
              <w:bottom w:val="single" w:sz="4" w:space="0" w:color="auto"/>
              <w:right w:val="single" w:sz="4" w:space="0" w:color="auto"/>
            </w:tcBorders>
            <w:noWrap/>
            <w:vAlign w:val="bottom"/>
            <w:hideMark/>
          </w:tcPr>
          <w:p w14:paraId="20824F3D"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33.141,98</w:t>
            </w:r>
          </w:p>
        </w:tc>
        <w:tc>
          <w:tcPr>
            <w:tcW w:w="785" w:type="dxa"/>
            <w:tcBorders>
              <w:top w:val="single" w:sz="4" w:space="0" w:color="auto"/>
              <w:left w:val="nil"/>
              <w:bottom w:val="single" w:sz="4" w:space="0" w:color="auto"/>
              <w:right w:val="single" w:sz="4" w:space="0" w:color="auto"/>
            </w:tcBorders>
            <w:noWrap/>
            <w:vAlign w:val="bottom"/>
            <w:hideMark/>
          </w:tcPr>
          <w:p w14:paraId="42269D4B"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118,47%</w:t>
            </w:r>
          </w:p>
        </w:tc>
        <w:tc>
          <w:tcPr>
            <w:tcW w:w="795" w:type="dxa"/>
            <w:tcBorders>
              <w:top w:val="single" w:sz="4" w:space="0" w:color="auto"/>
              <w:left w:val="nil"/>
              <w:bottom w:val="single" w:sz="4" w:space="0" w:color="auto"/>
              <w:right w:val="single" w:sz="4" w:space="0" w:color="auto"/>
            </w:tcBorders>
            <w:noWrap/>
            <w:vAlign w:val="bottom"/>
            <w:hideMark/>
          </w:tcPr>
          <w:p w14:paraId="5E6D20AF"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71,82%</w:t>
            </w:r>
          </w:p>
        </w:tc>
      </w:tr>
      <w:tr w:rsidR="00416D67" w:rsidRPr="00416D67" w14:paraId="115D13A1"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5AD04B45" w14:textId="77777777" w:rsidR="00416D67" w:rsidRPr="00416D67" w:rsidRDefault="00416D67" w:rsidP="00416D67">
            <w:pPr>
              <w:rPr>
                <w:rFonts w:ascii="Arial" w:hAnsi="Arial" w:cs="Arial"/>
                <w:color w:val="000000"/>
                <w:sz w:val="14"/>
                <w:szCs w:val="14"/>
              </w:rPr>
            </w:pPr>
            <w:r w:rsidRPr="00416D67">
              <w:rPr>
                <w:rFonts w:ascii="Arial" w:hAnsi="Arial" w:cs="Arial"/>
                <w:color w:val="000000"/>
                <w:sz w:val="14"/>
                <w:szCs w:val="14"/>
              </w:rPr>
              <w:t>Funkcijska klasifikacija 074 Službe javnog zdravstva</w:t>
            </w:r>
          </w:p>
        </w:tc>
        <w:tc>
          <w:tcPr>
            <w:tcW w:w="1148" w:type="dxa"/>
            <w:tcBorders>
              <w:top w:val="single" w:sz="4" w:space="0" w:color="auto"/>
              <w:left w:val="nil"/>
              <w:bottom w:val="single" w:sz="4" w:space="0" w:color="auto"/>
              <w:right w:val="single" w:sz="4" w:space="0" w:color="auto"/>
            </w:tcBorders>
            <w:noWrap/>
            <w:vAlign w:val="bottom"/>
            <w:hideMark/>
          </w:tcPr>
          <w:p w14:paraId="03E48DA8"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24.915,43</w:t>
            </w:r>
          </w:p>
        </w:tc>
        <w:tc>
          <w:tcPr>
            <w:tcW w:w="1200" w:type="dxa"/>
            <w:tcBorders>
              <w:top w:val="single" w:sz="4" w:space="0" w:color="auto"/>
              <w:left w:val="nil"/>
              <w:bottom w:val="single" w:sz="4" w:space="0" w:color="auto"/>
              <w:right w:val="single" w:sz="4" w:space="0" w:color="auto"/>
            </w:tcBorders>
            <w:noWrap/>
            <w:vAlign w:val="bottom"/>
            <w:hideMark/>
          </w:tcPr>
          <w:p w14:paraId="721B159C"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35.544,00</w:t>
            </w:r>
          </w:p>
        </w:tc>
        <w:tc>
          <w:tcPr>
            <w:tcW w:w="1169" w:type="dxa"/>
            <w:tcBorders>
              <w:top w:val="single" w:sz="4" w:space="0" w:color="auto"/>
              <w:left w:val="nil"/>
              <w:bottom w:val="single" w:sz="4" w:space="0" w:color="auto"/>
              <w:right w:val="single" w:sz="4" w:space="0" w:color="auto"/>
            </w:tcBorders>
            <w:noWrap/>
            <w:vAlign w:val="bottom"/>
            <w:hideMark/>
          </w:tcPr>
          <w:p w14:paraId="1418E8A0"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35.544,00</w:t>
            </w:r>
          </w:p>
        </w:tc>
        <w:tc>
          <w:tcPr>
            <w:tcW w:w="1220" w:type="dxa"/>
            <w:tcBorders>
              <w:top w:val="single" w:sz="4" w:space="0" w:color="auto"/>
              <w:left w:val="nil"/>
              <w:bottom w:val="single" w:sz="4" w:space="0" w:color="auto"/>
              <w:right w:val="single" w:sz="4" w:space="0" w:color="auto"/>
            </w:tcBorders>
            <w:noWrap/>
            <w:vAlign w:val="bottom"/>
            <w:hideMark/>
          </w:tcPr>
          <w:p w14:paraId="1AA10BC8"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27.540,09</w:t>
            </w:r>
          </w:p>
        </w:tc>
        <w:tc>
          <w:tcPr>
            <w:tcW w:w="785" w:type="dxa"/>
            <w:tcBorders>
              <w:top w:val="single" w:sz="4" w:space="0" w:color="auto"/>
              <w:left w:val="nil"/>
              <w:bottom w:val="single" w:sz="4" w:space="0" w:color="auto"/>
              <w:right w:val="single" w:sz="4" w:space="0" w:color="auto"/>
            </w:tcBorders>
            <w:noWrap/>
            <w:vAlign w:val="bottom"/>
            <w:hideMark/>
          </w:tcPr>
          <w:p w14:paraId="2F4DC057"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110,53%</w:t>
            </w:r>
          </w:p>
        </w:tc>
        <w:tc>
          <w:tcPr>
            <w:tcW w:w="795" w:type="dxa"/>
            <w:tcBorders>
              <w:top w:val="single" w:sz="4" w:space="0" w:color="auto"/>
              <w:left w:val="nil"/>
              <w:bottom w:val="single" w:sz="4" w:space="0" w:color="auto"/>
              <w:right w:val="single" w:sz="4" w:space="0" w:color="auto"/>
            </w:tcBorders>
            <w:noWrap/>
            <w:vAlign w:val="bottom"/>
            <w:hideMark/>
          </w:tcPr>
          <w:p w14:paraId="54D8846C"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77,48%</w:t>
            </w:r>
          </w:p>
        </w:tc>
      </w:tr>
      <w:tr w:rsidR="00416D67" w:rsidRPr="00416D67" w14:paraId="4383FDE4"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3AC6CCA6" w14:textId="77777777" w:rsidR="00416D67" w:rsidRPr="00416D67" w:rsidRDefault="00416D67" w:rsidP="00416D67">
            <w:pPr>
              <w:rPr>
                <w:rFonts w:ascii="Arial" w:hAnsi="Arial" w:cs="Arial"/>
                <w:color w:val="000000"/>
                <w:sz w:val="14"/>
                <w:szCs w:val="14"/>
              </w:rPr>
            </w:pPr>
            <w:r w:rsidRPr="00416D67">
              <w:rPr>
                <w:rFonts w:ascii="Arial" w:hAnsi="Arial" w:cs="Arial"/>
                <w:color w:val="000000"/>
                <w:sz w:val="14"/>
                <w:szCs w:val="14"/>
              </w:rPr>
              <w:t>Funkcijska klasifikacija 076 Poslovi i usluge zdravstva koji nisu drugdje svrstani</w:t>
            </w:r>
          </w:p>
        </w:tc>
        <w:tc>
          <w:tcPr>
            <w:tcW w:w="1148" w:type="dxa"/>
            <w:tcBorders>
              <w:top w:val="single" w:sz="4" w:space="0" w:color="auto"/>
              <w:left w:val="nil"/>
              <w:bottom w:val="single" w:sz="4" w:space="0" w:color="auto"/>
              <w:right w:val="single" w:sz="4" w:space="0" w:color="auto"/>
            </w:tcBorders>
            <w:noWrap/>
            <w:vAlign w:val="bottom"/>
            <w:hideMark/>
          </w:tcPr>
          <w:p w14:paraId="77A5C8E1"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3.059,68</w:t>
            </w:r>
          </w:p>
        </w:tc>
        <w:tc>
          <w:tcPr>
            <w:tcW w:w="1200" w:type="dxa"/>
            <w:tcBorders>
              <w:top w:val="single" w:sz="4" w:space="0" w:color="auto"/>
              <w:left w:val="nil"/>
              <w:bottom w:val="single" w:sz="4" w:space="0" w:color="auto"/>
              <w:right w:val="single" w:sz="4" w:space="0" w:color="auto"/>
            </w:tcBorders>
            <w:noWrap/>
            <w:vAlign w:val="bottom"/>
            <w:hideMark/>
          </w:tcPr>
          <w:p w14:paraId="2E185201"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10.600,00</w:t>
            </w:r>
          </w:p>
        </w:tc>
        <w:tc>
          <w:tcPr>
            <w:tcW w:w="1169" w:type="dxa"/>
            <w:tcBorders>
              <w:top w:val="single" w:sz="4" w:space="0" w:color="auto"/>
              <w:left w:val="nil"/>
              <w:bottom w:val="single" w:sz="4" w:space="0" w:color="auto"/>
              <w:right w:val="single" w:sz="4" w:space="0" w:color="auto"/>
            </w:tcBorders>
            <w:noWrap/>
            <w:vAlign w:val="bottom"/>
            <w:hideMark/>
          </w:tcPr>
          <w:p w14:paraId="760ECA59"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10.600,00</w:t>
            </w:r>
          </w:p>
        </w:tc>
        <w:tc>
          <w:tcPr>
            <w:tcW w:w="1220" w:type="dxa"/>
            <w:tcBorders>
              <w:top w:val="single" w:sz="4" w:space="0" w:color="auto"/>
              <w:left w:val="nil"/>
              <w:bottom w:val="single" w:sz="4" w:space="0" w:color="auto"/>
              <w:right w:val="single" w:sz="4" w:space="0" w:color="auto"/>
            </w:tcBorders>
            <w:noWrap/>
            <w:vAlign w:val="bottom"/>
            <w:hideMark/>
          </w:tcPr>
          <w:p w14:paraId="3075BE4E"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5.601,89</w:t>
            </w:r>
          </w:p>
        </w:tc>
        <w:tc>
          <w:tcPr>
            <w:tcW w:w="785" w:type="dxa"/>
            <w:tcBorders>
              <w:top w:val="single" w:sz="4" w:space="0" w:color="auto"/>
              <w:left w:val="nil"/>
              <w:bottom w:val="single" w:sz="4" w:space="0" w:color="auto"/>
              <w:right w:val="single" w:sz="4" w:space="0" w:color="auto"/>
            </w:tcBorders>
            <w:noWrap/>
            <w:vAlign w:val="bottom"/>
            <w:hideMark/>
          </w:tcPr>
          <w:p w14:paraId="3012877C"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183,09%</w:t>
            </w:r>
          </w:p>
        </w:tc>
        <w:tc>
          <w:tcPr>
            <w:tcW w:w="795" w:type="dxa"/>
            <w:tcBorders>
              <w:top w:val="single" w:sz="4" w:space="0" w:color="auto"/>
              <w:left w:val="nil"/>
              <w:bottom w:val="single" w:sz="4" w:space="0" w:color="auto"/>
              <w:right w:val="single" w:sz="4" w:space="0" w:color="auto"/>
            </w:tcBorders>
            <w:noWrap/>
            <w:vAlign w:val="bottom"/>
            <w:hideMark/>
          </w:tcPr>
          <w:p w14:paraId="51E46F05"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52,85%</w:t>
            </w:r>
          </w:p>
        </w:tc>
      </w:tr>
      <w:tr w:rsidR="00416D67" w:rsidRPr="00416D67" w14:paraId="358ECF95"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39AFDCF5" w14:textId="77777777" w:rsidR="00416D67" w:rsidRPr="00416D67" w:rsidRDefault="00416D67" w:rsidP="00416D67">
            <w:pPr>
              <w:rPr>
                <w:rFonts w:ascii="Arial" w:hAnsi="Arial" w:cs="Arial"/>
                <w:b/>
                <w:bCs/>
                <w:color w:val="000000"/>
                <w:sz w:val="14"/>
                <w:szCs w:val="14"/>
              </w:rPr>
            </w:pPr>
            <w:r w:rsidRPr="00416D67">
              <w:rPr>
                <w:rFonts w:ascii="Arial" w:hAnsi="Arial" w:cs="Arial"/>
                <w:b/>
                <w:bCs/>
                <w:color w:val="000000"/>
                <w:sz w:val="14"/>
                <w:szCs w:val="14"/>
              </w:rPr>
              <w:t>Funkcijska klasifikacija 08 Rekreacija, kultura i religija</w:t>
            </w:r>
          </w:p>
        </w:tc>
        <w:tc>
          <w:tcPr>
            <w:tcW w:w="1148" w:type="dxa"/>
            <w:tcBorders>
              <w:top w:val="single" w:sz="4" w:space="0" w:color="auto"/>
              <w:left w:val="nil"/>
              <w:bottom w:val="single" w:sz="4" w:space="0" w:color="auto"/>
              <w:right w:val="single" w:sz="4" w:space="0" w:color="auto"/>
            </w:tcBorders>
            <w:noWrap/>
            <w:vAlign w:val="bottom"/>
            <w:hideMark/>
          </w:tcPr>
          <w:p w14:paraId="2ABC87A2"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363.131,48</w:t>
            </w:r>
          </w:p>
        </w:tc>
        <w:tc>
          <w:tcPr>
            <w:tcW w:w="1200" w:type="dxa"/>
            <w:tcBorders>
              <w:top w:val="single" w:sz="4" w:space="0" w:color="auto"/>
              <w:left w:val="nil"/>
              <w:bottom w:val="single" w:sz="4" w:space="0" w:color="auto"/>
              <w:right w:val="single" w:sz="4" w:space="0" w:color="auto"/>
            </w:tcBorders>
            <w:noWrap/>
            <w:vAlign w:val="bottom"/>
            <w:hideMark/>
          </w:tcPr>
          <w:p w14:paraId="1DAC2985"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1.483.941,67</w:t>
            </w:r>
          </w:p>
        </w:tc>
        <w:tc>
          <w:tcPr>
            <w:tcW w:w="1169" w:type="dxa"/>
            <w:tcBorders>
              <w:top w:val="single" w:sz="4" w:space="0" w:color="auto"/>
              <w:left w:val="nil"/>
              <w:bottom w:val="single" w:sz="4" w:space="0" w:color="auto"/>
              <w:right w:val="single" w:sz="4" w:space="0" w:color="auto"/>
            </w:tcBorders>
            <w:noWrap/>
            <w:vAlign w:val="bottom"/>
            <w:hideMark/>
          </w:tcPr>
          <w:p w14:paraId="70C19AB8"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1.496.401,67</w:t>
            </w:r>
          </w:p>
        </w:tc>
        <w:tc>
          <w:tcPr>
            <w:tcW w:w="1220" w:type="dxa"/>
            <w:tcBorders>
              <w:top w:val="single" w:sz="4" w:space="0" w:color="auto"/>
              <w:left w:val="nil"/>
              <w:bottom w:val="single" w:sz="4" w:space="0" w:color="auto"/>
              <w:right w:val="single" w:sz="4" w:space="0" w:color="auto"/>
            </w:tcBorders>
            <w:noWrap/>
            <w:vAlign w:val="bottom"/>
            <w:hideMark/>
          </w:tcPr>
          <w:p w14:paraId="4E598904"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969.191,73</w:t>
            </w:r>
          </w:p>
        </w:tc>
        <w:tc>
          <w:tcPr>
            <w:tcW w:w="785" w:type="dxa"/>
            <w:tcBorders>
              <w:top w:val="single" w:sz="4" w:space="0" w:color="auto"/>
              <w:left w:val="nil"/>
              <w:bottom w:val="single" w:sz="4" w:space="0" w:color="auto"/>
              <w:right w:val="single" w:sz="4" w:space="0" w:color="auto"/>
            </w:tcBorders>
            <w:noWrap/>
            <w:vAlign w:val="bottom"/>
            <w:hideMark/>
          </w:tcPr>
          <w:p w14:paraId="5BEA482D"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266,90%</w:t>
            </w:r>
          </w:p>
        </w:tc>
        <w:tc>
          <w:tcPr>
            <w:tcW w:w="795" w:type="dxa"/>
            <w:tcBorders>
              <w:top w:val="single" w:sz="4" w:space="0" w:color="auto"/>
              <w:left w:val="nil"/>
              <w:bottom w:val="single" w:sz="4" w:space="0" w:color="auto"/>
              <w:right w:val="single" w:sz="4" w:space="0" w:color="auto"/>
            </w:tcBorders>
            <w:noWrap/>
            <w:vAlign w:val="bottom"/>
            <w:hideMark/>
          </w:tcPr>
          <w:p w14:paraId="45DFCB80"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64,77%</w:t>
            </w:r>
          </w:p>
        </w:tc>
      </w:tr>
      <w:tr w:rsidR="00416D67" w:rsidRPr="00416D67" w14:paraId="633427C5"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42BE580D" w14:textId="77777777" w:rsidR="00416D67" w:rsidRPr="00416D67" w:rsidRDefault="00416D67" w:rsidP="00416D67">
            <w:pPr>
              <w:rPr>
                <w:rFonts w:ascii="Arial" w:hAnsi="Arial" w:cs="Arial"/>
                <w:color w:val="000000"/>
                <w:sz w:val="14"/>
                <w:szCs w:val="14"/>
              </w:rPr>
            </w:pPr>
            <w:r w:rsidRPr="00416D67">
              <w:rPr>
                <w:rFonts w:ascii="Arial" w:hAnsi="Arial" w:cs="Arial"/>
                <w:color w:val="000000"/>
                <w:sz w:val="14"/>
                <w:szCs w:val="14"/>
              </w:rPr>
              <w:t>Funkcijska klasifikacija 081 Službe rekreacije i sporta</w:t>
            </w:r>
          </w:p>
        </w:tc>
        <w:tc>
          <w:tcPr>
            <w:tcW w:w="1148" w:type="dxa"/>
            <w:tcBorders>
              <w:top w:val="single" w:sz="4" w:space="0" w:color="auto"/>
              <w:left w:val="nil"/>
              <w:bottom w:val="single" w:sz="4" w:space="0" w:color="auto"/>
              <w:right w:val="single" w:sz="4" w:space="0" w:color="auto"/>
            </w:tcBorders>
            <w:noWrap/>
            <w:vAlign w:val="bottom"/>
            <w:hideMark/>
          </w:tcPr>
          <w:p w14:paraId="1B44CB28"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225.938,01</w:t>
            </w:r>
          </w:p>
        </w:tc>
        <w:tc>
          <w:tcPr>
            <w:tcW w:w="1200" w:type="dxa"/>
            <w:tcBorders>
              <w:top w:val="single" w:sz="4" w:space="0" w:color="auto"/>
              <w:left w:val="nil"/>
              <w:bottom w:val="single" w:sz="4" w:space="0" w:color="auto"/>
              <w:right w:val="single" w:sz="4" w:space="0" w:color="auto"/>
            </w:tcBorders>
            <w:noWrap/>
            <w:vAlign w:val="bottom"/>
            <w:hideMark/>
          </w:tcPr>
          <w:p w14:paraId="39328E9B"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1.225.439,28</w:t>
            </w:r>
          </w:p>
        </w:tc>
        <w:tc>
          <w:tcPr>
            <w:tcW w:w="1169" w:type="dxa"/>
            <w:tcBorders>
              <w:top w:val="single" w:sz="4" w:space="0" w:color="auto"/>
              <w:left w:val="nil"/>
              <w:bottom w:val="single" w:sz="4" w:space="0" w:color="auto"/>
              <w:right w:val="single" w:sz="4" w:space="0" w:color="auto"/>
            </w:tcBorders>
            <w:noWrap/>
            <w:vAlign w:val="bottom"/>
            <w:hideMark/>
          </w:tcPr>
          <w:p w14:paraId="63959850"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1.235.149,28</w:t>
            </w:r>
          </w:p>
        </w:tc>
        <w:tc>
          <w:tcPr>
            <w:tcW w:w="1220" w:type="dxa"/>
            <w:tcBorders>
              <w:top w:val="single" w:sz="4" w:space="0" w:color="auto"/>
              <w:left w:val="nil"/>
              <w:bottom w:val="single" w:sz="4" w:space="0" w:color="auto"/>
              <w:right w:val="single" w:sz="4" w:space="0" w:color="auto"/>
            </w:tcBorders>
            <w:noWrap/>
            <w:vAlign w:val="bottom"/>
            <w:hideMark/>
          </w:tcPr>
          <w:p w14:paraId="7D012441"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730.610,39</w:t>
            </w:r>
          </w:p>
        </w:tc>
        <w:tc>
          <w:tcPr>
            <w:tcW w:w="785" w:type="dxa"/>
            <w:tcBorders>
              <w:top w:val="single" w:sz="4" w:space="0" w:color="auto"/>
              <w:left w:val="nil"/>
              <w:bottom w:val="single" w:sz="4" w:space="0" w:color="auto"/>
              <w:right w:val="single" w:sz="4" w:space="0" w:color="auto"/>
            </w:tcBorders>
            <w:noWrap/>
            <w:vAlign w:val="bottom"/>
            <w:hideMark/>
          </w:tcPr>
          <w:p w14:paraId="2FD8C0BC"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323,37%</w:t>
            </w:r>
          </w:p>
        </w:tc>
        <w:tc>
          <w:tcPr>
            <w:tcW w:w="795" w:type="dxa"/>
            <w:tcBorders>
              <w:top w:val="single" w:sz="4" w:space="0" w:color="auto"/>
              <w:left w:val="nil"/>
              <w:bottom w:val="single" w:sz="4" w:space="0" w:color="auto"/>
              <w:right w:val="single" w:sz="4" w:space="0" w:color="auto"/>
            </w:tcBorders>
            <w:noWrap/>
            <w:vAlign w:val="bottom"/>
            <w:hideMark/>
          </w:tcPr>
          <w:p w14:paraId="2966AE29"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59,15%</w:t>
            </w:r>
          </w:p>
        </w:tc>
      </w:tr>
      <w:tr w:rsidR="00416D67" w:rsidRPr="00416D67" w14:paraId="00F343A3"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62E69857" w14:textId="77777777" w:rsidR="00416D67" w:rsidRPr="00416D67" w:rsidRDefault="00416D67" w:rsidP="00416D67">
            <w:pPr>
              <w:rPr>
                <w:rFonts w:ascii="Arial" w:hAnsi="Arial" w:cs="Arial"/>
                <w:color w:val="000000"/>
                <w:sz w:val="14"/>
                <w:szCs w:val="14"/>
              </w:rPr>
            </w:pPr>
            <w:r w:rsidRPr="00416D67">
              <w:rPr>
                <w:rFonts w:ascii="Arial" w:hAnsi="Arial" w:cs="Arial"/>
                <w:color w:val="000000"/>
                <w:sz w:val="14"/>
                <w:szCs w:val="14"/>
              </w:rPr>
              <w:t>Funkcijska klasifikacija 082 Službe kulture</w:t>
            </w:r>
          </w:p>
        </w:tc>
        <w:tc>
          <w:tcPr>
            <w:tcW w:w="1148" w:type="dxa"/>
            <w:tcBorders>
              <w:top w:val="single" w:sz="4" w:space="0" w:color="auto"/>
              <w:left w:val="nil"/>
              <w:bottom w:val="single" w:sz="4" w:space="0" w:color="auto"/>
              <w:right w:val="single" w:sz="4" w:space="0" w:color="auto"/>
            </w:tcBorders>
            <w:noWrap/>
            <w:vAlign w:val="bottom"/>
            <w:hideMark/>
          </w:tcPr>
          <w:p w14:paraId="436F3166"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75.918,38</w:t>
            </w:r>
          </w:p>
        </w:tc>
        <w:tc>
          <w:tcPr>
            <w:tcW w:w="1200" w:type="dxa"/>
            <w:tcBorders>
              <w:top w:val="single" w:sz="4" w:space="0" w:color="auto"/>
              <w:left w:val="nil"/>
              <w:bottom w:val="single" w:sz="4" w:space="0" w:color="auto"/>
              <w:right w:val="single" w:sz="4" w:space="0" w:color="auto"/>
            </w:tcBorders>
            <w:noWrap/>
            <w:vAlign w:val="bottom"/>
            <w:hideMark/>
          </w:tcPr>
          <w:p w14:paraId="1BC6F032"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135.952,39</w:t>
            </w:r>
          </w:p>
        </w:tc>
        <w:tc>
          <w:tcPr>
            <w:tcW w:w="1169" w:type="dxa"/>
            <w:tcBorders>
              <w:top w:val="single" w:sz="4" w:space="0" w:color="auto"/>
              <w:left w:val="nil"/>
              <w:bottom w:val="single" w:sz="4" w:space="0" w:color="auto"/>
              <w:right w:val="single" w:sz="4" w:space="0" w:color="auto"/>
            </w:tcBorders>
            <w:noWrap/>
            <w:vAlign w:val="bottom"/>
            <w:hideMark/>
          </w:tcPr>
          <w:p w14:paraId="39F97559"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136.702,39</w:t>
            </w:r>
          </w:p>
        </w:tc>
        <w:tc>
          <w:tcPr>
            <w:tcW w:w="1220" w:type="dxa"/>
            <w:tcBorders>
              <w:top w:val="single" w:sz="4" w:space="0" w:color="auto"/>
              <w:left w:val="nil"/>
              <w:bottom w:val="single" w:sz="4" w:space="0" w:color="auto"/>
              <w:right w:val="single" w:sz="4" w:space="0" w:color="auto"/>
            </w:tcBorders>
            <w:noWrap/>
            <w:vAlign w:val="bottom"/>
            <w:hideMark/>
          </w:tcPr>
          <w:p w14:paraId="3217A03D"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126.327,86</w:t>
            </w:r>
          </w:p>
        </w:tc>
        <w:tc>
          <w:tcPr>
            <w:tcW w:w="785" w:type="dxa"/>
            <w:tcBorders>
              <w:top w:val="single" w:sz="4" w:space="0" w:color="auto"/>
              <w:left w:val="nil"/>
              <w:bottom w:val="single" w:sz="4" w:space="0" w:color="auto"/>
              <w:right w:val="single" w:sz="4" w:space="0" w:color="auto"/>
            </w:tcBorders>
            <w:noWrap/>
            <w:vAlign w:val="bottom"/>
            <w:hideMark/>
          </w:tcPr>
          <w:p w14:paraId="4F6B13E2"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166,40%</w:t>
            </w:r>
          </w:p>
        </w:tc>
        <w:tc>
          <w:tcPr>
            <w:tcW w:w="795" w:type="dxa"/>
            <w:tcBorders>
              <w:top w:val="single" w:sz="4" w:space="0" w:color="auto"/>
              <w:left w:val="nil"/>
              <w:bottom w:val="single" w:sz="4" w:space="0" w:color="auto"/>
              <w:right w:val="single" w:sz="4" w:space="0" w:color="auto"/>
            </w:tcBorders>
            <w:noWrap/>
            <w:vAlign w:val="bottom"/>
            <w:hideMark/>
          </w:tcPr>
          <w:p w14:paraId="59E6A921"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92,41%</w:t>
            </w:r>
          </w:p>
        </w:tc>
      </w:tr>
      <w:tr w:rsidR="00416D67" w:rsidRPr="00416D67" w14:paraId="2D9A32D5"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0F76863B" w14:textId="77777777" w:rsidR="00416D67" w:rsidRPr="00416D67" w:rsidRDefault="00416D67" w:rsidP="00416D67">
            <w:pPr>
              <w:rPr>
                <w:rFonts w:ascii="Arial" w:hAnsi="Arial" w:cs="Arial"/>
                <w:color w:val="000000"/>
                <w:sz w:val="14"/>
                <w:szCs w:val="14"/>
              </w:rPr>
            </w:pPr>
            <w:r w:rsidRPr="00416D67">
              <w:rPr>
                <w:rFonts w:ascii="Arial" w:hAnsi="Arial" w:cs="Arial"/>
                <w:color w:val="000000"/>
                <w:sz w:val="14"/>
                <w:szCs w:val="14"/>
              </w:rPr>
              <w:t>Funkcijska klasifikacija 084 Religijske i druge službe zajednice</w:t>
            </w:r>
          </w:p>
        </w:tc>
        <w:tc>
          <w:tcPr>
            <w:tcW w:w="1148" w:type="dxa"/>
            <w:tcBorders>
              <w:top w:val="single" w:sz="4" w:space="0" w:color="auto"/>
              <w:left w:val="nil"/>
              <w:bottom w:val="single" w:sz="4" w:space="0" w:color="auto"/>
              <w:right w:val="single" w:sz="4" w:space="0" w:color="auto"/>
            </w:tcBorders>
            <w:noWrap/>
            <w:vAlign w:val="bottom"/>
            <w:hideMark/>
          </w:tcPr>
          <w:p w14:paraId="510839E2"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5.676,53</w:t>
            </w:r>
          </w:p>
        </w:tc>
        <w:tc>
          <w:tcPr>
            <w:tcW w:w="1200" w:type="dxa"/>
            <w:tcBorders>
              <w:top w:val="single" w:sz="4" w:space="0" w:color="auto"/>
              <w:left w:val="nil"/>
              <w:bottom w:val="single" w:sz="4" w:space="0" w:color="auto"/>
              <w:right w:val="single" w:sz="4" w:space="0" w:color="auto"/>
            </w:tcBorders>
            <w:noWrap/>
            <w:vAlign w:val="bottom"/>
            <w:hideMark/>
          </w:tcPr>
          <w:p w14:paraId="43A17E23"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41.600,00</w:t>
            </w:r>
          </w:p>
        </w:tc>
        <w:tc>
          <w:tcPr>
            <w:tcW w:w="1169" w:type="dxa"/>
            <w:tcBorders>
              <w:top w:val="single" w:sz="4" w:space="0" w:color="auto"/>
              <w:left w:val="nil"/>
              <w:bottom w:val="single" w:sz="4" w:space="0" w:color="auto"/>
              <w:right w:val="single" w:sz="4" w:space="0" w:color="auto"/>
            </w:tcBorders>
            <w:noWrap/>
            <w:vAlign w:val="bottom"/>
            <w:hideMark/>
          </w:tcPr>
          <w:p w14:paraId="2570DD95"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41.600,00</w:t>
            </w:r>
          </w:p>
        </w:tc>
        <w:tc>
          <w:tcPr>
            <w:tcW w:w="1220" w:type="dxa"/>
            <w:tcBorders>
              <w:top w:val="single" w:sz="4" w:space="0" w:color="auto"/>
              <w:left w:val="nil"/>
              <w:bottom w:val="single" w:sz="4" w:space="0" w:color="auto"/>
              <w:right w:val="single" w:sz="4" w:space="0" w:color="auto"/>
            </w:tcBorders>
            <w:noWrap/>
            <w:vAlign w:val="bottom"/>
            <w:hideMark/>
          </w:tcPr>
          <w:p w14:paraId="75F160F0"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38.706,50</w:t>
            </w:r>
          </w:p>
        </w:tc>
        <w:tc>
          <w:tcPr>
            <w:tcW w:w="785" w:type="dxa"/>
            <w:tcBorders>
              <w:top w:val="single" w:sz="4" w:space="0" w:color="auto"/>
              <w:left w:val="nil"/>
              <w:bottom w:val="single" w:sz="4" w:space="0" w:color="auto"/>
              <w:right w:val="single" w:sz="4" w:space="0" w:color="auto"/>
            </w:tcBorders>
            <w:noWrap/>
            <w:vAlign w:val="bottom"/>
            <w:hideMark/>
          </w:tcPr>
          <w:p w14:paraId="4820BFCA"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681,87%</w:t>
            </w:r>
          </w:p>
        </w:tc>
        <w:tc>
          <w:tcPr>
            <w:tcW w:w="795" w:type="dxa"/>
            <w:tcBorders>
              <w:top w:val="single" w:sz="4" w:space="0" w:color="auto"/>
              <w:left w:val="nil"/>
              <w:bottom w:val="single" w:sz="4" w:space="0" w:color="auto"/>
              <w:right w:val="single" w:sz="4" w:space="0" w:color="auto"/>
            </w:tcBorders>
            <w:noWrap/>
            <w:vAlign w:val="bottom"/>
            <w:hideMark/>
          </w:tcPr>
          <w:p w14:paraId="2B6A71BD"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93,04%</w:t>
            </w:r>
          </w:p>
        </w:tc>
      </w:tr>
      <w:tr w:rsidR="00416D67" w:rsidRPr="00416D67" w14:paraId="4859AA53"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0F9CE0AF" w14:textId="77777777" w:rsidR="00416D67" w:rsidRPr="00416D67" w:rsidRDefault="00416D67" w:rsidP="00416D67">
            <w:pPr>
              <w:rPr>
                <w:rFonts w:ascii="Arial" w:hAnsi="Arial" w:cs="Arial"/>
                <w:color w:val="000000"/>
                <w:sz w:val="14"/>
                <w:szCs w:val="14"/>
              </w:rPr>
            </w:pPr>
            <w:r w:rsidRPr="00416D67">
              <w:rPr>
                <w:rFonts w:ascii="Arial" w:hAnsi="Arial" w:cs="Arial"/>
                <w:color w:val="000000"/>
                <w:sz w:val="14"/>
                <w:szCs w:val="14"/>
              </w:rPr>
              <w:t>Funkcijska klasifikacija 085 Istraživanje i razvoj rekreacije, kulture i religije</w:t>
            </w:r>
          </w:p>
        </w:tc>
        <w:tc>
          <w:tcPr>
            <w:tcW w:w="1148" w:type="dxa"/>
            <w:tcBorders>
              <w:top w:val="single" w:sz="4" w:space="0" w:color="auto"/>
              <w:left w:val="nil"/>
              <w:bottom w:val="single" w:sz="4" w:space="0" w:color="auto"/>
              <w:right w:val="single" w:sz="4" w:space="0" w:color="auto"/>
            </w:tcBorders>
            <w:noWrap/>
            <w:vAlign w:val="bottom"/>
            <w:hideMark/>
          </w:tcPr>
          <w:p w14:paraId="1064621C"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5.500,00</w:t>
            </w:r>
          </w:p>
        </w:tc>
        <w:tc>
          <w:tcPr>
            <w:tcW w:w="1200" w:type="dxa"/>
            <w:tcBorders>
              <w:top w:val="single" w:sz="4" w:space="0" w:color="auto"/>
              <w:left w:val="nil"/>
              <w:bottom w:val="single" w:sz="4" w:space="0" w:color="auto"/>
              <w:right w:val="single" w:sz="4" w:space="0" w:color="auto"/>
            </w:tcBorders>
            <w:noWrap/>
            <w:vAlign w:val="bottom"/>
            <w:hideMark/>
          </w:tcPr>
          <w:p w14:paraId="7614790D"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0,00</w:t>
            </w:r>
          </w:p>
        </w:tc>
        <w:tc>
          <w:tcPr>
            <w:tcW w:w="1169" w:type="dxa"/>
            <w:tcBorders>
              <w:top w:val="single" w:sz="4" w:space="0" w:color="auto"/>
              <w:left w:val="nil"/>
              <w:bottom w:val="single" w:sz="4" w:space="0" w:color="auto"/>
              <w:right w:val="single" w:sz="4" w:space="0" w:color="auto"/>
            </w:tcBorders>
            <w:noWrap/>
            <w:vAlign w:val="bottom"/>
            <w:hideMark/>
          </w:tcPr>
          <w:p w14:paraId="0A74E05C"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0,00</w:t>
            </w:r>
          </w:p>
        </w:tc>
        <w:tc>
          <w:tcPr>
            <w:tcW w:w="1220" w:type="dxa"/>
            <w:tcBorders>
              <w:top w:val="single" w:sz="4" w:space="0" w:color="auto"/>
              <w:left w:val="nil"/>
              <w:bottom w:val="single" w:sz="4" w:space="0" w:color="auto"/>
              <w:right w:val="single" w:sz="4" w:space="0" w:color="auto"/>
            </w:tcBorders>
            <w:noWrap/>
            <w:vAlign w:val="bottom"/>
            <w:hideMark/>
          </w:tcPr>
          <w:p w14:paraId="40CFEDFB"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 </w:t>
            </w:r>
          </w:p>
        </w:tc>
        <w:tc>
          <w:tcPr>
            <w:tcW w:w="785" w:type="dxa"/>
            <w:tcBorders>
              <w:top w:val="single" w:sz="4" w:space="0" w:color="auto"/>
              <w:left w:val="nil"/>
              <w:bottom w:val="single" w:sz="4" w:space="0" w:color="auto"/>
              <w:right w:val="single" w:sz="4" w:space="0" w:color="auto"/>
            </w:tcBorders>
            <w:noWrap/>
            <w:vAlign w:val="bottom"/>
            <w:hideMark/>
          </w:tcPr>
          <w:p w14:paraId="03E997BF"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 </w:t>
            </w:r>
          </w:p>
        </w:tc>
        <w:tc>
          <w:tcPr>
            <w:tcW w:w="795" w:type="dxa"/>
            <w:tcBorders>
              <w:top w:val="single" w:sz="4" w:space="0" w:color="auto"/>
              <w:left w:val="nil"/>
              <w:bottom w:val="single" w:sz="4" w:space="0" w:color="auto"/>
              <w:right w:val="single" w:sz="4" w:space="0" w:color="auto"/>
            </w:tcBorders>
            <w:noWrap/>
            <w:vAlign w:val="bottom"/>
            <w:hideMark/>
          </w:tcPr>
          <w:p w14:paraId="336F1A88"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 </w:t>
            </w:r>
          </w:p>
        </w:tc>
      </w:tr>
      <w:tr w:rsidR="00416D67" w:rsidRPr="00416D67" w14:paraId="2CA728B1"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vAlign w:val="bottom"/>
            <w:hideMark/>
          </w:tcPr>
          <w:p w14:paraId="32E8009A" w14:textId="77777777" w:rsidR="00416D67" w:rsidRPr="00416D67" w:rsidRDefault="00416D67" w:rsidP="00416D67">
            <w:pPr>
              <w:rPr>
                <w:rFonts w:ascii="Arial" w:hAnsi="Arial" w:cs="Arial"/>
                <w:color w:val="000000"/>
                <w:sz w:val="14"/>
                <w:szCs w:val="14"/>
              </w:rPr>
            </w:pPr>
            <w:r w:rsidRPr="00416D67">
              <w:rPr>
                <w:rFonts w:ascii="Arial" w:hAnsi="Arial" w:cs="Arial"/>
                <w:color w:val="000000"/>
                <w:sz w:val="14"/>
                <w:szCs w:val="14"/>
              </w:rPr>
              <w:t>Funkcijska klasifikacija 086 Rashodi za rekreaciju, kulturu i religiju koji nisu drugdje svrstani</w:t>
            </w:r>
          </w:p>
        </w:tc>
        <w:tc>
          <w:tcPr>
            <w:tcW w:w="1148" w:type="dxa"/>
            <w:tcBorders>
              <w:top w:val="single" w:sz="4" w:space="0" w:color="auto"/>
              <w:left w:val="nil"/>
              <w:bottom w:val="single" w:sz="4" w:space="0" w:color="auto"/>
              <w:right w:val="single" w:sz="4" w:space="0" w:color="auto"/>
            </w:tcBorders>
            <w:noWrap/>
            <w:vAlign w:val="bottom"/>
            <w:hideMark/>
          </w:tcPr>
          <w:p w14:paraId="096BF49B"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50.098,56</w:t>
            </w:r>
          </w:p>
        </w:tc>
        <w:tc>
          <w:tcPr>
            <w:tcW w:w="1200" w:type="dxa"/>
            <w:tcBorders>
              <w:top w:val="single" w:sz="4" w:space="0" w:color="auto"/>
              <w:left w:val="nil"/>
              <w:bottom w:val="single" w:sz="4" w:space="0" w:color="auto"/>
              <w:right w:val="single" w:sz="4" w:space="0" w:color="auto"/>
            </w:tcBorders>
            <w:noWrap/>
            <w:vAlign w:val="bottom"/>
            <w:hideMark/>
          </w:tcPr>
          <w:p w14:paraId="0D939DED"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80.950,00</w:t>
            </w:r>
          </w:p>
        </w:tc>
        <w:tc>
          <w:tcPr>
            <w:tcW w:w="1169" w:type="dxa"/>
            <w:tcBorders>
              <w:top w:val="single" w:sz="4" w:space="0" w:color="auto"/>
              <w:left w:val="nil"/>
              <w:bottom w:val="single" w:sz="4" w:space="0" w:color="auto"/>
              <w:right w:val="single" w:sz="4" w:space="0" w:color="auto"/>
            </w:tcBorders>
            <w:noWrap/>
            <w:vAlign w:val="bottom"/>
            <w:hideMark/>
          </w:tcPr>
          <w:p w14:paraId="731E48BD"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82.950,00</w:t>
            </w:r>
          </w:p>
        </w:tc>
        <w:tc>
          <w:tcPr>
            <w:tcW w:w="1220" w:type="dxa"/>
            <w:tcBorders>
              <w:top w:val="single" w:sz="4" w:space="0" w:color="auto"/>
              <w:left w:val="nil"/>
              <w:bottom w:val="single" w:sz="4" w:space="0" w:color="auto"/>
              <w:right w:val="single" w:sz="4" w:space="0" w:color="auto"/>
            </w:tcBorders>
            <w:noWrap/>
            <w:vAlign w:val="bottom"/>
            <w:hideMark/>
          </w:tcPr>
          <w:p w14:paraId="6BD96AFA"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73.546,98</w:t>
            </w:r>
          </w:p>
        </w:tc>
        <w:tc>
          <w:tcPr>
            <w:tcW w:w="785" w:type="dxa"/>
            <w:tcBorders>
              <w:top w:val="single" w:sz="4" w:space="0" w:color="auto"/>
              <w:left w:val="nil"/>
              <w:bottom w:val="single" w:sz="4" w:space="0" w:color="auto"/>
              <w:right w:val="single" w:sz="4" w:space="0" w:color="auto"/>
            </w:tcBorders>
            <w:noWrap/>
            <w:vAlign w:val="bottom"/>
            <w:hideMark/>
          </w:tcPr>
          <w:p w14:paraId="0EE9DD74"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146,80%</w:t>
            </w:r>
          </w:p>
        </w:tc>
        <w:tc>
          <w:tcPr>
            <w:tcW w:w="795" w:type="dxa"/>
            <w:tcBorders>
              <w:top w:val="single" w:sz="4" w:space="0" w:color="auto"/>
              <w:left w:val="nil"/>
              <w:bottom w:val="single" w:sz="4" w:space="0" w:color="auto"/>
              <w:right w:val="single" w:sz="4" w:space="0" w:color="auto"/>
            </w:tcBorders>
            <w:noWrap/>
            <w:vAlign w:val="bottom"/>
            <w:hideMark/>
          </w:tcPr>
          <w:p w14:paraId="3CE15C85"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88,66%</w:t>
            </w:r>
          </w:p>
        </w:tc>
      </w:tr>
      <w:tr w:rsidR="00416D67" w:rsidRPr="00416D67" w14:paraId="0196FA84"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23D0E7FE" w14:textId="77777777" w:rsidR="00416D67" w:rsidRPr="00416D67" w:rsidRDefault="00416D67" w:rsidP="00416D67">
            <w:pPr>
              <w:rPr>
                <w:rFonts w:ascii="Arial" w:hAnsi="Arial" w:cs="Arial"/>
                <w:b/>
                <w:bCs/>
                <w:color w:val="000000"/>
                <w:sz w:val="14"/>
                <w:szCs w:val="14"/>
              </w:rPr>
            </w:pPr>
            <w:r w:rsidRPr="00416D67">
              <w:rPr>
                <w:rFonts w:ascii="Arial" w:hAnsi="Arial" w:cs="Arial"/>
                <w:b/>
                <w:bCs/>
                <w:color w:val="000000"/>
                <w:sz w:val="14"/>
                <w:szCs w:val="14"/>
              </w:rPr>
              <w:t>Funkcijska klasifikacija 09 Obrazovanje</w:t>
            </w:r>
          </w:p>
        </w:tc>
        <w:tc>
          <w:tcPr>
            <w:tcW w:w="1148" w:type="dxa"/>
            <w:tcBorders>
              <w:top w:val="single" w:sz="4" w:space="0" w:color="auto"/>
              <w:left w:val="nil"/>
              <w:bottom w:val="single" w:sz="4" w:space="0" w:color="auto"/>
              <w:right w:val="single" w:sz="4" w:space="0" w:color="auto"/>
            </w:tcBorders>
            <w:noWrap/>
            <w:vAlign w:val="bottom"/>
            <w:hideMark/>
          </w:tcPr>
          <w:p w14:paraId="2060BF03"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1.027.077,68</w:t>
            </w:r>
          </w:p>
        </w:tc>
        <w:tc>
          <w:tcPr>
            <w:tcW w:w="1200" w:type="dxa"/>
            <w:tcBorders>
              <w:top w:val="single" w:sz="4" w:space="0" w:color="auto"/>
              <w:left w:val="nil"/>
              <w:bottom w:val="single" w:sz="4" w:space="0" w:color="auto"/>
              <w:right w:val="single" w:sz="4" w:space="0" w:color="auto"/>
            </w:tcBorders>
            <w:noWrap/>
            <w:vAlign w:val="bottom"/>
            <w:hideMark/>
          </w:tcPr>
          <w:p w14:paraId="3A8C915C"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2.379.100,00</w:t>
            </w:r>
          </w:p>
        </w:tc>
        <w:tc>
          <w:tcPr>
            <w:tcW w:w="1169" w:type="dxa"/>
            <w:tcBorders>
              <w:top w:val="single" w:sz="4" w:space="0" w:color="auto"/>
              <w:left w:val="nil"/>
              <w:bottom w:val="single" w:sz="4" w:space="0" w:color="auto"/>
              <w:right w:val="single" w:sz="4" w:space="0" w:color="auto"/>
            </w:tcBorders>
            <w:noWrap/>
            <w:vAlign w:val="bottom"/>
            <w:hideMark/>
          </w:tcPr>
          <w:p w14:paraId="3DB143E6"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2.324.100,00</w:t>
            </w:r>
          </w:p>
        </w:tc>
        <w:tc>
          <w:tcPr>
            <w:tcW w:w="1220" w:type="dxa"/>
            <w:tcBorders>
              <w:top w:val="single" w:sz="4" w:space="0" w:color="auto"/>
              <w:left w:val="nil"/>
              <w:bottom w:val="single" w:sz="4" w:space="0" w:color="auto"/>
              <w:right w:val="single" w:sz="4" w:space="0" w:color="auto"/>
            </w:tcBorders>
            <w:noWrap/>
            <w:vAlign w:val="bottom"/>
            <w:hideMark/>
          </w:tcPr>
          <w:p w14:paraId="5486A159"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1.308.717,65</w:t>
            </w:r>
          </w:p>
        </w:tc>
        <w:tc>
          <w:tcPr>
            <w:tcW w:w="785" w:type="dxa"/>
            <w:tcBorders>
              <w:top w:val="single" w:sz="4" w:space="0" w:color="auto"/>
              <w:left w:val="nil"/>
              <w:bottom w:val="single" w:sz="4" w:space="0" w:color="auto"/>
              <w:right w:val="single" w:sz="4" w:space="0" w:color="auto"/>
            </w:tcBorders>
            <w:noWrap/>
            <w:vAlign w:val="bottom"/>
            <w:hideMark/>
          </w:tcPr>
          <w:p w14:paraId="4BE8C885"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127,42%</w:t>
            </w:r>
          </w:p>
        </w:tc>
        <w:tc>
          <w:tcPr>
            <w:tcW w:w="795" w:type="dxa"/>
            <w:tcBorders>
              <w:top w:val="single" w:sz="4" w:space="0" w:color="auto"/>
              <w:left w:val="nil"/>
              <w:bottom w:val="single" w:sz="4" w:space="0" w:color="auto"/>
              <w:right w:val="single" w:sz="4" w:space="0" w:color="auto"/>
            </w:tcBorders>
            <w:noWrap/>
            <w:vAlign w:val="bottom"/>
            <w:hideMark/>
          </w:tcPr>
          <w:p w14:paraId="3C617374"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56,31%</w:t>
            </w:r>
          </w:p>
        </w:tc>
      </w:tr>
      <w:tr w:rsidR="00416D67" w:rsidRPr="00416D67" w14:paraId="6F1A1B60"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18155779" w14:textId="77777777" w:rsidR="00416D67" w:rsidRPr="00416D67" w:rsidRDefault="00416D67" w:rsidP="00416D67">
            <w:pPr>
              <w:rPr>
                <w:rFonts w:ascii="Arial" w:hAnsi="Arial" w:cs="Arial"/>
                <w:color w:val="000000"/>
                <w:sz w:val="14"/>
                <w:szCs w:val="14"/>
              </w:rPr>
            </w:pPr>
            <w:r w:rsidRPr="00416D67">
              <w:rPr>
                <w:rFonts w:ascii="Arial" w:hAnsi="Arial" w:cs="Arial"/>
                <w:color w:val="000000"/>
                <w:sz w:val="14"/>
                <w:szCs w:val="14"/>
              </w:rPr>
              <w:t>Funkcijska klasifikacija 091 Predškolsko i osnovno obrazovanje</w:t>
            </w:r>
          </w:p>
        </w:tc>
        <w:tc>
          <w:tcPr>
            <w:tcW w:w="1148" w:type="dxa"/>
            <w:tcBorders>
              <w:top w:val="single" w:sz="4" w:space="0" w:color="auto"/>
              <w:left w:val="nil"/>
              <w:bottom w:val="single" w:sz="4" w:space="0" w:color="auto"/>
              <w:right w:val="single" w:sz="4" w:space="0" w:color="auto"/>
            </w:tcBorders>
            <w:noWrap/>
            <w:vAlign w:val="bottom"/>
            <w:hideMark/>
          </w:tcPr>
          <w:p w14:paraId="05C9754F"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1.006.532,94</w:t>
            </w:r>
          </w:p>
        </w:tc>
        <w:tc>
          <w:tcPr>
            <w:tcW w:w="1200" w:type="dxa"/>
            <w:tcBorders>
              <w:top w:val="single" w:sz="4" w:space="0" w:color="auto"/>
              <w:left w:val="nil"/>
              <w:bottom w:val="single" w:sz="4" w:space="0" w:color="auto"/>
              <w:right w:val="single" w:sz="4" w:space="0" w:color="auto"/>
            </w:tcBorders>
            <w:noWrap/>
            <w:vAlign w:val="bottom"/>
            <w:hideMark/>
          </w:tcPr>
          <w:p w14:paraId="1CA60718"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1.340.800,00</w:t>
            </w:r>
          </w:p>
        </w:tc>
        <w:tc>
          <w:tcPr>
            <w:tcW w:w="1169" w:type="dxa"/>
            <w:tcBorders>
              <w:top w:val="single" w:sz="4" w:space="0" w:color="auto"/>
              <w:left w:val="nil"/>
              <w:bottom w:val="single" w:sz="4" w:space="0" w:color="auto"/>
              <w:right w:val="single" w:sz="4" w:space="0" w:color="auto"/>
            </w:tcBorders>
            <w:noWrap/>
            <w:vAlign w:val="bottom"/>
            <w:hideMark/>
          </w:tcPr>
          <w:p w14:paraId="286AE612"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1.335.800,00</w:t>
            </w:r>
          </w:p>
        </w:tc>
        <w:tc>
          <w:tcPr>
            <w:tcW w:w="1220" w:type="dxa"/>
            <w:tcBorders>
              <w:top w:val="single" w:sz="4" w:space="0" w:color="auto"/>
              <w:left w:val="nil"/>
              <w:bottom w:val="single" w:sz="4" w:space="0" w:color="auto"/>
              <w:right w:val="single" w:sz="4" w:space="0" w:color="auto"/>
            </w:tcBorders>
            <w:noWrap/>
            <w:vAlign w:val="bottom"/>
            <w:hideMark/>
          </w:tcPr>
          <w:p w14:paraId="2809012B"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1.271.013,25</w:t>
            </w:r>
          </w:p>
        </w:tc>
        <w:tc>
          <w:tcPr>
            <w:tcW w:w="785" w:type="dxa"/>
            <w:tcBorders>
              <w:top w:val="single" w:sz="4" w:space="0" w:color="auto"/>
              <w:left w:val="nil"/>
              <w:bottom w:val="single" w:sz="4" w:space="0" w:color="auto"/>
              <w:right w:val="single" w:sz="4" w:space="0" w:color="auto"/>
            </w:tcBorders>
            <w:noWrap/>
            <w:vAlign w:val="bottom"/>
            <w:hideMark/>
          </w:tcPr>
          <w:p w14:paraId="7C7E886D"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126,28%</w:t>
            </w:r>
          </w:p>
        </w:tc>
        <w:tc>
          <w:tcPr>
            <w:tcW w:w="795" w:type="dxa"/>
            <w:tcBorders>
              <w:top w:val="single" w:sz="4" w:space="0" w:color="auto"/>
              <w:left w:val="nil"/>
              <w:bottom w:val="single" w:sz="4" w:space="0" w:color="auto"/>
              <w:right w:val="single" w:sz="4" w:space="0" w:color="auto"/>
            </w:tcBorders>
            <w:noWrap/>
            <w:vAlign w:val="bottom"/>
            <w:hideMark/>
          </w:tcPr>
          <w:p w14:paraId="1D44AFD4"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95,15%</w:t>
            </w:r>
          </w:p>
        </w:tc>
      </w:tr>
      <w:tr w:rsidR="00416D67" w:rsidRPr="00416D67" w14:paraId="2E506C52"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57991707" w14:textId="77777777" w:rsidR="00416D67" w:rsidRPr="00416D67" w:rsidRDefault="00416D67" w:rsidP="00416D67">
            <w:pPr>
              <w:rPr>
                <w:rFonts w:ascii="Arial" w:hAnsi="Arial" w:cs="Arial"/>
                <w:color w:val="000000"/>
                <w:sz w:val="14"/>
                <w:szCs w:val="14"/>
              </w:rPr>
            </w:pPr>
            <w:r w:rsidRPr="00416D67">
              <w:rPr>
                <w:rFonts w:ascii="Arial" w:hAnsi="Arial" w:cs="Arial"/>
                <w:color w:val="000000"/>
                <w:sz w:val="14"/>
                <w:szCs w:val="14"/>
              </w:rPr>
              <w:t>Funkcijska klasifikacija 096 Dodatne usluge u obrazovanju</w:t>
            </w:r>
          </w:p>
        </w:tc>
        <w:tc>
          <w:tcPr>
            <w:tcW w:w="1148" w:type="dxa"/>
            <w:tcBorders>
              <w:top w:val="single" w:sz="4" w:space="0" w:color="auto"/>
              <w:left w:val="nil"/>
              <w:bottom w:val="single" w:sz="4" w:space="0" w:color="auto"/>
              <w:right w:val="single" w:sz="4" w:space="0" w:color="auto"/>
            </w:tcBorders>
            <w:noWrap/>
            <w:vAlign w:val="bottom"/>
            <w:hideMark/>
          </w:tcPr>
          <w:p w14:paraId="271549C7"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20.544,74</w:t>
            </w:r>
          </w:p>
        </w:tc>
        <w:tc>
          <w:tcPr>
            <w:tcW w:w="1200" w:type="dxa"/>
            <w:tcBorders>
              <w:top w:val="single" w:sz="4" w:space="0" w:color="auto"/>
              <w:left w:val="nil"/>
              <w:bottom w:val="single" w:sz="4" w:space="0" w:color="auto"/>
              <w:right w:val="single" w:sz="4" w:space="0" w:color="auto"/>
            </w:tcBorders>
            <w:noWrap/>
            <w:vAlign w:val="bottom"/>
            <w:hideMark/>
          </w:tcPr>
          <w:p w14:paraId="76BC0FC9"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1.028.000,00</w:t>
            </w:r>
          </w:p>
        </w:tc>
        <w:tc>
          <w:tcPr>
            <w:tcW w:w="1169" w:type="dxa"/>
            <w:tcBorders>
              <w:top w:val="single" w:sz="4" w:space="0" w:color="auto"/>
              <w:left w:val="nil"/>
              <w:bottom w:val="single" w:sz="4" w:space="0" w:color="auto"/>
              <w:right w:val="single" w:sz="4" w:space="0" w:color="auto"/>
            </w:tcBorders>
            <w:noWrap/>
            <w:vAlign w:val="bottom"/>
            <w:hideMark/>
          </w:tcPr>
          <w:p w14:paraId="27B69093"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978.000,00</w:t>
            </w:r>
          </w:p>
        </w:tc>
        <w:tc>
          <w:tcPr>
            <w:tcW w:w="1220" w:type="dxa"/>
            <w:tcBorders>
              <w:top w:val="single" w:sz="4" w:space="0" w:color="auto"/>
              <w:left w:val="nil"/>
              <w:bottom w:val="single" w:sz="4" w:space="0" w:color="auto"/>
              <w:right w:val="single" w:sz="4" w:space="0" w:color="auto"/>
            </w:tcBorders>
            <w:noWrap/>
            <w:vAlign w:val="bottom"/>
            <w:hideMark/>
          </w:tcPr>
          <w:p w14:paraId="21D5294D"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27.404,40</w:t>
            </w:r>
          </w:p>
        </w:tc>
        <w:tc>
          <w:tcPr>
            <w:tcW w:w="785" w:type="dxa"/>
            <w:tcBorders>
              <w:top w:val="single" w:sz="4" w:space="0" w:color="auto"/>
              <w:left w:val="nil"/>
              <w:bottom w:val="single" w:sz="4" w:space="0" w:color="auto"/>
              <w:right w:val="single" w:sz="4" w:space="0" w:color="auto"/>
            </w:tcBorders>
            <w:noWrap/>
            <w:vAlign w:val="bottom"/>
            <w:hideMark/>
          </w:tcPr>
          <w:p w14:paraId="099E36E8"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133,39%</w:t>
            </w:r>
          </w:p>
        </w:tc>
        <w:tc>
          <w:tcPr>
            <w:tcW w:w="795" w:type="dxa"/>
            <w:tcBorders>
              <w:top w:val="single" w:sz="4" w:space="0" w:color="auto"/>
              <w:left w:val="nil"/>
              <w:bottom w:val="single" w:sz="4" w:space="0" w:color="auto"/>
              <w:right w:val="single" w:sz="4" w:space="0" w:color="auto"/>
            </w:tcBorders>
            <w:noWrap/>
            <w:vAlign w:val="bottom"/>
            <w:hideMark/>
          </w:tcPr>
          <w:p w14:paraId="15AD2425"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2,80%</w:t>
            </w:r>
          </w:p>
        </w:tc>
      </w:tr>
      <w:tr w:rsidR="00416D67" w:rsidRPr="00416D67" w14:paraId="66DD570C"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5E584733" w14:textId="77777777" w:rsidR="00416D67" w:rsidRPr="00416D67" w:rsidRDefault="00416D67" w:rsidP="00416D67">
            <w:pPr>
              <w:rPr>
                <w:rFonts w:ascii="Arial" w:hAnsi="Arial" w:cs="Arial"/>
                <w:color w:val="000000"/>
                <w:sz w:val="14"/>
                <w:szCs w:val="14"/>
              </w:rPr>
            </w:pPr>
            <w:r w:rsidRPr="00416D67">
              <w:rPr>
                <w:rFonts w:ascii="Arial" w:hAnsi="Arial" w:cs="Arial"/>
                <w:color w:val="000000"/>
                <w:sz w:val="14"/>
                <w:szCs w:val="14"/>
              </w:rPr>
              <w:t>Funkcijska klasifikacija 098 Usluge obrazovanja koje nisu drugdje svrstane</w:t>
            </w:r>
          </w:p>
        </w:tc>
        <w:tc>
          <w:tcPr>
            <w:tcW w:w="1148" w:type="dxa"/>
            <w:tcBorders>
              <w:top w:val="single" w:sz="4" w:space="0" w:color="auto"/>
              <w:left w:val="nil"/>
              <w:bottom w:val="single" w:sz="4" w:space="0" w:color="auto"/>
              <w:right w:val="single" w:sz="4" w:space="0" w:color="auto"/>
            </w:tcBorders>
            <w:noWrap/>
            <w:vAlign w:val="bottom"/>
            <w:hideMark/>
          </w:tcPr>
          <w:p w14:paraId="7BB05F51"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 </w:t>
            </w:r>
          </w:p>
        </w:tc>
        <w:tc>
          <w:tcPr>
            <w:tcW w:w="1200" w:type="dxa"/>
            <w:tcBorders>
              <w:top w:val="single" w:sz="4" w:space="0" w:color="auto"/>
              <w:left w:val="nil"/>
              <w:bottom w:val="single" w:sz="4" w:space="0" w:color="auto"/>
              <w:right w:val="single" w:sz="4" w:space="0" w:color="auto"/>
            </w:tcBorders>
            <w:noWrap/>
            <w:vAlign w:val="bottom"/>
            <w:hideMark/>
          </w:tcPr>
          <w:p w14:paraId="3845A6EE"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10.300,00</w:t>
            </w:r>
          </w:p>
        </w:tc>
        <w:tc>
          <w:tcPr>
            <w:tcW w:w="1169" w:type="dxa"/>
            <w:tcBorders>
              <w:top w:val="single" w:sz="4" w:space="0" w:color="auto"/>
              <w:left w:val="nil"/>
              <w:bottom w:val="single" w:sz="4" w:space="0" w:color="auto"/>
              <w:right w:val="single" w:sz="4" w:space="0" w:color="auto"/>
            </w:tcBorders>
            <w:noWrap/>
            <w:vAlign w:val="bottom"/>
            <w:hideMark/>
          </w:tcPr>
          <w:p w14:paraId="6321BFB7"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10.300,00</w:t>
            </w:r>
          </w:p>
        </w:tc>
        <w:tc>
          <w:tcPr>
            <w:tcW w:w="1220" w:type="dxa"/>
            <w:tcBorders>
              <w:top w:val="single" w:sz="4" w:space="0" w:color="auto"/>
              <w:left w:val="nil"/>
              <w:bottom w:val="single" w:sz="4" w:space="0" w:color="auto"/>
              <w:right w:val="single" w:sz="4" w:space="0" w:color="auto"/>
            </w:tcBorders>
            <w:noWrap/>
            <w:vAlign w:val="bottom"/>
            <w:hideMark/>
          </w:tcPr>
          <w:p w14:paraId="20C4C5B8"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10.300,00</w:t>
            </w:r>
          </w:p>
        </w:tc>
        <w:tc>
          <w:tcPr>
            <w:tcW w:w="785" w:type="dxa"/>
            <w:tcBorders>
              <w:top w:val="single" w:sz="4" w:space="0" w:color="auto"/>
              <w:left w:val="nil"/>
              <w:bottom w:val="single" w:sz="4" w:space="0" w:color="auto"/>
              <w:right w:val="single" w:sz="4" w:space="0" w:color="auto"/>
            </w:tcBorders>
            <w:noWrap/>
            <w:vAlign w:val="bottom"/>
            <w:hideMark/>
          </w:tcPr>
          <w:p w14:paraId="37E1EF72"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 </w:t>
            </w:r>
          </w:p>
        </w:tc>
        <w:tc>
          <w:tcPr>
            <w:tcW w:w="795" w:type="dxa"/>
            <w:tcBorders>
              <w:top w:val="single" w:sz="4" w:space="0" w:color="auto"/>
              <w:left w:val="nil"/>
              <w:bottom w:val="single" w:sz="4" w:space="0" w:color="auto"/>
              <w:right w:val="single" w:sz="4" w:space="0" w:color="auto"/>
            </w:tcBorders>
            <w:noWrap/>
            <w:vAlign w:val="bottom"/>
            <w:hideMark/>
          </w:tcPr>
          <w:p w14:paraId="71ABCCD1"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100,00%</w:t>
            </w:r>
          </w:p>
        </w:tc>
      </w:tr>
      <w:tr w:rsidR="00416D67" w:rsidRPr="00416D67" w14:paraId="37FD125F"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54616191" w14:textId="77777777" w:rsidR="00416D67" w:rsidRPr="00416D67" w:rsidRDefault="00416D67" w:rsidP="00416D67">
            <w:pPr>
              <w:rPr>
                <w:rFonts w:ascii="Arial" w:hAnsi="Arial" w:cs="Arial"/>
                <w:b/>
                <w:bCs/>
                <w:color w:val="000000"/>
                <w:sz w:val="14"/>
                <w:szCs w:val="14"/>
              </w:rPr>
            </w:pPr>
            <w:r w:rsidRPr="00416D67">
              <w:rPr>
                <w:rFonts w:ascii="Arial" w:hAnsi="Arial" w:cs="Arial"/>
                <w:b/>
                <w:bCs/>
                <w:color w:val="000000"/>
                <w:sz w:val="14"/>
                <w:szCs w:val="14"/>
              </w:rPr>
              <w:t>Funkcijska klasifikacija 10 Socijalna zaštita</w:t>
            </w:r>
          </w:p>
        </w:tc>
        <w:tc>
          <w:tcPr>
            <w:tcW w:w="1148" w:type="dxa"/>
            <w:tcBorders>
              <w:top w:val="single" w:sz="4" w:space="0" w:color="auto"/>
              <w:left w:val="nil"/>
              <w:bottom w:val="single" w:sz="4" w:space="0" w:color="auto"/>
              <w:right w:val="single" w:sz="4" w:space="0" w:color="auto"/>
            </w:tcBorders>
            <w:noWrap/>
            <w:vAlign w:val="bottom"/>
            <w:hideMark/>
          </w:tcPr>
          <w:p w14:paraId="36E8DB55"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320.081,77</w:t>
            </w:r>
          </w:p>
        </w:tc>
        <w:tc>
          <w:tcPr>
            <w:tcW w:w="1200" w:type="dxa"/>
            <w:tcBorders>
              <w:top w:val="single" w:sz="4" w:space="0" w:color="auto"/>
              <w:left w:val="nil"/>
              <w:bottom w:val="single" w:sz="4" w:space="0" w:color="auto"/>
              <w:right w:val="single" w:sz="4" w:space="0" w:color="auto"/>
            </w:tcBorders>
            <w:noWrap/>
            <w:vAlign w:val="bottom"/>
            <w:hideMark/>
          </w:tcPr>
          <w:p w14:paraId="1E3315B0"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354.319,00</w:t>
            </w:r>
          </w:p>
        </w:tc>
        <w:tc>
          <w:tcPr>
            <w:tcW w:w="1169" w:type="dxa"/>
            <w:tcBorders>
              <w:top w:val="single" w:sz="4" w:space="0" w:color="auto"/>
              <w:left w:val="nil"/>
              <w:bottom w:val="single" w:sz="4" w:space="0" w:color="auto"/>
              <w:right w:val="single" w:sz="4" w:space="0" w:color="auto"/>
            </w:tcBorders>
            <w:noWrap/>
            <w:vAlign w:val="bottom"/>
            <w:hideMark/>
          </w:tcPr>
          <w:p w14:paraId="28D3B131"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360.899,00</w:t>
            </w:r>
          </w:p>
        </w:tc>
        <w:tc>
          <w:tcPr>
            <w:tcW w:w="1220" w:type="dxa"/>
            <w:tcBorders>
              <w:top w:val="single" w:sz="4" w:space="0" w:color="auto"/>
              <w:left w:val="nil"/>
              <w:bottom w:val="single" w:sz="4" w:space="0" w:color="auto"/>
              <w:right w:val="single" w:sz="4" w:space="0" w:color="auto"/>
            </w:tcBorders>
            <w:noWrap/>
            <w:vAlign w:val="bottom"/>
            <w:hideMark/>
          </w:tcPr>
          <w:p w14:paraId="5C417DBD"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275.594,92</w:t>
            </w:r>
          </w:p>
        </w:tc>
        <w:tc>
          <w:tcPr>
            <w:tcW w:w="785" w:type="dxa"/>
            <w:tcBorders>
              <w:top w:val="single" w:sz="4" w:space="0" w:color="auto"/>
              <w:left w:val="nil"/>
              <w:bottom w:val="single" w:sz="4" w:space="0" w:color="auto"/>
              <w:right w:val="single" w:sz="4" w:space="0" w:color="auto"/>
            </w:tcBorders>
            <w:noWrap/>
            <w:vAlign w:val="bottom"/>
            <w:hideMark/>
          </w:tcPr>
          <w:p w14:paraId="5781ACCD"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86,10%</w:t>
            </w:r>
          </w:p>
        </w:tc>
        <w:tc>
          <w:tcPr>
            <w:tcW w:w="795" w:type="dxa"/>
            <w:tcBorders>
              <w:top w:val="single" w:sz="4" w:space="0" w:color="auto"/>
              <w:left w:val="nil"/>
              <w:bottom w:val="single" w:sz="4" w:space="0" w:color="auto"/>
              <w:right w:val="single" w:sz="4" w:space="0" w:color="auto"/>
            </w:tcBorders>
            <w:noWrap/>
            <w:vAlign w:val="bottom"/>
            <w:hideMark/>
          </w:tcPr>
          <w:p w14:paraId="24CF18F4" w14:textId="77777777" w:rsidR="00416D67" w:rsidRPr="00416D67" w:rsidRDefault="00416D67" w:rsidP="00416D67">
            <w:pPr>
              <w:jc w:val="right"/>
              <w:rPr>
                <w:rFonts w:ascii="Arial" w:hAnsi="Arial" w:cs="Arial"/>
                <w:b/>
                <w:bCs/>
                <w:color w:val="000000"/>
                <w:sz w:val="14"/>
                <w:szCs w:val="14"/>
              </w:rPr>
            </w:pPr>
            <w:r w:rsidRPr="00416D67">
              <w:rPr>
                <w:rFonts w:ascii="Arial" w:hAnsi="Arial" w:cs="Arial"/>
                <w:b/>
                <w:bCs/>
                <w:color w:val="000000"/>
                <w:sz w:val="14"/>
                <w:szCs w:val="14"/>
              </w:rPr>
              <w:t>76,36%</w:t>
            </w:r>
          </w:p>
        </w:tc>
      </w:tr>
      <w:tr w:rsidR="00416D67" w:rsidRPr="00416D67" w14:paraId="17F86367"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02B6962A" w14:textId="77777777" w:rsidR="00416D67" w:rsidRPr="00416D67" w:rsidRDefault="00416D67" w:rsidP="00416D67">
            <w:pPr>
              <w:rPr>
                <w:rFonts w:ascii="Arial" w:hAnsi="Arial" w:cs="Arial"/>
                <w:color w:val="000000"/>
                <w:sz w:val="14"/>
                <w:szCs w:val="14"/>
              </w:rPr>
            </w:pPr>
            <w:r w:rsidRPr="00416D67">
              <w:rPr>
                <w:rFonts w:ascii="Arial" w:hAnsi="Arial" w:cs="Arial"/>
                <w:color w:val="000000"/>
                <w:sz w:val="14"/>
                <w:szCs w:val="14"/>
              </w:rPr>
              <w:t>Funkcijska klasifikacija 104 Obitelj i djeca</w:t>
            </w:r>
          </w:p>
        </w:tc>
        <w:tc>
          <w:tcPr>
            <w:tcW w:w="1148" w:type="dxa"/>
            <w:tcBorders>
              <w:top w:val="single" w:sz="4" w:space="0" w:color="auto"/>
              <w:left w:val="nil"/>
              <w:bottom w:val="single" w:sz="4" w:space="0" w:color="auto"/>
              <w:right w:val="single" w:sz="4" w:space="0" w:color="auto"/>
            </w:tcBorders>
            <w:noWrap/>
            <w:vAlign w:val="bottom"/>
            <w:hideMark/>
          </w:tcPr>
          <w:p w14:paraId="31AB7FF5"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86.613,91</w:t>
            </w:r>
          </w:p>
        </w:tc>
        <w:tc>
          <w:tcPr>
            <w:tcW w:w="1200" w:type="dxa"/>
            <w:tcBorders>
              <w:top w:val="single" w:sz="4" w:space="0" w:color="auto"/>
              <w:left w:val="nil"/>
              <w:bottom w:val="single" w:sz="4" w:space="0" w:color="auto"/>
              <w:right w:val="single" w:sz="4" w:space="0" w:color="auto"/>
            </w:tcBorders>
            <w:noWrap/>
            <w:vAlign w:val="bottom"/>
            <w:hideMark/>
          </w:tcPr>
          <w:p w14:paraId="1B58A46A"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95.837,00</w:t>
            </w:r>
          </w:p>
        </w:tc>
        <w:tc>
          <w:tcPr>
            <w:tcW w:w="1169" w:type="dxa"/>
            <w:tcBorders>
              <w:top w:val="single" w:sz="4" w:space="0" w:color="auto"/>
              <w:left w:val="nil"/>
              <w:bottom w:val="single" w:sz="4" w:space="0" w:color="auto"/>
              <w:right w:val="single" w:sz="4" w:space="0" w:color="auto"/>
            </w:tcBorders>
            <w:noWrap/>
            <w:vAlign w:val="bottom"/>
            <w:hideMark/>
          </w:tcPr>
          <w:p w14:paraId="32A828C9"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95.837,00</w:t>
            </w:r>
          </w:p>
        </w:tc>
        <w:tc>
          <w:tcPr>
            <w:tcW w:w="1220" w:type="dxa"/>
            <w:tcBorders>
              <w:top w:val="single" w:sz="4" w:space="0" w:color="auto"/>
              <w:left w:val="nil"/>
              <w:bottom w:val="single" w:sz="4" w:space="0" w:color="auto"/>
              <w:right w:val="single" w:sz="4" w:space="0" w:color="auto"/>
            </w:tcBorders>
            <w:noWrap/>
            <w:vAlign w:val="bottom"/>
            <w:hideMark/>
          </w:tcPr>
          <w:p w14:paraId="78317C49"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79.999,22</w:t>
            </w:r>
          </w:p>
        </w:tc>
        <w:tc>
          <w:tcPr>
            <w:tcW w:w="785" w:type="dxa"/>
            <w:tcBorders>
              <w:top w:val="single" w:sz="4" w:space="0" w:color="auto"/>
              <w:left w:val="nil"/>
              <w:bottom w:val="single" w:sz="4" w:space="0" w:color="auto"/>
              <w:right w:val="single" w:sz="4" w:space="0" w:color="auto"/>
            </w:tcBorders>
            <w:noWrap/>
            <w:vAlign w:val="bottom"/>
            <w:hideMark/>
          </w:tcPr>
          <w:p w14:paraId="1D79F17C"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92,36%</w:t>
            </w:r>
          </w:p>
        </w:tc>
        <w:tc>
          <w:tcPr>
            <w:tcW w:w="795" w:type="dxa"/>
            <w:tcBorders>
              <w:top w:val="single" w:sz="4" w:space="0" w:color="auto"/>
              <w:left w:val="nil"/>
              <w:bottom w:val="single" w:sz="4" w:space="0" w:color="auto"/>
              <w:right w:val="single" w:sz="4" w:space="0" w:color="auto"/>
            </w:tcBorders>
            <w:noWrap/>
            <w:vAlign w:val="bottom"/>
            <w:hideMark/>
          </w:tcPr>
          <w:p w14:paraId="6A31EA5A"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83,47%</w:t>
            </w:r>
          </w:p>
        </w:tc>
      </w:tr>
      <w:tr w:rsidR="00416D67" w:rsidRPr="00416D67" w14:paraId="372D3345"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2F0A1EB1" w14:textId="77777777" w:rsidR="00416D67" w:rsidRPr="00416D67" w:rsidRDefault="00416D67" w:rsidP="00416D67">
            <w:pPr>
              <w:rPr>
                <w:rFonts w:ascii="Arial" w:hAnsi="Arial" w:cs="Arial"/>
                <w:color w:val="000000"/>
                <w:sz w:val="14"/>
                <w:szCs w:val="14"/>
              </w:rPr>
            </w:pPr>
            <w:r w:rsidRPr="00416D67">
              <w:rPr>
                <w:rFonts w:ascii="Arial" w:hAnsi="Arial" w:cs="Arial"/>
                <w:color w:val="000000"/>
                <w:sz w:val="14"/>
                <w:szCs w:val="14"/>
              </w:rPr>
              <w:t>Funkcijska klasifikacija 106 Stanovanje</w:t>
            </w:r>
          </w:p>
        </w:tc>
        <w:tc>
          <w:tcPr>
            <w:tcW w:w="1148" w:type="dxa"/>
            <w:tcBorders>
              <w:top w:val="single" w:sz="4" w:space="0" w:color="auto"/>
              <w:left w:val="nil"/>
              <w:bottom w:val="single" w:sz="4" w:space="0" w:color="auto"/>
              <w:right w:val="single" w:sz="4" w:space="0" w:color="auto"/>
            </w:tcBorders>
            <w:noWrap/>
            <w:vAlign w:val="bottom"/>
            <w:hideMark/>
          </w:tcPr>
          <w:p w14:paraId="32482F96"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15.468,35</w:t>
            </w:r>
          </w:p>
        </w:tc>
        <w:tc>
          <w:tcPr>
            <w:tcW w:w="1200" w:type="dxa"/>
            <w:tcBorders>
              <w:top w:val="single" w:sz="4" w:space="0" w:color="auto"/>
              <w:left w:val="nil"/>
              <w:bottom w:val="single" w:sz="4" w:space="0" w:color="auto"/>
              <w:right w:val="single" w:sz="4" w:space="0" w:color="auto"/>
            </w:tcBorders>
            <w:noWrap/>
            <w:vAlign w:val="bottom"/>
            <w:hideMark/>
          </w:tcPr>
          <w:p w14:paraId="16566BAE"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71.600,00</w:t>
            </w:r>
          </w:p>
        </w:tc>
        <w:tc>
          <w:tcPr>
            <w:tcW w:w="1169" w:type="dxa"/>
            <w:tcBorders>
              <w:top w:val="single" w:sz="4" w:space="0" w:color="auto"/>
              <w:left w:val="nil"/>
              <w:bottom w:val="single" w:sz="4" w:space="0" w:color="auto"/>
              <w:right w:val="single" w:sz="4" w:space="0" w:color="auto"/>
            </w:tcBorders>
            <w:noWrap/>
            <w:vAlign w:val="bottom"/>
            <w:hideMark/>
          </w:tcPr>
          <w:p w14:paraId="0C6DB20E"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74.340,00</w:t>
            </w:r>
          </w:p>
        </w:tc>
        <w:tc>
          <w:tcPr>
            <w:tcW w:w="1220" w:type="dxa"/>
            <w:tcBorders>
              <w:top w:val="single" w:sz="4" w:space="0" w:color="auto"/>
              <w:left w:val="nil"/>
              <w:bottom w:val="single" w:sz="4" w:space="0" w:color="auto"/>
              <w:right w:val="single" w:sz="4" w:space="0" w:color="auto"/>
            </w:tcBorders>
            <w:noWrap/>
            <w:vAlign w:val="bottom"/>
            <w:hideMark/>
          </w:tcPr>
          <w:p w14:paraId="67546D45"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20.277,95</w:t>
            </w:r>
          </w:p>
        </w:tc>
        <w:tc>
          <w:tcPr>
            <w:tcW w:w="785" w:type="dxa"/>
            <w:tcBorders>
              <w:top w:val="single" w:sz="4" w:space="0" w:color="auto"/>
              <w:left w:val="nil"/>
              <w:bottom w:val="single" w:sz="4" w:space="0" w:color="auto"/>
              <w:right w:val="single" w:sz="4" w:space="0" w:color="auto"/>
            </w:tcBorders>
            <w:noWrap/>
            <w:vAlign w:val="bottom"/>
            <w:hideMark/>
          </w:tcPr>
          <w:p w14:paraId="2CF0D406"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131,09%</w:t>
            </w:r>
          </w:p>
        </w:tc>
        <w:tc>
          <w:tcPr>
            <w:tcW w:w="795" w:type="dxa"/>
            <w:tcBorders>
              <w:top w:val="single" w:sz="4" w:space="0" w:color="auto"/>
              <w:left w:val="nil"/>
              <w:bottom w:val="single" w:sz="4" w:space="0" w:color="auto"/>
              <w:right w:val="single" w:sz="4" w:space="0" w:color="auto"/>
            </w:tcBorders>
            <w:noWrap/>
            <w:vAlign w:val="bottom"/>
            <w:hideMark/>
          </w:tcPr>
          <w:p w14:paraId="2E02A97F"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27,28%</w:t>
            </w:r>
          </w:p>
        </w:tc>
      </w:tr>
      <w:tr w:rsidR="00416D67" w:rsidRPr="00416D67" w14:paraId="40E142E6"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noWrap/>
            <w:vAlign w:val="bottom"/>
            <w:hideMark/>
          </w:tcPr>
          <w:p w14:paraId="5C14B881" w14:textId="77777777" w:rsidR="00416D67" w:rsidRPr="00416D67" w:rsidRDefault="00416D67" w:rsidP="00416D67">
            <w:pPr>
              <w:rPr>
                <w:rFonts w:ascii="Arial" w:hAnsi="Arial" w:cs="Arial"/>
                <w:color w:val="000000"/>
                <w:sz w:val="14"/>
                <w:szCs w:val="14"/>
              </w:rPr>
            </w:pPr>
            <w:r w:rsidRPr="00416D67">
              <w:rPr>
                <w:rFonts w:ascii="Arial" w:hAnsi="Arial" w:cs="Arial"/>
                <w:color w:val="000000"/>
                <w:sz w:val="14"/>
                <w:szCs w:val="14"/>
              </w:rPr>
              <w:t>Funkcijska klasifikacija 107 Socijalna pomoć stanovništvu koje nije obuhvaćeno redovnim socijalnim programima</w:t>
            </w:r>
          </w:p>
        </w:tc>
        <w:tc>
          <w:tcPr>
            <w:tcW w:w="1148" w:type="dxa"/>
            <w:tcBorders>
              <w:top w:val="single" w:sz="4" w:space="0" w:color="auto"/>
              <w:left w:val="nil"/>
              <w:bottom w:val="single" w:sz="4" w:space="0" w:color="auto"/>
              <w:right w:val="single" w:sz="4" w:space="0" w:color="auto"/>
            </w:tcBorders>
            <w:noWrap/>
            <w:vAlign w:val="bottom"/>
            <w:hideMark/>
          </w:tcPr>
          <w:p w14:paraId="21F70FEC"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58.782,59</w:t>
            </w:r>
          </w:p>
        </w:tc>
        <w:tc>
          <w:tcPr>
            <w:tcW w:w="1200" w:type="dxa"/>
            <w:tcBorders>
              <w:top w:val="single" w:sz="4" w:space="0" w:color="auto"/>
              <w:left w:val="nil"/>
              <w:bottom w:val="single" w:sz="4" w:space="0" w:color="auto"/>
              <w:right w:val="single" w:sz="4" w:space="0" w:color="auto"/>
            </w:tcBorders>
            <w:noWrap/>
            <w:vAlign w:val="bottom"/>
            <w:hideMark/>
          </w:tcPr>
          <w:p w14:paraId="1E2A8928"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134.262,00</w:t>
            </w:r>
          </w:p>
        </w:tc>
        <w:tc>
          <w:tcPr>
            <w:tcW w:w="1169" w:type="dxa"/>
            <w:tcBorders>
              <w:top w:val="single" w:sz="4" w:space="0" w:color="auto"/>
              <w:left w:val="nil"/>
              <w:bottom w:val="single" w:sz="4" w:space="0" w:color="auto"/>
              <w:right w:val="single" w:sz="4" w:space="0" w:color="auto"/>
            </w:tcBorders>
            <w:noWrap/>
            <w:vAlign w:val="bottom"/>
            <w:hideMark/>
          </w:tcPr>
          <w:p w14:paraId="60DC94C0"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138.102,00</w:t>
            </w:r>
          </w:p>
        </w:tc>
        <w:tc>
          <w:tcPr>
            <w:tcW w:w="1220" w:type="dxa"/>
            <w:tcBorders>
              <w:top w:val="single" w:sz="4" w:space="0" w:color="auto"/>
              <w:left w:val="nil"/>
              <w:bottom w:val="single" w:sz="4" w:space="0" w:color="auto"/>
              <w:right w:val="single" w:sz="4" w:space="0" w:color="auto"/>
            </w:tcBorders>
            <w:noWrap/>
            <w:vAlign w:val="bottom"/>
            <w:hideMark/>
          </w:tcPr>
          <w:p w14:paraId="0943860F"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126.384,24</w:t>
            </w:r>
          </w:p>
        </w:tc>
        <w:tc>
          <w:tcPr>
            <w:tcW w:w="785" w:type="dxa"/>
            <w:tcBorders>
              <w:top w:val="single" w:sz="4" w:space="0" w:color="auto"/>
              <w:left w:val="nil"/>
              <w:bottom w:val="single" w:sz="4" w:space="0" w:color="auto"/>
              <w:right w:val="single" w:sz="4" w:space="0" w:color="auto"/>
            </w:tcBorders>
            <w:noWrap/>
            <w:vAlign w:val="bottom"/>
            <w:hideMark/>
          </w:tcPr>
          <w:p w14:paraId="7E7AAE09"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215,00%</w:t>
            </w:r>
          </w:p>
        </w:tc>
        <w:tc>
          <w:tcPr>
            <w:tcW w:w="795" w:type="dxa"/>
            <w:tcBorders>
              <w:top w:val="single" w:sz="4" w:space="0" w:color="auto"/>
              <w:left w:val="nil"/>
              <w:bottom w:val="single" w:sz="4" w:space="0" w:color="auto"/>
              <w:right w:val="single" w:sz="4" w:space="0" w:color="auto"/>
            </w:tcBorders>
            <w:noWrap/>
            <w:vAlign w:val="bottom"/>
            <w:hideMark/>
          </w:tcPr>
          <w:p w14:paraId="43737F23"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91,52%</w:t>
            </w:r>
          </w:p>
        </w:tc>
      </w:tr>
      <w:tr w:rsidR="00416D67" w:rsidRPr="00416D67" w14:paraId="0D20AFA8" w14:textId="77777777" w:rsidTr="00BB1392">
        <w:trPr>
          <w:trHeight w:val="195"/>
        </w:trPr>
        <w:tc>
          <w:tcPr>
            <w:tcW w:w="7003" w:type="dxa"/>
            <w:tcBorders>
              <w:top w:val="single" w:sz="4" w:space="0" w:color="auto"/>
              <w:left w:val="single" w:sz="4" w:space="0" w:color="auto"/>
              <w:bottom w:val="single" w:sz="4" w:space="0" w:color="auto"/>
              <w:right w:val="single" w:sz="4" w:space="0" w:color="auto"/>
            </w:tcBorders>
            <w:vAlign w:val="bottom"/>
            <w:hideMark/>
          </w:tcPr>
          <w:p w14:paraId="1CD03B96" w14:textId="77777777" w:rsidR="00416D67" w:rsidRPr="00416D67" w:rsidRDefault="00416D67" w:rsidP="00416D67">
            <w:pPr>
              <w:rPr>
                <w:rFonts w:ascii="Arial" w:hAnsi="Arial" w:cs="Arial"/>
                <w:color w:val="000000"/>
                <w:sz w:val="14"/>
                <w:szCs w:val="14"/>
              </w:rPr>
            </w:pPr>
            <w:r w:rsidRPr="00416D67">
              <w:rPr>
                <w:rFonts w:ascii="Arial" w:hAnsi="Arial" w:cs="Arial"/>
                <w:color w:val="000000"/>
                <w:sz w:val="14"/>
                <w:szCs w:val="14"/>
              </w:rPr>
              <w:t>Funkcijska klasifikacija 109 Aktivnosti socijalne zaštite koje nisu drugdje svrstane</w:t>
            </w:r>
          </w:p>
        </w:tc>
        <w:tc>
          <w:tcPr>
            <w:tcW w:w="1148" w:type="dxa"/>
            <w:tcBorders>
              <w:top w:val="single" w:sz="4" w:space="0" w:color="auto"/>
              <w:left w:val="nil"/>
              <w:bottom w:val="single" w:sz="4" w:space="0" w:color="auto"/>
              <w:right w:val="single" w:sz="4" w:space="0" w:color="auto"/>
            </w:tcBorders>
            <w:noWrap/>
            <w:vAlign w:val="bottom"/>
            <w:hideMark/>
          </w:tcPr>
          <w:p w14:paraId="7B8AAEA6"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159.216,92</w:t>
            </w:r>
          </w:p>
        </w:tc>
        <w:tc>
          <w:tcPr>
            <w:tcW w:w="1200" w:type="dxa"/>
            <w:tcBorders>
              <w:top w:val="single" w:sz="4" w:space="0" w:color="auto"/>
              <w:left w:val="nil"/>
              <w:bottom w:val="single" w:sz="4" w:space="0" w:color="auto"/>
              <w:right w:val="single" w:sz="4" w:space="0" w:color="auto"/>
            </w:tcBorders>
            <w:noWrap/>
            <w:vAlign w:val="bottom"/>
            <w:hideMark/>
          </w:tcPr>
          <w:p w14:paraId="125B093F"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52.620,00</w:t>
            </w:r>
          </w:p>
        </w:tc>
        <w:tc>
          <w:tcPr>
            <w:tcW w:w="1169" w:type="dxa"/>
            <w:tcBorders>
              <w:top w:val="single" w:sz="4" w:space="0" w:color="auto"/>
              <w:left w:val="nil"/>
              <w:bottom w:val="single" w:sz="4" w:space="0" w:color="auto"/>
              <w:right w:val="single" w:sz="4" w:space="0" w:color="auto"/>
            </w:tcBorders>
            <w:noWrap/>
            <w:vAlign w:val="bottom"/>
            <w:hideMark/>
          </w:tcPr>
          <w:p w14:paraId="497E81F0"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52.620,00</w:t>
            </w:r>
          </w:p>
        </w:tc>
        <w:tc>
          <w:tcPr>
            <w:tcW w:w="1220" w:type="dxa"/>
            <w:tcBorders>
              <w:top w:val="single" w:sz="4" w:space="0" w:color="auto"/>
              <w:left w:val="nil"/>
              <w:bottom w:val="single" w:sz="4" w:space="0" w:color="auto"/>
              <w:right w:val="single" w:sz="4" w:space="0" w:color="auto"/>
            </w:tcBorders>
            <w:noWrap/>
            <w:vAlign w:val="bottom"/>
            <w:hideMark/>
          </w:tcPr>
          <w:p w14:paraId="154BBC0B"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48.933,51</w:t>
            </w:r>
          </w:p>
        </w:tc>
        <w:tc>
          <w:tcPr>
            <w:tcW w:w="785" w:type="dxa"/>
            <w:tcBorders>
              <w:top w:val="single" w:sz="4" w:space="0" w:color="auto"/>
              <w:left w:val="nil"/>
              <w:bottom w:val="single" w:sz="4" w:space="0" w:color="auto"/>
              <w:right w:val="single" w:sz="4" w:space="0" w:color="auto"/>
            </w:tcBorders>
            <w:noWrap/>
            <w:vAlign w:val="bottom"/>
            <w:hideMark/>
          </w:tcPr>
          <w:p w14:paraId="15799C09"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30,73%</w:t>
            </w:r>
          </w:p>
        </w:tc>
        <w:tc>
          <w:tcPr>
            <w:tcW w:w="795" w:type="dxa"/>
            <w:tcBorders>
              <w:top w:val="single" w:sz="4" w:space="0" w:color="auto"/>
              <w:left w:val="nil"/>
              <w:bottom w:val="single" w:sz="4" w:space="0" w:color="auto"/>
              <w:right w:val="single" w:sz="4" w:space="0" w:color="auto"/>
            </w:tcBorders>
            <w:noWrap/>
            <w:vAlign w:val="bottom"/>
            <w:hideMark/>
          </w:tcPr>
          <w:p w14:paraId="7563B4EC" w14:textId="77777777" w:rsidR="00416D67" w:rsidRPr="00416D67" w:rsidRDefault="00416D67" w:rsidP="00416D67">
            <w:pPr>
              <w:jc w:val="right"/>
              <w:rPr>
                <w:rFonts w:ascii="Arial" w:hAnsi="Arial" w:cs="Arial"/>
                <w:color w:val="000000"/>
                <w:sz w:val="14"/>
                <w:szCs w:val="14"/>
              </w:rPr>
            </w:pPr>
            <w:r w:rsidRPr="00416D67">
              <w:rPr>
                <w:rFonts w:ascii="Arial" w:hAnsi="Arial" w:cs="Arial"/>
                <w:color w:val="000000"/>
                <w:sz w:val="14"/>
                <w:szCs w:val="14"/>
              </w:rPr>
              <w:t>92,99%</w:t>
            </w:r>
          </w:p>
        </w:tc>
      </w:tr>
    </w:tbl>
    <w:p w14:paraId="39FF857E" w14:textId="77777777" w:rsidR="00416D67" w:rsidRPr="00416D67" w:rsidRDefault="00416D67" w:rsidP="00416D67">
      <w:pPr>
        <w:jc w:val="both"/>
        <w:rPr>
          <w:b/>
        </w:rPr>
      </w:pPr>
    </w:p>
    <w:p w14:paraId="1AB0F4DD" w14:textId="77777777" w:rsidR="00416D67" w:rsidRPr="00416D67" w:rsidRDefault="00416D67" w:rsidP="00416D67">
      <w:pPr>
        <w:jc w:val="center"/>
        <w:rPr>
          <w:b/>
        </w:rPr>
      </w:pPr>
    </w:p>
    <w:p w14:paraId="11AE7DB5" w14:textId="77777777" w:rsidR="00416D67" w:rsidRPr="00416D67" w:rsidRDefault="00416D67" w:rsidP="00416D67">
      <w:pPr>
        <w:jc w:val="center"/>
        <w:rPr>
          <w:b/>
        </w:rPr>
      </w:pPr>
    </w:p>
    <w:p w14:paraId="6E193DCD" w14:textId="77777777" w:rsidR="00416D67" w:rsidRPr="00416D67" w:rsidRDefault="00416D67" w:rsidP="00416D67">
      <w:pPr>
        <w:jc w:val="center"/>
        <w:rPr>
          <w:b/>
        </w:rPr>
      </w:pPr>
    </w:p>
    <w:p w14:paraId="5964D263" w14:textId="77777777" w:rsidR="00416D67" w:rsidRPr="00416D67" w:rsidRDefault="00416D67" w:rsidP="00416D67">
      <w:pPr>
        <w:jc w:val="center"/>
        <w:rPr>
          <w:b/>
        </w:rPr>
      </w:pPr>
    </w:p>
    <w:p w14:paraId="0BE815FB" w14:textId="77777777" w:rsidR="00416D67" w:rsidRPr="00416D67" w:rsidRDefault="00416D67" w:rsidP="00416D67">
      <w:pPr>
        <w:jc w:val="center"/>
        <w:rPr>
          <w:b/>
        </w:rPr>
      </w:pPr>
    </w:p>
    <w:p w14:paraId="619FF4E1" w14:textId="77777777" w:rsidR="00416D67" w:rsidRPr="00416D67" w:rsidRDefault="00416D67" w:rsidP="00416D67">
      <w:pPr>
        <w:jc w:val="center"/>
        <w:rPr>
          <w:b/>
        </w:rPr>
      </w:pPr>
    </w:p>
    <w:p w14:paraId="50824C81" w14:textId="77777777" w:rsidR="00416D67" w:rsidRPr="00416D67" w:rsidRDefault="00416D67" w:rsidP="00416D67">
      <w:pPr>
        <w:ind w:left="851"/>
        <w:jc w:val="both"/>
        <w:rPr>
          <w:b/>
        </w:rPr>
      </w:pPr>
      <w:r w:rsidRPr="00416D67">
        <w:rPr>
          <w:b/>
        </w:rPr>
        <w:t>B. RAČUN PRIHODA I RASHODA</w:t>
      </w:r>
    </w:p>
    <w:p w14:paraId="31BDD8DD" w14:textId="77777777" w:rsidR="00416D67" w:rsidRPr="00416D67" w:rsidRDefault="00416D67" w:rsidP="00416D67">
      <w:pPr>
        <w:jc w:val="both"/>
        <w:rPr>
          <w:b/>
        </w:rPr>
      </w:pPr>
      <w:r w:rsidRPr="00416D67">
        <w:rPr>
          <w:b/>
        </w:rPr>
        <w:t xml:space="preserve">Račun financiranja prema ekonomskoj klasifikaciji sa analitičkim prikazom primljenog kredita i otplate </w:t>
      </w:r>
    </w:p>
    <w:p w14:paraId="5B35749E" w14:textId="77777777" w:rsidR="00416D67" w:rsidRPr="00416D67" w:rsidRDefault="00416D67" w:rsidP="00416D67">
      <w:pPr>
        <w:jc w:val="both"/>
        <w:rPr>
          <w:b/>
          <w:sz w:val="20"/>
          <w:szCs w:val="20"/>
        </w:rPr>
      </w:pPr>
    </w:p>
    <w:tbl>
      <w:tblPr>
        <w:tblW w:w="13440" w:type="dxa"/>
        <w:tblInd w:w="93" w:type="dxa"/>
        <w:tblLook w:val="04A0" w:firstRow="1" w:lastRow="0" w:firstColumn="1" w:lastColumn="0" w:noHBand="0" w:noVBand="1"/>
      </w:tblPr>
      <w:tblGrid>
        <w:gridCol w:w="6500"/>
        <w:gridCol w:w="1300"/>
        <w:gridCol w:w="1280"/>
        <w:gridCol w:w="1300"/>
        <w:gridCol w:w="1160"/>
        <w:gridCol w:w="940"/>
        <w:gridCol w:w="960"/>
      </w:tblGrid>
      <w:tr w:rsidR="00416D67" w:rsidRPr="00416D67" w14:paraId="7227246B" w14:textId="77777777" w:rsidTr="00BB1392">
        <w:trPr>
          <w:trHeight w:val="810"/>
        </w:trPr>
        <w:tc>
          <w:tcPr>
            <w:tcW w:w="65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CC7C58A" w14:textId="77777777" w:rsidR="00416D67" w:rsidRPr="00416D67" w:rsidRDefault="00416D67" w:rsidP="00416D67">
            <w:pPr>
              <w:jc w:val="center"/>
              <w:rPr>
                <w:rFonts w:ascii="Arial" w:hAnsi="Arial" w:cs="Arial"/>
                <w:b/>
                <w:bCs/>
                <w:sz w:val="14"/>
                <w:szCs w:val="14"/>
              </w:rPr>
            </w:pPr>
            <w:proofErr w:type="spellStart"/>
            <w:r w:rsidRPr="00416D67">
              <w:rPr>
                <w:rFonts w:ascii="Arial" w:hAnsi="Arial" w:cs="Arial"/>
                <w:b/>
                <w:bCs/>
                <w:sz w:val="14"/>
                <w:szCs w:val="14"/>
              </w:rPr>
              <w:t>Racun</w:t>
            </w:r>
            <w:proofErr w:type="spellEnd"/>
            <w:r w:rsidRPr="00416D67">
              <w:rPr>
                <w:rFonts w:ascii="Arial" w:hAnsi="Arial" w:cs="Arial"/>
                <w:b/>
                <w:bCs/>
                <w:sz w:val="14"/>
                <w:szCs w:val="14"/>
              </w:rPr>
              <w:t>/Opis</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06F20771"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2024. godina</w:t>
            </w:r>
          </w:p>
        </w:tc>
        <w:tc>
          <w:tcPr>
            <w:tcW w:w="1280" w:type="dxa"/>
            <w:tcBorders>
              <w:top w:val="single" w:sz="4" w:space="0" w:color="auto"/>
              <w:left w:val="nil"/>
              <w:bottom w:val="single" w:sz="4" w:space="0" w:color="auto"/>
              <w:right w:val="single" w:sz="4" w:space="0" w:color="auto"/>
            </w:tcBorders>
            <w:shd w:val="clear" w:color="000000" w:fill="D9D9D9"/>
            <w:vAlign w:val="center"/>
            <w:hideMark/>
          </w:tcPr>
          <w:p w14:paraId="0E143865"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38C432F7"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160" w:type="dxa"/>
            <w:tcBorders>
              <w:top w:val="single" w:sz="4" w:space="0" w:color="auto"/>
              <w:left w:val="nil"/>
              <w:bottom w:val="single" w:sz="4" w:space="0" w:color="auto"/>
              <w:right w:val="single" w:sz="4" w:space="0" w:color="auto"/>
            </w:tcBorders>
            <w:shd w:val="clear" w:color="000000" w:fill="D9D9D9"/>
            <w:vAlign w:val="center"/>
            <w:hideMark/>
          </w:tcPr>
          <w:p w14:paraId="59E3F104"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940" w:type="dxa"/>
            <w:tcBorders>
              <w:top w:val="single" w:sz="4" w:space="0" w:color="auto"/>
              <w:left w:val="nil"/>
              <w:bottom w:val="single" w:sz="4" w:space="0" w:color="auto"/>
              <w:right w:val="single" w:sz="4" w:space="0" w:color="auto"/>
            </w:tcBorders>
            <w:shd w:val="clear" w:color="000000" w:fill="D9D9D9"/>
            <w:vAlign w:val="center"/>
            <w:hideMark/>
          </w:tcPr>
          <w:p w14:paraId="18A204A4"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4/1</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1A98C76B"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4/3</w:t>
            </w:r>
          </w:p>
        </w:tc>
      </w:tr>
      <w:tr w:rsidR="00416D67" w:rsidRPr="00416D67" w14:paraId="5EB04543" w14:textId="77777777" w:rsidTr="00BB1392">
        <w:trPr>
          <w:trHeight w:val="195"/>
        </w:trPr>
        <w:tc>
          <w:tcPr>
            <w:tcW w:w="65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2AD00D3" w14:textId="77777777" w:rsidR="00416D67" w:rsidRPr="00416D67" w:rsidRDefault="00416D67" w:rsidP="00416D67">
            <w:pPr>
              <w:jc w:val="center"/>
              <w:rPr>
                <w:rFonts w:ascii="Arial" w:hAnsi="Arial" w:cs="Arial"/>
                <w:b/>
                <w:bCs/>
                <w:sz w:val="14"/>
                <w:szCs w:val="14"/>
              </w:rPr>
            </w:pPr>
            <w:r w:rsidRPr="00416D67">
              <w:rPr>
                <w:rFonts w:ascii="Arial" w:hAnsi="Arial" w:cs="Arial"/>
                <w:b/>
                <w:bCs/>
                <w:sz w:val="14"/>
                <w:szCs w:val="14"/>
              </w:rPr>
              <w:t>B. RAČUN ZADUŽIVANJA FINANCIRANJA</w:t>
            </w:r>
          </w:p>
        </w:tc>
        <w:tc>
          <w:tcPr>
            <w:tcW w:w="1300" w:type="dxa"/>
            <w:tcBorders>
              <w:top w:val="single" w:sz="4" w:space="0" w:color="auto"/>
              <w:left w:val="nil"/>
              <w:bottom w:val="single" w:sz="4" w:space="0" w:color="auto"/>
              <w:right w:val="single" w:sz="4" w:space="0" w:color="auto"/>
            </w:tcBorders>
            <w:shd w:val="clear" w:color="000000" w:fill="D9D9D9"/>
            <w:noWrap/>
            <w:vAlign w:val="bottom"/>
            <w:hideMark/>
          </w:tcPr>
          <w:p w14:paraId="2205847B"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1</w:t>
            </w:r>
          </w:p>
        </w:tc>
        <w:tc>
          <w:tcPr>
            <w:tcW w:w="1280" w:type="dxa"/>
            <w:tcBorders>
              <w:top w:val="single" w:sz="4" w:space="0" w:color="auto"/>
              <w:left w:val="nil"/>
              <w:bottom w:val="single" w:sz="4" w:space="0" w:color="auto"/>
              <w:right w:val="single" w:sz="4" w:space="0" w:color="auto"/>
            </w:tcBorders>
            <w:shd w:val="clear" w:color="000000" w:fill="D9D9D9"/>
            <w:noWrap/>
            <w:vAlign w:val="bottom"/>
            <w:hideMark/>
          </w:tcPr>
          <w:p w14:paraId="48B836C1"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2</w:t>
            </w:r>
          </w:p>
        </w:tc>
        <w:tc>
          <w:tcPr>
            <w:tcW w:w="1300" w:type="dxa"/>
            <w:tcBorders>
              <w:top w:val="single" w:sz="4" w:space="0" w:color="auto"/>
              <w:left w:val="nil"/>
              <w:bottom w:val="single" w:sz="4" w:space="0" w:color="auto"/>
              <w:right w:val="single" w:sz="4" w:space="0" w:color="auto"/>
            </w:tcBorders>
            <w:shd w:val="clear" w:color="000000" w:fill="D9D9D9"/>
            <w:noWrap/>
            <w:vAlign w:val="bottom"/>
            <w:hideMark/>
          </w:tcPr>
          <w:p w14:paraId="5E195C4F"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3</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14:paraId="0DF72682"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4</w:t>
            </w:r>
          </w:p>
        </w:tc>
        <w:tc>
          <w:tcPr>
            <w:tcW w:w="940" w:type="dxa"/>
            <w:tcBorders>
              <w:top w:val="single" w:sz="4" w:space="0" w:color="auto"/>
              <w:left w:val="nil"/>
              <w:bottom w:val="single" w:sz="4" w:space="0" w:color="auto"/>
              <w:right w:val="single" w:sz="4" w:space="0" w:color="auto"/>
            </w:tcBorders>
            <w:shd w:val="clear" w:color="000000" w:fill="D9D9D9"/>
            <w:noWrap/>
            <w:vAlign w:val="bottom"/>
            <w:hideMark/>
          </w:tcPr>
          <w:p w14:paraId="5D8CFA9A"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5</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14:paraId="0476DAB0"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6</w:t>
            </w:r>
          </w:p>
        </w:tc>
      </w:tr>
      <w:tr w:rsidR="00416D67" w:rsidRPr="00416D67" w14:paraId="7C981BFE" w14:textId="77777777" w:rsidTr="00BB1392">
        <w:trPr>
          <w:trHeight w:val="195"/>
        </w:trPr>
        <w:tc>
          <w:tcPr>
            <w:tcW w:w="6500" w:type="dxa"/>
            <w:tcBorders>
              <w:top w:val="single" w:sz="4" w:space="0" w:color="auto"/>
              <w:left w:val="single" w:sz="4" w:space="0" w:color="auto"/>
              <w:bottom w:val="single" w:sz="4" w:space="0" w:color="auto"/>
              <w:right w:val="single" w:sz="4" w:space="0" w:color="auto"/>
            </w:tcBorders>
            <w:noWrap/>
            <w:vAlign w:val="bottom"/>
            <w:hideMark/>
          </w:tcPr>
          <w:p w14:paraId="2B5E057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8 Primici od financijske imovine i zaduživanja</w:t>
            </w:r>
          </w:p>
        </w:tc>
        <w:tc>
          <w:tcPr>
            <w:tcW w:w="1300" w:type="dxa"/>
            <w:tcBorders>
              <w:top w:val="single" w:sz="4" w:space="0" w:color="auto"/>
              <w:left w:val="nil"/>
              <w:bottom w:val="single" w:sz="4" w:space="0" w:color="auto"/>
              <w:right w:val="single" w:sz="4" w:space="0" w:color="auto"/>
            </w:tcBorders>
            <w:noWrap/>
            <w:vAlign w:val="bottom"/>
            <w:hideMark/>
          </w:tcPr>
          <w:p w14:paraId="51037B5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280" w:type="dxa"/>
            <w:tcBorders>
              <w:top w:val="single" w:sz="4" w:space="0" w:color="auto"/>
              <w:left w:val="nil"/>
              <w:bottom w:val="single" w:sz="4" w:space="0" w:color="auto"/>
              <w:right w:val="single" w:sz="4" w:space="0" w:color="auto"/>
            </w:tcBorders>
            <w:noWrap/>
            <w:vAlign w:val="bottom"/>
            <w:hideMark/>
          </w:tcPr>
          <w:p w14:paraId="0D9EC64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70.000,00</w:t>
            </w:r>
          </w:p>
        </w:tc>
        <w:tc>
          <w:tcPr>
            <w:tcW w:w="1300" w:type="dxa"/>
            <w:tcBorders>
              <w:top w:val="single" w:sz="4" w:space="0" w:color="auto"/>
              <w:left w:val="nil"/>
              <w:bottom w:val="single" w:sz="4" w:space="0" w:color="auto"/>
              <w:right w:val="single" w:sz="4" w:space="0" w:color="auto"/>
            </w:tcBorders>
            <w:noWrap/>
            <w:vAlign w:val="bottom"/>
            <w:hideMark/>
          </w:tcPr>
          <w:p w14:paraId="1F28F18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70.000,00</w:t>
            </w:r>
          </w:p>
        </w:tc>
        <w:tc>
          <w:tcPr>
            <w:tcW w:w="1160" w:type="dxa"/>
            <w:tcBorders>
              <w:top w:val="single" w:sz="4" w:space="0" w:color="auto"/>
              <w:left w:val="nil"/>
              <w:bottom w:val="single" w:sz="4" w:space="0" w:color="auto"/>
              <w:right w:val="single" w:sz="4" w:space="0" w:color="auto"/>
            </w:tcBorders>
            <w:noWrap/>
            <w:vAlign w:val="bottom"/>
            <w:hideMark/>
          </w:tcPr>
          <w:p w14:paraId="00C58A5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42.776,75</w:t>
            </w:r>
          </w:p>
        </w:tc>
        <w:tc>
          <w:tcPr>
            <w:tcW w:w="940" w:type="dxa"/>
            <w:tcBorders>
              <w:top w:val="single" w:sz="4" w:space="0" w:color="auto"/>
              <w:left w:val="nil"/>
              <w:bottom w:val="single" w:sz="4" w:space="0" w:color="auto"/>
              <w:right w:val="single" w:sz="4" w:space="0" w:color="auto"/>
            </w:tcBorders>
            <w:noWrap/>
            <w:vAlign w:val="bottom"/>
            <w:hideMark/>
          </w:tcPr>
          <w:p w14:paraId="35586F4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960" w:type="dxa"/>
            <w:tcBorders>
              <w:top w:val="single" w:sz="4" w:space="0" w:color="auto"/>
              <w:left w:val="nil"/>
              <w:bottom w:val="single" w:sz="4" w:space="0" w:color="auto"/>
              <w:right w:val="single" w:sz="4" w:space="0" w:color="auto"/>
            </w:tcBorders>
            <w:noWrap/>
            <w:vAlign w:val="bottom"/>
            <w:hideMark/>
          </w:tcPr>
          <w:p w14:paraId="1CB23B4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61,11%</w:t>
            </w:r>
          </w:p>
        </w:tc>
      </w:tr>
      <w:tr w:rsidR="00416D67" w:rsidRPr="00416D67" w14:paraId="3BB1693D" w14:textId="77777777" w:rsidTr="00BB1392">
        <w:trPr>
          <w:trHeight w:val="195"/>
        </w:trPr>
        <w:tc>
          <w:tcPr>
            <w:tcW w:w="6500" w:type="dxa"/>
            <w:tcBorders>
              <w:top w:val="single" w:sz="4" w:space="0" w:color="auto"/>
              <w:left w:val="single" w:sz="4" w:space="0" w:color="auto"/>
              <w:bottom w:val="single" w:sz="4" w:space="0" w:color="auto"/>
              <w:right w:val="single" w:sz="4" w:space="0" w:color="auto"/>
            </w:tcBorders>
            <w:noWrap/>
            <w:vAlign w:val="bottom"/>
            <w:hideMark/>
          </w:tcPr>
          <w:p w14:paraId="7276CCA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81 Primljeni povrati glavnica danih zajmova</w:t>
            </w:r>
          </w:p>
        </w:tc>
        <w:tc>
          <w:tcPr>
            <w:tcW w:w="1300" w:type="dxa"/>
            <w:tcBorders>
              <w:top w:val="single" w:sz="4" w:space="0" w:color="auto"/>
              <w:left w:val="nil"/>
              <w:bottom w:val="single" w:sz="4" w:space="0" w:color="auto"/>
              <w:right w:val="single" w:sz="4" w:space="0" w:color="auto"/>
            </w:tcBorders>
            <w:noWrap/>
            <w:vAlign w:val="bottom"/>
            <w:hideMark/>
          </w:tcPr>
          <w:p w14:paraId="52952D8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280" w:type="dxa"/>
            <w:tcBorders>
              <w:top w:val="single" w:sz="4" w:space="0" w:color="auto"/>
              <w:left w:val="nil"/>
              <w:bottom w:val="single" w:sz="4" w:space="0" w:color="auto"/>
              <w:right w:val="single" w:sz="4" w:space="0" w:color="auto"/>
            </w:tcBorders>
            <w:noWrap/>
            <w:vAlign w:val="bottom"/>
            <w:hideMark/>
          </w:tcPr>
          <w:p w14:paraId="40017E2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70.000,00</w:t>
            </w:r>
          </w:p>
        </w:tc>
        <w:tc>
          <w:tcPr>
            <w:tcW w:w="1300" w:type="dxa"/>
            <w:tcBorders>
              <w:top w:val="single" w:sz="4" w:space="0" w:color="auto"/>
              <w:left w:val="nil"/>
              <w:bottom w:val="single" w:sz="4" w:space="0" w:color="auto"/>
              <w:right w:val="single" w:sz="4" w:space="0" w:color="auto"/>
            </w:tcBorders>
            <w:noWrap/>
            <w:vAlign w:val="bottom"/>
            <w:hideMark/>
          </w:tcPr>
          <w:p w14:paraId="145232C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70.000,00</w:t>
            </w:r>
          </w:p>
        </w:tc>
        <w:tc>
          <w:tcPr>
            <w:tcW w:w="1160" w:type="dxa"/>
            <w:tcBorders>
              <w:top w:val="single" w:sz="4" w:space="0" w:color="auto"/>
              <w:left w:val="nil"/>
              <w:bottom w:val="single" w:sz="4" w:space="0" w:color="auto"/>
              <w:right w:val="single" w:sz="4" w:space="0" w:color="auto"/>
            </w:tcBorders>
            <w:noWrap/>
            <w:vAlign w:val="bottom"/>
            <w:hideMark/>
          </w:tcPr>
          <w:p w14:paraId="3073D3F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42.776,75</w:t>
            </w:r>
          </w:p>
        </w:tc>
        <w:tc>
          <w:tcPr>
            <w:tcW w:w="940" w:type="dxa"/>
            <w:tcBorders>
              <w:top w:val="single" w:sz="4" w:space="0" w:color="auto"/>
              <w:left w:val="nil"/>
              <w:bottom w:val="single" w:sz="4" w:space="0" w:color="auto"/>
              <w:right w:val="single" w:sz="4" w:space="0" w:color="auto"/>
            </w:tcBorders>
            <w:noWrap/>
            <w:vAlign w:val="bottom"/>
            <w:hideMark/>
          </w:tcPr>
          <w:p w14:paraId="669871D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960" w:type="dxa"/>
            <w:tcBorders>
              <w:top w:val="single" w:sz="4" w:space="0" w:color="auto"/>
              <w:left w:val="nil"/>
              <w:bottom w:val="single" w:sz="4" w:space="0" w:color="auto"/>
              <w:right w:val="single" w:sz="4" w:space="0" w:color="auto"/>
            </w:tcBorders>
            <w:noWrap/>
            <w:vAlign w:val="bottom"/>
            <w:hideMark/>
          </w:tcPr>
          <w:p w14:paraId="01552D2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61,11%</w:t>
            </w:r>
          </w:p>
        </w:tc>
      </w:tr>
      <w:tr w:rsidR="00416D67" w:rsidRPr="00416D67" w14:paraId="5F3C8314" w14:textId="77777777" w:rsidTr="00BB1392">
        <w:trPr>
          <w:trHeight w:val="195"/>
        </w:trPr>
        <w:tc>
          <w:tcPr>
            <w:tcW w:w="6500" w:type="dxa"/>
            <w:tcBorders>
              <w:top w:val="single" w:sz="4" w:space="0" w:color="auto"/>
              <w:left w:val="single" w:sz="4" w:space="0" w:color="auto"/>
              <w:bottom w:val="single" w:sz="4" w:space="0" w:color="auto"/>
              <w:right w:val="single" w:sz="4" w:space="0" w:color="auto"/>
            </w:tcBorders>
            <w:noWrap/>
            <w:vAlign w:val="bottom"/>
            <w:hideMark/>
          </w:tcPr>
          <w:p w14:paraId="201F149E" w14:textId="77777777" w:rsidR="00416D67" w:rsidRPr="00416D67" w:rsidRDefault="00416D67" w:rsidP="00416D67">
            <w:pPr>
              <w:rPr>
                <w:rFonts w:ascii="Arial" w:hAnsi="Arial" w:cs="Arial"/>
                <w:sz w:val="14"/>
                <w:szCs w:val="14"/>
              </w:rPr>
            </w:pPr>
            <w:r w:rsidRPr="00416D67">
              <w:rPr>
                <w:rFonts w:ascii="Arial" w:hAnsi="Arial" w:cs="Arial"/>
                <w:sz w:val="14"/>
                <w:szCs w:val="14"/>
              </w:rPr>
              <w:t>812 Primici (povrati) glavnice zajmova danih neprofitnim organizacijama, građanima i kućanstvima</w:t>
            </w:r>
          </w:p>
        </w:tc>
        <w:tc>
          <w:tcPr>
            <w:tcW w:w="1300" w:type="dxa"/>
            <w:tcBorders>
              <w:top w:val="single" w:sz="4" w:space="0" w:color="auto"/>
              <w:left w:val="nil"/>
              <w:bottom w:val="single" w:sz="4" w:space="0" w:color="auto"/>
              <w:right w:val="single" w:sz="4" w:space="0" w:color="auto"/>
            </w:tcBorders>
            <w:noWrap/>
            <w:vAlign w:val="bottom"/>
            <w:hideMark/>
          </w:tcPr>
          <w:p w14:paraId="6366ACF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80" w:type="dxa"/>
            <w:tcBorders>
              <w:top w:val="single" w:sz="4" w:space="0" w:color="auto"/>
              <w:left w:val="nil"/>
              <w:bottom w:val="single" w:sz="4" w:space="0" w:color="auto"/>
              <w:right w:val="single" w:sz="4" w:space="0" w:color="auto"/>
            </w:tcBorders>
            <w:noWrap/>
            <w:vAlign w:val="bottom"/>
            <w:hideMark/>
          </w:tcPr>
          <w:p w14:paraId="7506691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300" w:type="dxa"/>
            <w:tcBorders>
              <w:top w:val="single" w:sz="4" w:space="0" w:color="auto"/>
              <w:left w:val="nil"/>
              <w:bottom w:val="single" w:sz="4" w:space="0" w:color="auto"/>
              <w:right w:val="single" w:sz="4" w:space="0" w:color="auto"/>
            </w:tcBorders>
            <w:noWrap/>
            <w:vAlign w:val="bottom"/>
            <w:hideMark/>
          </w:tcPr>
          <w:p w14:paraId="11FA0CF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160" w:type="dxa"/>
            <w:tcBorders>
              <w:top w:val="single" w:sz="4" w:space="0" w:color="auto"/>
              <w:left w:val="nil"/>
              <w:bottom w:val="single" w:sz="4" w:space="0" w:color="auto"/>
              <w:right w:val="single" w:sz="4" w:space="0" w:color="auto"/>
            </w:tcBorders>
            <w:noWrap/>
            <w:vAlign w:val="bottom"/>
            <w:hideMark/>
          </w:tcPr>
          <w:p w14:paraId="40CF49F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40.000,00</w:t>
            </w:r>
          </w:p>
        </w:tc>
        <w:tc>
          <w:tcPr>
            <w:tcW w:w="940" w:type="dxa"/>
            <w:tcBorders>
              <w:top w:val="single" w:sz="4" w:space="0" w:color="auto"/>
              <w:left w:val="nil"/>
              <w:bottom w:val="single" w:sz="4" w:space="0" w:color="auto"/>
              <w:right w:val="single" w:sz="4" w:space="0" w:color="auto"/>
            </w:tcBorders>
            <w:noWrap/>
            <w:vAlign w:val="bottom"/>
            <w:hideMark/>
          </w:tcPr>
          <w:p w14:paraId="6B54C54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960" w:type="dxa"/>
            <w:tcBorders>
              <w:top w:val="single" w:sz="4" w:space="0" w:color="auto"/>
              <w:left w:val="nil"/>
              <w:bottom w:val="single" w:sz="4" w:space="0" w:color="auto"/>
              <w:right w:val="single" w:sz="4" w:space="0" w:color="auto"/>
            </w:tcBorders>
            <w:noWrap/>
            <w:vAlign w:val="bottom"/>
            <w:hideMark/>
          </w:tcPr>
          <w:p w14:paraId="2E21BC2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ED05769" w14:textId="77777777" w:rsidTr="00BB1392">
        <w:trPr>
          <w:trHeight w:val="195"/>
        </w:trPr>
        <w:tc>
          <w:tcPr>
            <w:tcW w:w="6500" w:type="dxa"/>
            <w:tcBorders>
              <w:top w:val="single" w:sz="4" w:space="0" w:color="auto"/>
              <w:left w:val="single" w:sz="4" w:space="0" w:color="auto"/>
              <w:bottom w:val="single" w:sz="4" w:space="0" w:color="auto"/>
              <w:right w:val="single" w:sz="4" w:space="0" w:color="auto"/>
            </w:tcBorders>
            <w:noWrap/>
            <w:vAlign w:val="bottom"/>
            <w:hideMark/>
          </w:tcPr>
          <w:p w14:paraId="2F7D7EB8" w14:textId="77777777" w:rsidR="00416D67" w:rsidRPr="00416D67" w:rsidRDefault="00416D67" w:rsidP="00416D67">
            <w:pPr>
              <w:rPr>
                <w:rFonts w:ascii="Arial" w:hAnsi="Arial" w:cs="Arial"/>
                <w:sz w:val="14"/>
                <w:szCs w:val="14"/>
              </w:rPr>
            </w:pPr>
            <w:r w:rsidRPr="00416D67">
              <w:rPr>
                <w:rFonts w:ascii="Arial" w:hAnsi="Arial" w:cs="Arial"/>
                <w:sz w:val="14"/>
                <w:szCs w:val="14"/>
              </w:rPr>
              <w:t>8121 Povrat zajmova danih neprofitnim organizacijama, građanima i kućanstvima u tuzemstvu</w:t>
            </w:r>
          </w:p>
        </w:tc>
        <w:tc>
          <w:tcPr>
            <w:tcW w:w="1300" w:type="dxa"/>
            <w:tcBorders>
              <w:top w:val="single" w:sz="4" w:space="0" w:color="auto"/>
              <w:left w:val="nil"/>
              <w:bottom w:val="single" w:sz="4" w:space="0" w:color="auto"/>
              <w:right w:val="single" w:sz="4" w:space="0" w:color="auto"/>
            </w:tcBorders>
            <w:noWrap/>
            <w:vAlign w:val="bottom"/>
            <w:hideMark/>
          </w:tcPr>
          <w:p w14:paraId="7C73144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80" w:type="dxa"/>
            <w:tcBorders>
              <w:top w:val="single" w:sz="4" w:space="0" w:color="auto"/>
              <w:left w:val="nil"/>
              <w:bottom w:val="single" w:sz="4" w:space="0" w:color="auto"/>
              <w:right w:val="single" w:sz="4" w:space="0" w:color="auto"/>
            </w:tcBorders>
            <w:noWrap/>
            <w:vAlign w:val="bottom"/>
            <w:hideMark/>
          </w:tcPr>
          <w:p w14:paraId="65DD29C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300" w:type="dxa"/>
            <w:tcBorders>
              <w:top w:val="single" w:sz="4" w:space="0" w:color="auto"/>
              <w:left w:val="nil"/>
              <w:bottom w:val="single" w:sz="4" w:space="0" w:color="auto"/>
              <w:right w:val="single" w:sz="4" w:space="0" w:color="auto"/>
            </w:tcBorders>
            <w:noWrap/>
            <w:vAlign w:val="bottom"/>
            <w:hideMark/>
          </w:tcPr>
          <w:p w14:paraId="70979BA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160" w:type="dxa"/>
            <w:tcBorders>
              <w:top w:val="single" w:sz="4" w:space="0" w:color="auto"/>
              <w:left w:val="nil"/>
              <w:bottom w:val="single" w:sz="4" w:space="0" w:color="auto"/>
              <w:right w:val="single" w:sz="4" w:space="0" w:color="auto"/>
            </w:tcBorders>
            <w:noWrap/>
            <w:vAlign w:val="bottom"/>
            <w:hideMark/>
          </w:tcPr>
          <w:p w14:paraId="033BBEB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40.000,00</w:t>
            </w:r>
          </w:p>
        </w:tc>
        <w:tc>
          <w:tcPr>
            <w:tcW w:w="940" w:type="dxa"/>
            <w:tcBorders>
              <w:top w:val="single" w:sz="4" w:space="0" w:color="auto"/>
              <w:left w:val="nil"/>
              <w:bottom w:val="single" w:sz="4" w:space="0" w:color="auto"/>
              <w:right w:val="single" w:sz="4" w:space="0" w:color="auto"/>
            </w:tcBorders>
            <w:noWrap/>
            <w:vAlign w:val="bottom"/>
            <w:hideMark/>
          </w:tcPr>
          <w:p w14:paraId="260F88E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960" w:type="dxa"/>
            <w:tcBorders>
              <w:top w:val="single" w:sz="4" w:space="0" w:color="auto"/>
              <w:left w:val="nil"/>
              <w:bottom w:val="single" w:sz="4" w:space="0" w:color="auto"/>
              <w:right w:val="single" w:sz="4" w:space="0" w:color="auto"/>
            </w:tcBorders>
            <w:noWrap/>
            <w:vAlign w:val="bottom"/>
            <w:hideMark/>
          </w:tcPr>
          <w:p w14:paraId="3D0408B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D8DC833" w14:textId="77777777" w:rsidTr="00BB1392">
        <w:trPr>
          <w:trHeight w:val="195"/>
        </w:trPr>
        <w:tc>
          <w:tcPr>
            <w:tcW w:w="6500" w:type="dxa"/>
            <w:tcBorders>
              <w:top w:val="single" w:sz="4" w:space="0" w:color="auto"/>
              <w:left w:val="single" w:sz="4" w:space="0" w:color="auto"/>
              <w:bottom w:val="single" w:sz="4" w:space="0" w:color="auto"/>
              <w:right w:val="single" w:sz="4" w:space="0" w:color="auto"/>
            </w:tcBorders>
            <w:noWrap/>
            <w:vAlign w:val="bottom"/>
            <w:hideMark/>
          </w:tcPr>
          <w:p w14:paraId="79B630AE"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818 Primici od povrata </w:t>
            </w:r>
            <w:proofErr w:type="spellStart"/>
            <w:r w:rsidRPr="00416D67">
              <w:rPr>
                <w:rFonts w:ascii="Arial" w:hAnsi="Arial" w:cs="Arial"/>
                <w:sz w:val="14"/>
                <w:szCs w:val="14"/>
              </w:rPr>
              <w:t>jamčevnih</w:t>
            </w:r>
            <w:proofErr w:type="spellEnd"/>
            <w:r w:rsidRPr="00416D67">
              <w:rPr>
                <w:rFonts w:ascii="Arial" w:hAnsi="Arial" w:cs="Arial"/>
                <w:sz w:val="14"/>
                <w:szCs w:val="14"/>
              </w:rPr>
              <w:t xml:space="preserve"> pologa</w:t>
            </w:r>
          </w:p>
        </w:tc>
        <w:tc>
          <w:tcPr>
            <w:tcW w:w="1300" w:type="dxa"/>
            <w:tcBorders>
              <w:top w:val="single" w:sz="4" w:space="0" w:color="auto"/>
              <w:left w:val="nil"/>
              <w:bottom w:val="single" w:sz="4" w:space="0" w:color="auto"/>
              <w:right w:val="single" w:sz="4" w:space="0" w:color="auto"/>
            </w:tcBorders>
            <w:noWrap/>
            <w:vAlign w:val="bottom"/>
            <w:hideMark/>
          </w:tcPr>
          <w:p w14:paraId="5D7685B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80" w:type="dxa"/>
            <w:tcBorders>
              <w:top w:val="single" w:sz="4" w:space="0" w:color="auto"/>
              <w:left w:val="nil"/>
              <w:bottom w:val="single" w:sz="4" w:space="0" w:color="auto"/>
              <w:right w:val="single" w:sz="4" w:space="0" w:color="auto"/>
            </w:tcBorders>
            <w:noWrap/>
            <w:vAlign w:val="bottom"/>
            <w:hideMark/>
          </w:tcPr>
          <w:p w14:paraId="26F5675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300" w:type="dxa"/>
            <w:tcBorders>
              <w:top w:val="single" w:sz="4" w:space="0" w:color="auto"/>
              <w:left w:val="nil"/>
              <w:bottom w:val="single" w:sz="4" w:space="0" w:color="auto"/>
              <w:right w:val="single" w:sz="4" w:space="0" w:color="auto"/>
            </w:tcBorders>
            <w:noWrap/>
            <w:vAlign w:val="bottom"/>
            <w:hideMark/>
          </w:tcPr>
          <w:p w14:paraId="2F898F7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160" w:type="dxa"/>
            <w:tcBorders>
              <w:top w:val="single" w:sz="4" w:space="0" w:color="auto"/>
              <w:left w:val="nil"/>
              <w:bottom w:val="single" w:sz="4" w:space="0" w:color="auto"/>
              <w:right w:val="single" w:sz="4" w:space="0" w:color="auto"/>
            </w:tcBorders>
            <w:noWrap/>
            <w:vAlign w:val="bottom"/>
            <w:hideMark/>
          </w:tcPr>
          <w:p w14:paraId="4B5126B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2.776,75</w:t>
            </w:r>
          </w:p>
        </w:tc>
        <w:tc>
          <w:tcPr>
            <w:tcW w:w="940" w:type="dxa"/>
            <w:tcBorders>
              <w:top w:val="single" w:sz="4" w:space="0" w:color="auto"/>
              <w:left w:val="nil"/>
              <w:bottom w:val="single" w:sz="4" w:space="0" w:color="auto"/>
              <w:right w:val="single" w:sz="4" w:space="0" w:color="auto"/>
            </w:tcBorders>
            <w:noWrap/>
            <w:vAlign w:val="bottom"/>
            <w:hideMark/>
          </w:tcPr>
          <w:p w14:paraId="0347F31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960" w:type="dxa"/>
            <w:tcBorders>
              <w:top w:val="single" w:sz="4" w:space="0" w:color="auto"/>
              <w:left w:val="nil"/>
              <w:bottom w:val="single" w:sz="4" w:space="0" w:color="auto"/>
              <w:right w:val="single" w:sz="4" w:space="0" w:color="auto"/>
            </w:tcBorders>
            <w:noWrap/>
            <w:vAlign w:val="bottom"/>
            <w:hideMark/>
          </w:tcPr>
          <w:p w14:paraId="7A453EF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83793EF" w14:textId="77777777" w:rsidTr="00BB1392">
        <w:trPr>
          <w:trHeight w:val="195"/>
        </w:trPr>
        <w:tc>
          <w:tcPr>
            <w:tcW w:w="6500" w:type="dxa"/>
            <w:tcBorders>
              <w:top w:val="single" w:sz="4" w:space="0" w:color="auto"/>
              <w:left w:val="single" w:sz="4" w:space="0" w:color="auto"/>
              <w:bottom w:val="single" w:sz="4" w:space="0" w:color="auto"/>
              <w:right w:val="single" w:sz="4" w:space="0" w:color="auto"/>
            </w:tcBorders>
            <w:noWrap/>
            <w:vAlign w:val="bottom"/>
            <w:hideMark/>
          </w:tcPr>
          <w:p w14:paraId="5346331A"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8183 Primici od povrata </w:t>
            </w:r>
            <w:proofErr w:type="spellStart"/>
            <w:r w:rsidRPr="00416D67">
              <w:rPr>
                <w:rFonts w:ascii="Arial" w:hAnsi="Arial" w:cs="Arial"/>
                <w:sz w:val="14"/>
                <w:szCs w:val="14"/>
              </w:rPr>
              <w:t>jamčevnih</w:t>
            </w:r>
            <w:proofErr w:type="spellEnd"/>
            <w:r w:rsidRPr="00416D67">
              <w:rPr>
                <w:rFonts w:ascii="Arial" w:hAnsi="Arial" w:cs="Arial"/>
                <w:sz w:val="14"/>
                <w:szCs w:val="14"/>
              </w:rPr>
              <w:t xml:space="preserve"> pologa</w:t>
            </w:r>
          </w:p>
        </w:tc>
        <w:tc>
          <w:tcPr>
            <w:tcW w:w="1300" w:type="dxa"/>
            <w:tcBorders>
              <w:top w:val="single" w:sz="4" w:space="0" w:color="auto"/>
              <w:left w:val="nil"/>
              <w:bottom w:val="single" w:sz="4" w:space="0" w:color="auto"/>
              <w:right w:val="single" w:sz="4" w:space="0" w:color="auto"/>
            </w:tcBorders>
            <w:noWrap/>
            <w:vAlign w:val="bottom"/>
            <w:hideMark/>
          </w:tcPr>
          <w:p w14:paraId="47235FD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80" w:type="dxa"/>
            <w:tcBorders>
              <w:top w:val="single" w:sz="4" w:space="0" w:color="auto"/>
              <w:left w:val="nil"/>
              <w:bottom w:val="single" w:sz="4" w:space="0" w:color="auto"/>
              <w:right w:val="single" w:sz="4" w:space="0" w:color="auto"/>
            </w:tcBorders>
            <w:noWrap/>
            <w:vAlign w:val="bottom"/>
            <w:hideMark/>
          </w:tcPr>
          <w:p w14:paraId="3320641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300" w:type="dxa"/>
            <w:tcBorders>
              <w:top w:val="single" w:sz="4" w:space="0" w:color="auto"/>
              <w:left w:val="nil"/>
              <w:bottom w:val="single" w:sz="4" w:space="0" w:color="auto"/>
              <w:right w:val="single" w:sz="4" w:space="0" w:color="auto"/>
            </w:tcBorders>
            <w:noWrap/>
            <w:vAlign w:val="bottom"/>
            <w:hideMark/>
          </w:tcPr>
          <w:p w14:paraId="7CACADE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160" w:type="dxa"/>
            <w:tcBorders>
              <w:top w:val="single" w:sz="4" w:space="0" w:color="auto"/>
              <w:left w:val="nil"/>
              <w:bottom w:val="single" w:sz="4" w:space="0" w:color="auto"/>
              <w:right w:val="single" w:sz="4" w:space="0" w:color="auto"/>
            </w:tcBorders>
            <w:noWrap/>
            <w:vAlign w:val="bottom"/>
            <w:hideMark/>
          </w:tcPr>
          <w:p w14:paraId="0798782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2.776,75</w:t>
            </w:r>
          </w:p>
        </w:tc>
        <w:tc>
          <w:tcPr>
            <w:tcW w:w="940" w:type="dxa"/>
            <w:tcBorders>
              <w:top w:val="single" w:sz="4" w:space="0" w:color="auto"/>
              <w:left w:val="nil"/>
              <w:bottom w:val="single" w:sz="4" w:space="0" w:color="auto"/>
              <w:right w:val="single" w:sz="4" w:space="0" w:color="auto"/>
            </w:tcBorders>
            <w:noWrap/>
            <w:vAlign w:val="bottom"/>
            <w:hideMark/>
          </w:tcPr>
          <w:p w14:paraId="7F46F03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960" w:type="dxa"/>
            <w:tcBorders>
              <w:top w:val="single" w:sz="4" w:space="0" w:color="auto"/>
              <w:left w:val="nil"/>
              <w:bottom w:val="single" w:sz="4" w:space="0" w:color="auto"/>
              <w:right w:val="single" w:sz="4" w:space="0" w:color="auto"/>
            </w:tcBorders>
            <w:noWrap/>
            <w:vAlign w:val="bottom"/>
            <w:hideMark/>
          </w:tcPr>
          <w:p w14:paraId="5F79A18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AC8B347" w14:textId="77777777" w:rsidTr="00BB1392">
        <w:trPr>
          <w:trHeight w:val="195"/>
        </w:trPr>
        <w:tc>
          <w:tcPr>
            <w:tcW w:w="6500" w:type="dxa"/>
            <w:tcBorders>
              <w:top w:val="single" w:sz="4" w:space="0" w:color="auto"/>
              <w:left w:val="single" w:sz="4" w:space="0" w:color="auto"/>
              <w:bottom w:val="single" w:sz="4" w:space="0" w:color="auto"/>
              <w:right w:val="single" w:sz="4" w:space="0" w:color="auto"/>
            </w:tcBorders>
            <w:noWrap/>
            <w:vAlign w:val="bottom"/>
            <w:hideMark/>
          </w:tcPr>
          <w:p w14:paraId="67331F6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5 Izdaci za financijsku imovinu i otplate zajmova</w:t>
            </w:r>
          </w:p>
        </w:tc>
        <w:tc>
          <w:tcPr>
            <w:tcW w:w="1300" w:type="dxa"/>
            <w:tcBorders>
              <w:top w:val="single" w:sz="4" w:space="0" w:color="auto"/>
              <w:left w:val="nil"/>
              <w:bottom w:val="single" w:sz="4" w:space="0" w:color="auto"/>
              <w:right w:val="single" w:sz="4" w:space="0" w:color="auto"/>
            </w:tcBorders>
            <w:noWrap/>
            <w:vAlign w:val="bottom"/>
            <w:hideMark/>
          </w:tcPr>
          <w:p w14:paraId="2F4780C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71.429,76</w:t>
            </w:r>
          </w:p>
        </w:tc>
        <w:tc>
          <w:tcPr>
            <w:tcW w:w="1280" w:type="dxa"/>
            <w:tcBorders>
              <w:top w:val="single" w:sz="4" w:space="0" w:color="auto"/>
              <w:left w:val="nil"/>
              <w:bottom w:val="single" w:sz="4" w:space="0" w:color="auto"/>
              <w:right w:val="single" w:sz="4" w:space="0" w:color="auto"/>
            </w:tcBorders>
            <w:noWrap/>
            <w:vAlign w:val="bottom"/>
            <w:hideMark/>
          </w:tcPr>
          <w:p w14:paraId="65239F5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267.203,76</w:t>
            </w:r>
          </w:p>
        </w:tc>
        <w:tc>
          <w:tcPr>
            <w:tcW w:w="1300" w:type="dxa"/>
            <w:tcBorders>
              <w:top w:val="single" w:sz="4" w:space="0" w:color="auto"/>
              <w:left w:val="nil"/>
              <w:bottom w:val="single" w:sz="4" w:space="0" w:color="auto"/>
              <w:right w:val="single" w:sz="4" w:space="0" w:color="auto"/>
            </w:tcBorders>
            <w:noWrap/>
            <w:vAlign w:val="bottom"/>
            <w:hideMark/>
          </w:tcPr>
          <w:p w14:paraId="22A4B90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267.203,76</w:t>
            </w:r>
          </w:p>
        </w:tc>
        <w:tc>
          <w:tcPr>
            <w:tcW w:w="1160" w:type="dxa"/>
            <w:tcBorders>
              <w:top w:val="single" w:sz="4" w:space="0" w:color="auto"/>
              <w:left w:val="nil"/>
              <w:bottom w:val="single" w:sz="4" w:space="0" w:color="auto"/>
              <w:right w:val="single" w:sz="4" w:space="0" w:color="auto"/>
            </w:tcBorders>
            <w:noWrap/>
            <w:vAlign w:val="bottom"/>
            <w:hideMark/>
          </w:tcPr>
          <w:p w14:paraId="245B150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226.999,71</w:t>
            </w:r>
          </w:p>
        </w:tc>
        <w:tc>
          <w:tcPr>
            <w:tcW w:w="940" w:type="dxa"/>
            <w:tcBorders>
              <w:top w:val="single" w:sz="4" w:space="0" w:color="auto"/>
              <w:left w:val="nil"/>
              <w:bottom w:val="single" w:sz="4" w:space="0" w:color="auto"/>
              <w:right w:val="single" w:sz="4" w:space="0" w:color="auto"/>
            </w:tcBorders>
            <w:noWrap/>
            <w:vAlign w:val="bottom"/>
            <w:hideMark/>
          </w:tcPr>
          <w:p w14:paraId="5541FB4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317,79%</w:t>
            </w:r>
          </w:p>
        </w:tc>
        <w:tc>
          <w:tcPr>
            <w:tcW w:w="960" w:type="dxa"/>
            <w:tcBorders>
              <w:top w:val="single" w:sz="4" w:space="0" w:color="auto"/>
              <w:left w:val="nil"/>
              <w:bottom w:val="single" w:sz="4" w:space="0" w:color="auto"/>
              <w:right w:val="single" w:sz="4" w:space="0" w:color="auto"/>
            </w:tcBorders>
            <w:noWrap/>
            <w:vAlign w:val="bottom"/>
            <w:hideMark/>
          </w:tcPr>
          <w:p w14:paraId="5F513E1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84,95%</w:t>
            </w:r>
          </w:p>
        </w:tc>
      </w:tr>
      <w:tr w:rsidR="00416D67" w:rsidRPr="00416D67" w14:paraId="128D8E6C" w14:textId="77777777" w:rsidTr="00BB1392">
        <w:trPr>
          <w:trHeight w:val="195"/>
        </w:trPr>
        <w:tc>
          <w:tcPr>
            <w:tcW w:w="6500" w:type="dxa"/>
            <w:tcBorders>
              <w:top w:val="single" w:sz="4" w:space="0" w:color="auto"/>
              <w:left w:val="single" w:sz="4" w:space="0" w:color="auto"/>
              <w:bottom w:val="single" w:sz="4" w:space="0" w:color="auto"/>
              <w:right w:val="single" w:sz="4" w:space="0" w:color="auto"/>
            </w:tcBorders>
            <w:noWrap/>
            <w:vAlign w:val="bottom"/>
            <w:hideMark/>
          </w:tcPr>
          <w:p w14:paraId="1092955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51 Izdaci za dane zajmove i </w:t>
            </w:r>
            <w:proofErr w:type="spellStart"/>
            <w:r w:rsidRPr="00416D67">
              <w:rPr>
                <w:rFonts w:ascii="Arial" w:hAnsi="Arial" w:cs="Arial"/>
                <w:b/>
                <w:bCs/>
                <w:sz w:val="14"/>
                <w:szCs w:val="14"/>
              </w:rPr>
              <w:t>jamčevne</w:t>
            </w:r>
            <w:proofErr w:type="spellEnd"/>
            <w:r w:rsidRPr="00416D67">
              <w:rPr>
                <w:rFonts w:ascii="Arial" w:hAnsi="Arial" w:cs="Arial"/>
                <w:b/>
                <w:bCs/>
                <w:sz w:val="14"/>
                <w:szCs w:val="14"/>
              </w:rPr>
              <w:t xml:space="preserve"> </w:t>
            </w:r>
            <w:proofErr w:type="spellStart"/>
            <w:r w:rsidRPr="00416D67">
              <w:rPr>
                <w:rFonts w:ascii="Arial" w:hAnsi="Arial" w:cs="Arial"/>
                <w:b/>
                <w:bCs/>
                <w:sz w:val="14"/>
                <w:szCs w:val="14"/>
              </w:rPr>
              <w:t>pologe</w:t>
            </w:r>
            <w:proofErr w:type="spellEnd"/>
          </w:p>
        </w:tc>
        <w:tc>
          <w:tcPr>
            <w:tcW w:w="1300" w:type="dxa"/>
            <w:tcBorders>
              <w:top w:val="single" w:sz="4" w:space="0" w:color="auto"/>
              <w:left w:val="nil"/>
              <w:bottom w:val="single" w:sz="4" w:space="0" w:color="auto"/>
              <w:right w:val="single" w:sz="4" w:space="0" w:color="auto"/>
            </w:tcBorders>
            <w:noWrap/>
            <w:vAlign w:val="bottom"/>
            <w:hideMark/>
          </w:tcPr>
          <w:p w14:paraId="62780FA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280" w:type="dxa"/>
            <w:tcBorders>
              <w:top w:val="single" w:sz="4" w:space="0" w:color="auto"/>
              <w:left w:val="nil"/>
              <w:bottom w:val="single" w:sz="4" w:space="0" w:color="auto"/>
              <w:right w:val="single" w:sz="4" w:space="0" w:color="auto"/>
            </w:tcBorders>
            <w:noWrap/>
            <w:vAlign w:val="bottom"/>
            <w:hideMark/>
          </w:tcPr>
          <w:p w14:paraId="32FE87B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86.500,00</w:t>
            </w:r>
          </w:p>
        </w:tc>
        <w:tc>
          <w:tcPr>
            <w:tcW w:w="1300" w:type="dxa"/>
            <w:tcBorders>
              <w:top w:val="single" w:sz="4" w:space="0" w:color="auto"/>
              <w:left w:val="nil"/>
              <w:bottom w:val="single" w:sz="4" w:space="0" w:color="auto"/>
              <w:right w:val="single" w:sz="4" w:space="0" w:color="auto"/>
            </w:tcBorders>
            <w:noWrap/>
            <w:vAlign w:val="bottom"/>
            <w:hideMark/>
          </w:tcPr>
          <w:p w14:paraId="69A83FF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86.500,00</w:t>
            </w:r>
          </w:p>
        </w:tc>
        <w:tc>
          <w:tcPr>
            <w:tcW w:w="1160" w:type="dxa"/>
            <w:tcBorders>
              <w:top w:val="single" w:sz="4" w:space="0" w:color="auto"/>
              <w:left w:val="nil"/>
              <w:bottom w:val="single" w:sz="4" w:space="0" w:color="auto"/>
              <w:right w:val="single" w:sz="4" w:space="0" w:color="auto"/>
            </w:tcBorders>
            <w:noWrap/>
            <w:vAlign w:val="bottom"/>
            <w:hideMark/>
          </w:tcPr>
          <w:p w14:paraId="76AB603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46.295,95</w:t>
            </w:r>
          </w:p>
        </w:tc>
        <w:tc>
          <w:tcPr>
            <w:tcW w:w="940" w:type="dxa"/>
            <w:tcBorders>
              <w:top w:val="single" w:sz="4" w:space="0" w:color="auto"/>
              <w:left w:val="nil"/>
              <w:bottom w:val="single" w:sz="4" w:space="0" w:color="auto"/>
              <w:right w:val="single" w:sz="4" w:space="0" w:color="auto"/>
            </w:tcBorders>
            <w:noWrap/>
            <w:vAlign w:val="bottom"/>
            <w:hideMark/>
          </w:tcPr>
          <w:p w14:paraId="2797FF1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960" w:type="dxa"/>
            <w:tcBorders>
              <w:top w:val="single" w:sz="4" w:space="0" w:color="auto"/>
              <w:left w:val="nil"/>
              <w:bottom w:val="single" w:sz="4" w:space="0" w:color="auto"/>
              <w:right w:val="single" w:sz="4" w:space="0" w:color="auto"/>
            </w:tcBorders>
            <w:noWrap/>
            <w:vAlign w:val="bottom"/>
            <w:hideMark/>
          </w:tcPr>
          <w:p w14:paraId="0D22FE9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53,52%</w:t>
            </w:r>
          </w:p>
        </w:tc>
      </w:tr>
      <w:tr w:rsidR="00416D67" w:rsidRPr="00416D67" w14:paraId="642AD207" w14:textId="77777777" w:rsidTr="00BB1392">
        <w:trPr>
          <w:trHeight w:val="195"/>
        </w:trPr>
        <w:tc>
          <w:tcPr>
            <w:tcW w:w="6500" w:type="dxa"/>
            <w:tcBorders>
              <w:top w:val="single" w:sz="4" w:space="0" w:color="auto"/>
              <w:left w:val="single" w:sz="4" w:space="0" w:color="auto"/>
              <w:bottom w:val="single" w:sz="4" w:space="0" w:color="auto"/>
              <w:right w:val="single" w:sz="4" w:space="0" w:color="auto"/>
            </w:tcBorders>
            <w:noWrap/>
            <w:vAlign w:val="bottom"/>
            <w:hideMark/>
          </w:tcPr>
          <w:p w14:paraId="5B9D751D" w14:textId="77777777" w:rsidR="00416D67" w:rsidRPr="00416D67" w:rsidRDefault="00416D67" w:rsidP="00416D67">
            <w:pPr>
              <w:rPr>
                <w:rFonts w:ascii="Arial" w:hAnsi="Arial" w:cs="Arial"/>
                <w:sz w:val="14"/>
                <w:szCs w:val="14"/>
              </w:rPr>
            </w:pPr>
            <w:r w:rsidRPr="00416D67">
              <w:rPr>
                <w:rFonts w:ascii="Arial" w:hAnsi="Arial" w:cs="Arial"/>
                <w:sz w:val="14"/>
                <w:szCs w:val="14"/>
              </w:rPr>
              <w:t>512 Izdaci za dane zajmove neprofitnim organizacijama, građanima i kućanstvima</w:t>
            </w:r>
          </w:p>
        </w:tc>
        <w:tc>
          <w:tcPr>
            <w:tcW w:w="1300" w:type="dxa"/>
            <w:tcBorders>
              <w:top w:val="single" w:sz="4" w:space="0" w:color="auto"/>
              <w:left w:val="nil"/>
              <w:bottom w:val="single" w:sz="4" w:space="0" w:color="auto"/>
              <w:right w:val="single" w:sz="4" w:space="0" w:color="auto"/>
            </w:tcBorders>
            <w:noWrap/>
            <w:vAlign w:val="bottom"/>
            <w:hideMark/>
          </w:tcPr>
          <w:p w14:paraId="42A2B5F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80" w:type="dxa"/>
            <w:tcBorders>
              <w:top w:val="single" w:sz="4" w:space="0" w:color="auto"/>
              <w:left w:val="nil"/>
              <w:bottom w:val="single" w:sz="4" w:space="0" w:color="auto"/>
              <w:right w:val="single" w:sz="4" w:space="0" w:color="auto"/>
            </w:tcBorders>
            <w:noWrap/>
            <w:vAlign w:val="bottom"/>
            <w:hideMark/>
          </w:tcPr>
          <w:p w14:paraId="772CD70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300" w:type="dxa"/>
            <w:tcBorders>
              <w:top w:val="single" w:sz="4" w:space="0" w:color="auto"/>
              <w:left w:val="nil"/>
              <w:bottom w:val="single" w:sz="4" w:space="0" w:color="auto"/>
              <w:right w:val="single" w:sz="4" w:space="0" w:color="auto"/>
            </w:tcBorders>
            <w:noWrap/>
            <w:vAlign w:val="bottom"/>
            <w:hideMark/>
          </w:tcPr>
          <w:p w14:paraId="0E41BD6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160" w:type="dxa"/>
            <w:tcBorders>
              <w:top w:val="single" w:sz="4" w:space="0" w:color="auto"/>
              <w:left w:val="nil"/>
              <w:bottom w:val="single" w:sz="4" w:space="0" w:color="auto"/>
              <w:right w:val="single" w:sz="4" w:space="0" w:color="auto"/>
            </w:tcBorders>
            <w:noWrap/>
            <w:vAlign w:val="bottom"/>
            <w:hideMark/>
          </w:tcPr>
          <w:p w14:paraId="0B0CB39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40.000,00</w:t>
            </w:r>
          </w:p>
        </w:tc>
        <w:tc>
          <w:tcPr>
            <w:tcW w:w="940" w:type="dxa"/>
            <w:tcBorders>
              <w:top w:val="single" w:sz="4" w:space="0" w:color="auto"/>
              <w:left w:val="nil"/>
              <w:bottom w:val="single" w:sz="4" w:space="0" w:color="auto"/>
              <w:right w:val="single" w:sz="4" w:space="0" w:color="auto"/>
            </w:tcBorders>
            <w:noWrap/>
            <w:vAlign w:val="bottom"/>
            <w:hideMark/>
          </w:tcPr>
          <w:p w14:paraId="0151D1F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960" w:type="dxa"/>
            <w:tcBorders>
              <w:top w:val="single" w:sz="4" w:space="0" w:color="auto"/>
              <w:left w:val="nil"/>
              <w:bottom w:val="single" w:sz="4" w:space="0" w:color="auto"/>
              <w:right w:val="single" w:sz="4" w:space="0" w:color="auto"/>
            </w:tcBorders>
            <w:noWrap/>
            <w:vAlign w:val="bottom"/>
            <w:hideMark/>
          </w:tcPr>
          <w:p w14:paraId="3AF1AA9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C8C2B6A" w14:textId="77777777" w:rsidTr="00BB1392">
        <w:trPr>
          <w:trHeight w:val="195"/>
        </w:trPr>
        <w:tc>
          <w:tcPr>
            <w:tcW w:w="6500" w:type="dxa"/>
            <w:tcBorders>
              <w:top w:val="single" w:sz="4" w:space="0" w:color="auto"/>
              <w:left w:val="single" w:sz="4" w:space="0" w:color="auto"/>
              <w:bottom w:val="single" w:sz="4" w:space="0" w:color="auto"/>
              <w:right w:val="single" w:sz="4" w:space="0" w:color="auto"/>
            </w:tcBorders>
            <w:noWrap/>
            <w:vAlign w:val="bottom"/>
            <w:hideMark/>
          </w:tcPr>
          <w:p w14:paraId="59C8340D" w14:textId="77777777" w:rsidR="00416D67" w:rsidRPr="00416D67" w:rsidRDefault="00416D67" w:rsidP="00416D67">
            <w:pPr>
              <w:rPr>
                <w:rFonts w:ascii="Arial" w:hAnsi="Arial" w:cs="Arial"/>
                <w:sz w:val="14"/>
                <w:szCs w:val="14"/>
              </w:rPr>
            </w:pPr>
            <w:r w:rsidRPr="00416D67">
              <w:rPr>
                <w:rFonts w:ascii="Arial" w:hAnsi="Arial" w:cs="Arial"/>
                <w:sz w:val="14"/>
                <w:szCs w:val="14"/>
              </w:rPr>
              <w:t>5121 Dani zajmovi neprofitnim organizacijama, građanima i kućanstvima u tuzemstvu</w:t>
            </w:r>
          </w:p>
        </w:tc>
        <w:tc>
          <w:tcPr>
            <w:tcW w:w="1300" w:type="dxa"/>
            <w:tcBorders>
              <w:top w:val="single" w:sz="4" w:space="0" w:color="auto"/>
              <w:left w:val="nil"/>
              <w:bottom w:val="single" w:sz="4" w:space="0" w:color="auto"/>
              <w:right w:val="single" w:sz="4" w:space="0" w:color="auto"/>
            </w:tcBorders>
            <w:noWrap/>
            <w:vAlign w:val="bottom"/>
            <w:hideMark/>
          </w:tcPr>
          <w:p w14:paraId="7081CAE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80" w:type="dxa"/>
            <w:tcBorders>
              <w:top w:val="single" w:sz="4" w:space="0" w:color="auto"/>
              <w:left w:val="nil"/>
              <w:bottom w:val="single" w:sz="4" w:space="0" w:color="auto"/>
              <w:right w:val="single" w:sz="4" w:space="0" w:color="auto"/>
            </w:tcBorders>
            <w:noWrap/>
            <w:vAlign w:val="bottom"/>
            <w:hideMark/>
          </w:tcPr>
          <w:p w14:paraId="3E53287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300" w:type="dxa"/>
            <w:tcBorders>
              <w:top w:val="single" w:sz="4" w:space="0" w:color="auto"/>
              <w:left w:val="nil"/>
              <w:bottom w:val="single" w:sz="4" w:space="0" w:color="auto"/>
              <w:right w:val="single" w:sz="4" w:space="0" w:color="auto"/>
            </w:tcBorders>
            <w:noWrap/>
            <w:vAlign w:val="bottom"/>
            <w:hideMark/>
          </w:tcPr>
          <w:p w14:paraId="1744179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160" w:type="dxa"/>
            <w:tcBorders>
              <w:top w:val="single" w:sz="4" w:space="0" w:color="auto"/>
              <w:left w:val="nil"/>
              <w:bottom w:val="single" w:sz="4" w:space="0" w:color="auto"/>
              <w:right w:val="single" w:sz="4" w:space="0" w:color="auto"/>
            </w:tcBorders>
            <w:noWrap/>
            <w:vAlign w:val="bottom"/>
            <w:hideMark/>
          </w:tcPr>
          <w:p w14:paraId="2A4A358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40.000,00</w:t>
            </w:r>
          </w:p>
        </w:tc>
        <w:tc>
          <w:tcPr>
            <w:tcW w:w="940" w:type="dxa"/>
            <w:tcBorders>
              <w:top w:val="single" w:sz="4" w:space="0" w:color="auto"/>
              <w:left w:val="nil"/>
              <w:bottom w:val="single" w:sz="4" w:space="0" w:color="auto"/>
              <w:right w:val="single" w:sz="4" w:space="0" w:color="auto"/>
            </w:tcBorders>
            <w:noWrap/>
            <w:vAlign w:val="bottom"/>
            <w:hideMark/>
          </w:tcPr>
          <w:p w14:paraId="7BF459E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960" w:type="dxa"/>
            <w:tcBorders>
              <w:top w:val="single" w:sz="4" w:space="0" w:color="auto"/>
              <w:left w:val="nil"/>
              <w:bottom w:val="single" w:sz="4" w:space="0" w:color="auto"/>
              <w:right w:val="single" w:sz="4" w:space="0" w:color="auto"/>
            </w:tcBorders>
            <w:noWrap/>
            <w:vAlign w:val="bottom"/>
            <w:hideMark/>
          </w:tcPr>
          <w:p w14:paraId="682AC9C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EF1A4A5" w14:textId="77777777" w:rsidTr="00BB1392">
        <w:trPr>
          <w:trHeight w:val="195"/>
        </w:trPr>
        <w:tc>
          <w:tcPr>
            <w:tcW w:w="6500" w:type="dxa"/>
            <w:tcBorders>
              <w:top w:val="single" w:sz="4" w:space="0" w:color="auto"/>
              <w:left w:val="single" w:sz="4" w:space="0" w:color="auto"/>
              <w:bottom w:val="single" w:sz="4" w:space="0" w:color="auto"/>
              <w:right w:val="single" w:sz="4" w:space="0" w:color="auto"/>
            </w:tcBorders>
            <w:noWrap/>
            <w:vAlign w:val="bottom"/>
            <w:hideMark/>
          </w:tcPr>
          <w:p w14:paraId="386A63F7"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518 Izdaci za </w:t>
            </w:r>
            <w:proofErr w:type="spellStart"/>
            <w:r w:rsidRPr="00416D67">
              <w:rPr>
                <w:rFonts w:ascii="Arial" w:hAnsi="Arial" w:cs="Arial"/>
                <w:sz w:val="14"/>
                <w:szCs w:val="14"/>
              </w:rPr>
              <w:t>jamčevne</w:t>
            </w:r>
            <w:proofErr w:type="spellEnd"/>
            <w:r w:rsidRPr="00416D67">
              <w:rPr>
                <w:rFonts w:ascii="Arial" w:hAnsi="Arial" w:cs="Arial"/>
                <w:sz w:val="14"/>
                <w:szCs w:val="14"/>
              </w:rPr>
              <w:t xml:space="preserve"> </w:t>
            </w:r>
            <w:proofErr w:type="spellStart"/>
            <w:r w:rsidRPr="00416D67">
              <w:rPr>
                <w:rFonts w:ascii="Arial" w:hAnsi="Arial" w:cs="Arial"/>
                <w:sz w:val="14"/>
                <w:szCs w:val="14"/>
              </w:rPr>
              <w:t>pologe</w:t>
            </w:r>
            <w:proofErr w:type="spellEnd"/>
          </w:p>
        </w:tc>
        <w:tc>
          <w:tcPr>
            <w:tcW w:w="1300" w:type="dxa"/>
            <w:tcBorders>
              <w:top w:val="single" w:sz="4" w:space="0" w:color="auto"/>
              <w:left w:val="nil"/>
              <w:bottom w:val="single" w:sz="4" w:space="0" w:color="auto"/>
              <w:right w:val="single" w:sz="4" w:space="0" w:color="auto"/>
            </w:tcBorders>
            <w:noWrap/>
            <w:vAlign w:val="bottom"/>
            <w:hideMark/>
          </w:tcPr>
          <w:p w14:paraId="6489C82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80" w:type="dxa"/>
            <w:tcBorders>
              <w:top w:val="single" w:sz="4" w:space="0" w:color="auto"/>
              <w:left w:val="nil"/>
              <w:bottom w:val="single" w:sz="4" w:space="0" w:color="auto"/>
              <w:right w:val="single" w:sz="4" w:space="0" w:color="auto"/>
            </w:tcBorders>
            <w:noWrap/>
            <w:vAlign w:val="bottom"/>
            <w:hideMark/>
          </w:tcPr>
          <w:p w14:paraId="14CF8C2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300" w:type="dxa"/>
            <w:tcBorders>
              <w:top w:val="single" w:sz="4" w:space="0" w:color="auto"/>
              <w:left w:val="nil"/>
              <w:bottom w:val="single" w:sz="4" w:space="0" w:color="auto"/>
              <w:right w:val="single" w:sz="4" w:space="0" w:color="auto"/>
            </w:tcBorders>
            <w:noWrap/>
            <w:vAlign w:val="bottom"/>
            <w:hideMark/>
          </w:tcPr>
          <w:p w14:paraId="794193A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160" w:type="dxa"/>
            <w:tcBorders>
              <w:top w:val="single" w:sz="4" w:space="0" w:color="auto"/>
              <w:left w:val="nil"/>
              <w:bottom w:val="single" w:sz="4" w:space="0" w:color="auto"/>
              <w:right w:val="single" w:sz="4" w:space="0" w:color="auto"/>
            </w:tcBorders>
            <w:noWrap/>
            <w:vAlign w:val="bottom"/>
            <w:hideMark/>
          </w:tcPr>
          <w:p w14:paraId="63CA70C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6.295,95</w:t>
            </w:r>
          </w:p>
        </w:tc>
        <w:tc>
          <w:tcPr>
            <w:tcW w:w="940" w:type="dxa"/>
            <w:tcBorders>
              <w:top w:val="single" w:sz="4" w:space="0" w:color="auto"/>
              <w:left w:val="nil"/>
              <w:bottom w:val="single" w:sz="4" w:space="0" w:color="auto"/>
              <w:right w:val="single" w:sz="4" w:space="0" w:color="auto"/>
            </w:tcBorders>
            <w:noWrap/>
            <w:vAlign w:val="bottom"/>
            <w:hideMark/>
          </w:tcPr>
          <w:p w14:paraId="6855F0C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960" w:type="dxa"/>
            <w:tcBorders>
              <w:top w:val="single" w:sz="4" w:space="0" w:color="auto"/>
              <w:left w:val="nil"/>
              <w:bottom w:val="single" w:sz="4" w:space="0" w:color="auto"/>
              <w:right w:val="single" w:sz="4" w:space="0" w:color="auto"/>
            </w:tcBorders>
            <w:noWrap/>
            <w:vAlign w:val="bottom"/>
            <w:hideMark/>
          </w:tcPr>
          <w:p w14:paraId="4403557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188772C" w14:textId="77777777" w:rsidTr="00BB1392">
        <w:trPr>
          <w:trHeight w:val="195"/>
        </w:trPr>
        <w:tc>
          <w:tcPr>
            <w:tcW w:w="6500" w:type="dxa"/>
            <w:tcBorders>
              <w:top w:val="single" w:sz="4" w:space="0" w:color="auto"/>
              <w:left w:val="single" w:sz="4" w:space="0" w:color="auto"/>
              <w:bottom w:val="single" w:sz="4" w:space="0" w:color="auto"/>
              <w:right w:val="single" w:sz="4" w:space="0" w:color="auto"/>
            </w:tcBorders>
            <w:noWrap/>
            <w:vAlign w:val="bottom"/>
            <w:hideMark/>
          </w:tcPr>
          <w:p w14:paraId="27462A8E"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5183 Izdaci za </w:t>
            </w:r>
            <w:proofErr w:type="spellStart"/>
            <w:r w:rsidRPr="00416D67">
              <w:rPr>
                <w:rFonts w:ascii="Arial" w:hAnsi="Arial" w:cs="Arial"/>
                <w:sz w:val="14"/>
                <w:szCs w:val="14"/>
              </w:rPr>
              <w:t>jamčevne</w:t>
            </w:r>
            <w:proofErr w:type="spellEnd"/>
            <w:r w:rsidRPr="00416D67">
              <w:rPr>
                <w:rFonts w:ascii="Arial" w:hAnsi="Arial" w:cs="Arial"/>
                <w:sz w:val="14"/>
                <w:szCs w:val="14"/>
              </w:rPr>
              <w:t xml:space="preserve"> </w:t>
            </w:r>
            <w:proofErr w:type="spellStart"/>
            <w:r w:rsidRPr="00416D67">
              <w:rPr>
                <w:rFonts w:ascii="Arial" w:hAnsi="Arial" w:cs="Arial"/>
                <w:sz w:val="14"/>
                <w:szCs w:val="14"/>
              </w:rPr>
              <w:t>pologe</w:t>
            </w:r>
            <w:proofErr w:type="spellEnd"/>
          </w:p>
        </w:tc>
        <w:tc>
          <w:tcPr>
            <w:tcW w:w="1300" w:type="dxa"/>
            <w:tcBorders>
              <w:top w:val="single" w:sz="4" w:space="0" w:color="auto"/>
              <w:left w:val="nil"/>
              <w:bottom w:val="single" w:sz="4" w:space="0" w:color="auto"/>
              <w:right w:val="single" w:sz="4" w:space="0" w:color="auto"/>
            </w:tcBorders>
            <w:noWrap/>
            <w:vAlign w:val="bottom"/>
            <w:hideMark/>
          </w:tcPr>
          <w:p w14:paraId="49DB508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80" w:type="dxa"/>
            <w:tcBorders>
              <w:top w:val="single" w:sz="4" w:space="0" w:color="auto"/>
              <w:left w:val="nil"/>
              <w:bottom w:val="single" w:sz="4" w:space="0" w:color="auto"/>
              <w:right w:val="single" w:sz="4" w:space="0" w:color="auto"/>
            </w:tcBorders>
            <w:noWrap/>
            <w:vAlign w:val="bottom"/>
            <w:hideMark/>
          </w:tcPr>
          <w:p w14:paraId="7DADBED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300" w:type="dxa"/>
            <w:tcBorders>
              <w:top w:val="single" w:sz="4" w:space="0" w:color="auto"/>
              <w:left w:val="nil"/>
              <w:bottom w:val="single" w:sz="4" w:space="0" w:color="auto"/>
              <w:right w:val="single" w:sz="4" w:space="0" w:color="auto"/>
            </w:tcBorders>
            <w:noWrap/>
            <w:vAlign w:val="bottom"/>
            <w:hideMark/>
          </w:tcPr>
          <w:p w14:paraId="0D7FDA0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160" w:type="dxa"/>
            <w:tcBorders>
              <w:top w:val="single" w:sz="4" w:space="0" w:color="auto"/>
              <w:left w:val="nil"/>
              <w:bottom w:val="single" w:sz="4" w:space="0" w:color="auto"/>
              <w:right w:val="single" w:sz="4" w:space="0" w:color="auto"/>
            </w:tcBorders>
            <w:noWrap/>
            <w:vAlign w:val="bottom"/>
            <w:hideMark/>
          </w:tcPr>
          <w:p w14:paraId="7CDB61B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6.295,95</w:t>
            </w:r>
          </w:p>
        </w:tc>
        <w:tc>
          <w:tcPr>
            <w:tcW w:w="940" w:type="dxa"/>
            <w:tcBorders>
              <w:top w:val="single" w:sz="4" w:space="0" w:color="auto"/>
              <w:left w:val="nil"/>
              <w:bottom w:val="single" w:sz="4" w:space="0" w:color="auto"/>
              <w:right w:val="single" w:sz="4" w:space="0" w:color="auto"/>
            </w:tcBorders>
            <w:noWrap/>
            <w:vAlign w:val="bottom"/>
            <w:hideMark/>
          </w:tcPr>
          <w:p w14:paraId="0740349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960" w:type="dxa"/>
            <w:tcBorders>
              <w:top w:val="single" w:sz="4" w:space="0" w:color="auto"/>
              <w:left w:val="nil"/>
              <w:bottom w:val="single" w:sz="4" w:space="0" w:color="auto"/>
              <w:right w:val="single" w:sz="4" w:space="0" w:color="auto"/>
            </w:tcBorders>
            <w:noWrap/>
            <w:vAlign w:val="bottom"/>
            <w:hideMark/>
          </w:tcPr>
          <w:p w14:paraId="452D9A6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725D3AE" w14:textId="77777777" w:rsidTr="00BB1392">
        <w:trPr>
          <w:trHeight w:val="195"/>
        </w:trPr>
        <w:tc>
          <w:tcPr>
            <w:tcW w:w="6500" w:type="dxa"/>
            <w:tcBorders>
              <w:top w:val="single" w:sz="4" w:space="0" w:color="auto"/>
              <w:left w:val="single" w:sz="4" w:space="0" w:color="auto"/>
              <w:bottom w:val="single" w:sz="4" w:space="0" w:color="auto"/>
              <w:right w:val="single" w:sz="4" w:space="0" w:color="auto"/>
            </w:tcBorders>
            <w:noWrap/>
            <w:vAlign w:val="bottom"/>
            <w:hideMark/>
          </w:tcPr>
          <w:p w14:paraId="6B50971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53 Izdaci za ulaganja u financijske instrumente - dionice i udjele u glavnici</w:t>
            </w:r>
          </w:p>
        </w:tc>
        <w:tc>
          <w:tcPr>
            <w:tcW w:w="1300" w:type="dxa"/>
            <w:tcBorders>
              <w:top w:val="single" w:sz="4" w:space="0" w:color="auto"/>
              <w:left w:val="nil"/>
              <w:bottom w:val="single" w:sz="4" w:space="0" w:color="auto"/>
              <w:right w:val="single" w:sz="4" w:space="0" w:color="auto"/>
            </w:tcBorders>
            <w:noWrap/>
            <w:vAlign w:val="bottom"/>
            <w:hideMark/>
          </w:tcPr>
          <w:p w14:paraId="0DC151D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280" w:type="dxa"/>
            <w:tcBorders>
              <w:top w:val="single" w:sz="4" w:space="0" w:color="auto"/>
              <w:left w:val="nil"/>
              <w:bottom w:val="single" w:sz="4" w:space="0" w:color="auto"/>
              <w:right w:val="single" w:sz="4" w:space="0" w:color="auto"/>
            </w:tcBorders>
            <w:noWrap/>
            <w:vAlign w:val="bottom"/>
            <w:hideMark/>
          </w:tcPr>
          <w:p w14:paraId="4C6D1CC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109.274,00</w:t>
            </w:r>
          </w:p>
        </w:tc>
        <w:tc>
          <w:tcPr>
            <w:tcW w:w="1300" w:type="dxa"/>
            <w:tcBorders>
              <w:top w:val="single" w:sz="4" w:space="0" w:color="auto"/>
              <w:left w:val="nil"/>
              <w:bottom w:val="single" w:sz="4" w:space="0" w:color="auto"/>
              <w:right w:val="single" w:sz="4" w:space="0" w:color="auto"/>
            </w:tcBorders>
            <w:noWrap/>
            <w:vAlign w:val="bottom"/>
            <w:hideMark/>
          </w:tcPr>
          <w:p w14:paraId="10F6450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109.274,00</w:t>
            </w:r>
          </w:p>
        </w:tc>
        <w:tc>
          <w:tcPr>
            <w:tcW w:w="1160" w:type="dxa"/>
            <w:tcBorders>
              <w:top w:val="single" w:sz="4" w:space="0" w:color="auto"/>
              <w:left w:val="nil"/>
              <w:bottom w:val="single" w:sz="4" w:space="0" w:color="auto"/>
              <w:right w:val="single" w:sz="4" w:space="0" w:color="auto"/>
            </w:tcBorders>
            <w:noWrap/>
            <w:vAlign w:val="bottom"/>
            <w:hideMark/>
          </w:tcPr>
          <w:p w14:paraId="52C2061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109.274,00</w:t>
            </w:r>
          </w:p>
        </w:tc>
        <w:tc>
          <w:tcPr>
            <w:tcW w:w="940" w:type="dxa"/>
            <w:tcBorders>
              <w:top w:val="single" w:sz="4" w:space="0" w:color="auto"/>
              <w:left w:val="nil"/>
              <w:bottom w:val="single" w:sz="4" w:space="0" w:color="auto"/>
              <w:right w:val="single" w:sz="4" w:space="0" w:color="auto"/>
            </w:tcBorders>
            <w:noWrap/>
            <w:vAlign w:val="bottom"/>
            <w:hideMark/>
          </w:tcPr>
          <w:p w14:paraId="78715CB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960" w:type="dxa"/>
            <w:tcBorders>
              <w:top w:val="single" w:sz="4" w:space="0" w:color="auto"/>
              <w:left w:val="nil"/>
              <w:bottom w:val="single" w:sz="4" w:space="0" w:color="auto"/>
              <w:right w:val="single" w:sz="4" w:space="0" w:color="auto"/>
            </w:tcBorders>
            <w:noWrap/>
            <w:vAlign w:val="bottom"/>
            <w:hideMark/>
          </w:tcPr>
          <w:p w14:paraId="2FFE3AE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5F697D72" w14:textId="77777777" w:rsidTr="00BB1392">
        <w:trPr>
          <w:trHeight w:val="195"/>
        </w:trPr>
        <w:tc>
          <w:tcPr>
            <w:tcW w:w="6500" w:type="dxa"/>
            <w:tcBorders>
              <w:top w:val="single" w:sz="4" w:space="0" w:color="auto"/>
              <w:left w:val="single" w:sz="4" w:space="0" w:color="auto"/>
              <w:bottom w:val="single" w:sz="4" w:space="0" w:color="auto"/>
              <w:right w:val="single" w:sz="4" w:space="0" w:color="auto"/>
            </w:tcBorders>
            <w:noWrap/>
            <w:vAlign w:val="bottom"/>
            <w:hideMark/>
          </w:tcPr>
          <w:p w14:paraId="1136A36A" w14:textId="77777777" w:rsidR="00416D67" w:rsidRPr="00416D67" w:rsidRDefault="00416D67" w:rsidP="00416D67">
            <w:pPr>
              <w:rPr>
                <w:rFonts w:ascii="Arial" w:hAnsi="Arial" w:cs="Arial"/>
                <w:sz w:val="14"/>
                <w:szCs w:val="14"/>
              </w:rPr>
            </w:pPr>
            <w:r w:rsidRPr="00416D67">
              <w:rPr>
                <w:rFonts w:ascii="Arial" w:hAnsi="Arial" w:cs="Arial"/>
                <w:sz w:val="14"/>
                <w:szCs w:val="14"/>
              </w:rPr>
              <w:t>532 Izdaci za ulaganja u dionice i udjele u glavnici trgovačkih društava u javnom sektoru</w:t>
            </w:r>
          </w:p>
        </w:tc>
        <w:tc>
          <w:tcPr>
            <w:tcW w:w="1300" w:type="dxa"/>
            <w:tcBorders>
              <w:top w:val="single" w:sz="4" w:space="0" w:color="auto"/>
              <w:left w:val="nil"/>
              <w:bottom w:val="single" w:sz="4" w:space="0" w:color="auto"/>
              <w:right w:val="single" w:sz="4" w:space="0" w:color="auto"/>
            </w:tcBorders>
            <w:noWrap/>
            <w:vAlign w:val="bottom"/>
            <w:hideMark/>
          </w:tcPr>
          <w:p w14:paraId="7827CDE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80" w:type="dxa"/>
            <w:tcBorders>
              <w:top w:val="single" w:sz="4" w:space="0" w:color="auto"/>
              <w:left w:val="nil"/>
              <w:bottom w:val="single" w:sz="4" w:space="0" w:color="auto"/>
              <w:right w:val="single" w:sz="4" w:space="0" w:color="auto"/>
            </w:tcBorders>
            <w:noWrap/>
            <w:vAlign w:val="bottom"/>
            <w:hideMark/>
          </w:tcPr>
          <w:p w14:paraId="2A122FA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300" w:type="dxa"/>
            <w:tcBorders>
              <w:top w:val="single" w:sz="4" w:space="0" w:color="auto"/>
              <w:left w:val="nil"/>
              <w:bottom w:val="single" w:sz="4" w:space="0" w:color="auto"/>
              <w:right w:val="single" w:sz="4" w:space="0" w:color="auto"/>
            </w:tcBorders>
            <w:noWrap/>
            <w:vAlign w:val="bottom"/>
            <w:hideMark/>
          </w:tcPr>
          <w:p w14:paraId="16BB819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160" w:type="dxa"/>
            <w:tcBorders>
              <w:top w:val="single" w:sz="4" w:space="0" w:color="auto"/>
              <w:left w:val="nil"/>
              <w:bottom w:val="single" w:sz="4" w:space="0" w:color="auto"/>
              <w:right w:val="single" w:sz="4" w:space="0" w:color="auto"/>
            </w:tcBorders>
            <w:noWrap/>
            <w:vAlign w:val="bottom"/>
            <w:hideMark/>
          </w:tcPr>
          <w:p w14:paraId="32669EB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109.274,00</w:t>
            </w:r>
          </w:p>
        </w:tc>
        <w:tc>
          <w:tcPr>
            <w:tcW w:w="940" w:type="dxa"/>
            <w:tcBorders>
              <w:top w:val="single" w:sz="4" w:space="0" w:color="auto"/>
              <w:left w:val="nil"/>
              <w:bottom w:val="single" w:sz="4" w:space="0" w:color="auto"/>
              <w:right w:val="single" w:sz="4" w:space="0" w:color="auto"/>
            </w:tcBorders>
            <w:noWrap/>
            <w:vAlign w:val="bottom"/>
            <w:hideMark/>
          </w:tcPr>
          <w:p w14:paraId="25E2F8A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960" w:type="dxa"/>
            <w:tcBorders>
              <w:top w:val="single" w:sz="4" w:space="0" w:color="auto"/>
              <w:left w:val="nil"/>
              <w:bottom w:val="single" w:sz="4" w:space="0" w:color="auto"/>
              <w:right w:val="single" w:sz="4" w:space="0" w:color="auto"/>
            </w:tcBorders>
            <w:noWrap/>
            <w:vAlign w:val="bottom"/>
            <w:hideMark/>
          </w:tcPr>
          <w:p w14:paraId="0F698D9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E522C2C" w14:textId="77777777" w:rsidTr="00BB1392">
        <w:trPr>
          <w:trHeight w:val="195"/>
        </w:trPr>
        <w:tc>
          <w:tcPr>
            <w:tcW w:w="6500" w:type="dxa"/>
            <w:tcBorders>
              <w:top w:val="single" w:sz="4" w:space="0" w:color="auto"/>
              <w:left w:val="single" w:sz="4" w:space="0" w:color="auto"/>
              <w:bottom w:val="single" w:sz="4" w:space="0" w:color="auto"/>
              <w:right w:val="single" w:sz="4" w:space="0" w:color="auto"/>
            </w:tcBorders>
            <w:noWrap/>
            <w:vAlign w:val="bottom"/>
            <w:hideMark/>
          </w:tcPr>
          <w:p w14:paraId="6CFE62F7" w14:textId="77777777" w:rsidR="00416D67" w:rsidRPr="00416D67" w:rsidRDefault="00416D67" w:rsidP="00416D67">
            <w:pPr>
              <w:rPr>
                <w:rFonts w:ascii="Arial" w:hAnsi="Arial" w:cs="Arial"/>
                <w:sz w:val="14"/>
                <w:szCs w:val="14"/>
              </w:rPr>
            </w:pPr>
            <w:r w:rsidRPr="00416D67">
              <w:rPr>
                <w:rFonts w:ascii="Arial" w:hAnsi="Arial" w:cs="Arial"/>
                <w:sz w:val="14"/>
                <w:szCs w:val="14"/>
              </w:rPr>
              <w:t>5321 Dionice i udjeli u glavnici trgovačkih društava u javnom sektoru</w:t>
            </w:r>
          </w:p>
        </w:tc>
        <w:tc>
          <w:tcPr>
            <w:tcW w:w="1300" w:type="dxa"/>
            <w:tcBorders>
              <w:top w:val="single" w:sz="4" w:space="0" w:color="auto"/>
              <w:left w:val="nil"/>
              <w:bottom w:val="single" w:sz="4" w:space="0" w:color="auto"/>
              <w:right w:val="single" w:sz="4" w:space="0" w:color="auto"/>
            </w:tcBorders>
            <w:noWrap/>
            <w:vAlign w:val="bottom"/>
            <w:hideMark/>
          </w:tcPr>
          <w:p w14:paraId="762794C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80" w:type="dxa"/>
            <w:tcBorders>
              <w:top w:val="single" w:sz="4" w:space="0" w:color="auto"/>
              <w:left w:val="nil"/>
              <w:bottom w:val="single" w:sz="4" w:space="0" w:color="auto"/>
              <w:right w:val="single" w:sz="4" w:space="0" w:color="auto"/>
            </w:tcBorders>
            <w:noWrap/>
            <w:vAlign w:val="bottom"/>
            <w:hideMark/>
          </w:tcPr>
          <w:p w14:paraId="6783FB5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300" w:type="dxa"/>
            <w:tcBorders>
              <w:top w:val="single" w:sz="4" w:space="0" w:color="auto"/>
              <w:left w:val="nil"/>
              <w:bottom w:val="single" w:sz="4" w:space="0" w:color="auto"/>
              <w:right w:val="single" w:sz="4" w:space="0" w:color="auto"/>
            </w:tcBorders>
            <w:noWrap/>
            <w:vAlign w:val="bottom"/>
            <w:hideMark/>
          </w:tcPr>
          <w:p w14:paraId="4D4E69C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160" w:type="dxa"/>
            <w:tcBorders>
              <w:top w:val="single" w:sz="4" w:space="0" w:color="auto"/>
              <w:left w:val="nil"/>
              <w:bottom w:val="single" w:sz="4" w:space="0" w:color="auto"/>
              <w:right w:val="single" w:sz="4" w:space="0" w:color="auto"/>
            </w:tcBorders>
            <w:noWrap/>
            <w:vAlign w:val="bottom"/>
            <w:hideMark/>
          </w:tcPr>
          <w:p w14:paraId="543E1A4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109.274,00</w:t>
            </w:r>
          </w:p>
        </w:tc>
        <w:tc>
          <w:tcPr>
            <w:tcW w:w="940" w:type="dxa"/>
            <w:tcBorders>
              <w:top w:val="single" w:sz="4" w:space="0" w:color="auto"/>
              <w:left w:val="nil"/>
              <w:bottom w:val="single" w:sz="4" w:space="0" w:color="auto"/>
              <w:right w:val="single" w:sz="4" w:space="0" w:color="auto"/>
            </w:tcBorders>
            <w:noWrap/>
            <w:vAlign w:val="bottom"/>
            <w:hideMark/>
          </w:tcPr>
          <w:p w14:paraId="6D837EE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960" w:type="dxa"/>
            <w:tcBorders>
              <w:top w:val="single" w:sz="4" w:space="0" w:color="auto"/>
              <w:left w:val="nil"/>
              <w:bottom w:val="single" w:sz="4" w:space="0" w:color="auto"/>
              <w:right w:val="single" w:sz="4" w:space="0" w:color="auto"/>
            </w:tcBorders>
            <w:noWrap/>
            <w:vAlign w:val="bottom"/>
            <w:hideMark/>
          </w:tcPr>
          <w:p w14:paraId="68A7F44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8AA0CBA" w14:textId="77777777" w:rsidTr="00BB1392">
        <w:trPr>
          <w:trHeight w:val="195"/>
        </w:trPr>
        <w:tc>
          <w:tcPr>
            <w:tcW w:w="6500" w:type="dxa"/>
            <w:tcBorders>
              <w:top w:val="single" w:sz="4" w:space="0" w:color="auto"/>
              <w:left w:val="single" w:sz="4" w:space="0" w:color="auto"/>
              <w:bottom w:val="single" w:sz="4" w:space="0" w:color="auto"/>
              <w:right w:val="single" w:sz="4" w:space="0" w:color="auto"/>
            </w:tcBorders>
            <w:noWrap/>
            <w:vAlign w:val="bottom"/>
            <w:hideMark/>
          </w:tcPr>
          <w:p w14:paraId="01753D3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54 Izdaci za otplatu glavnice primljenih kredita i zajmova</w:t>
            </w:r>
          </w:p>
        </w:tc>
        <w:tc>
          <w:tcPr>
            <w:tcW w:w="1300" w:type="dxa"/>
            <w:tcBorders>
              <w:top w:val="single" w:sz="4" w:space="0" w:color="auto"/>
              <w:left w:val="nil"/>
              <w:bottom w:val="single" w:sz="4" w:space="0" w:color="auto"/>
              <w:right w:val="single" w:sz="4" w:space="0" w:color="auto"/>
            </w:tcBorders>
            <w:noWrap/>
            <w:vAlign w:val="bottom"/>
            <w:hideMark/>
          </w:tcPr>
          <w:p w14:paraId="09B97D4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71.429,76</w:t>
            </w:r>
          </w:p>
        </w:tc>
        <w:tc>
          <w:tcPr>
            <w:tcW w:w="1280" w:type="dxa"/>
            <w:tcBorders>
              <w:top w:val="single" w:sz="4" w:space="0" w:color="auto"/>
              <w:left w:val="nil"/>
              <w:bottom w:val="single" w:sz="4" w:space="0" w:color="auto"/>
              <w:right w:val="single" w:sz="4" w:space="0" w:color="auto"/>
            </w:tcBorders>
            <w:noWrap/>
            <w:vAlign w:val="bottom"/>
            <w:hideMark/>
          </w:tcPr>
          <w:p w14:paraId="2C071B8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71.429,76</w:t>
            </w:r>
          </w:p>
        </w:tc>
        <w:tc>
          <w:tcPr>
            <w:tcW w:w="1300" w:type="dxa"/>
            <w:tcBorders>
              <w:top w:val="single" w:sz="4" w:space="0" w:color="auto"/>
              <w:left w:val="nil"/>
              <w:bottom w:val="single" w:sz="4" w:space="0" w:color="auto"/>
              <w:right w:val="single" w:sz="4" w:space="0" w:color="auto"/>
            </w:tcBorders>
            <w:noWrap/>
            <w:vAlign w:val="bottom"/>
            <w:hideMark/>
          </w:tcPr>
          <w:p w14:paraId="27B6F0A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71.429,76</w:t>
            </w:r>
          </w:p>
        </w:tc>
        <w:tc>
          <w:tcPr>
            <w:tcW w:w="1160" w:type="dxa"/>
            <w:tcBorders>
              <w:top w:val="single" w:sz="4" w:space="0" w:color="auto"/>
              <w:left w:val="nil"/>
              <w:bottom w:val="single" w:sz="4" w:space="0" w:color="auto"/>
              <w:right w:val="single" w:sz="4" w:space="0" w:color="auto"/>
            </w:tcBorders>
            <w:noWrap/>
            <w:vAlign w:val="bottom"/>
            <w:hideMark/>
          </w:tcPr>
          <w:p w14:paraId="303A1AA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71.429,76</w:t>
            </w:r>
          </w:p>
        </w:tc>
        <w:tc>
          <w:tcPr>
            <w:tcW w:w="940" w:type="dxa"/>
            <w:tcBorders>
              <w:top w:val="single" w:sz="4" w:space="0" w:color="auto"/>
              <w:left w:val="nil"/>
              <w:bottom w:val="single" w:sz="4" w:space="0" w:color="auto"/>
              <w:right w:val="single" w:sz="4" w:space="0" w:color="auto"/>
            </w:tcBorders>
            <w:noWrap/>
            <w:vAlign w:val="bottom"/>
            <w:hideMark/>
          </w:tcPr>
          <w:p w14:paraId="401C754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c>
          <w:tcPr>
            <w:tcW w:w="960" w:type="dxa"/>
            <w:tcBorders>
              <w:top w:val="single" w:sz="4" w:space="0" w:color="auto"/>
              <w:left w:val="nil"/>
              <w:bottom w:val="single" w:sz="4" w:space="0" w:color="auto"/>
              <w:right w:val="single" w:sz="4" w:space="0" w:color="auto"/>
            </w:tcBorders>
            <w:noWrap/>
            <w:vAlign w:val="bottom"/>
            <w:hideMark/>
          </w:tcPr>
          <w:p w14:paraId="1ECC24B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41490EA0" w14:textId="77777777" w:rsidTr="00BB1392">
        <w:trPr>
          <w:trHeight w:val="195"/>
        </w:trPr>
        <w:tc>
          <w:tcPr>
            <w:tcW w:w="6500" w:type="dxa"/>
            <w:tcBorders>
              <w:top w:val="single" w:sz="4" w:space="0" w:color="auto"/>
              <w:left w:val="single" w:sz="4" w:space="0" w:color="auto"/>
              <w:bottom w:val="single" w:sz="4" w:space="0" w:color="auto"/>
              <w:right w:val="single" w:sz="4" w:space="0" w:color="auto"/>
            </w:tcBorders>
            <w:noWrap/>
            <w:vAlign w:val="bottom"/>
            <w:hideMark/>
          </w:tcPr>
          <w:p w14:paraId="4EB6F989"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544 Otplata glavnice primljenih kredita i zajmova od kreditnih i ostalih financijskih institucija izvan </w:t>
            </w:r>
          </w:p>
        </w:tc>
        <w:tc>
          <w:tcPr>
            <w:tcW w:w="1300" w:type="dxa"/>
            <w:tcBorders>
              <w:top w:val="single" w:sz="4" w:space="0" w:color="auto"/>
              <w:left w:val="nil"/>
              <w:bottom w:val="single" w:sz="4" w:space="0" w:color="auto"/>
              <w:right w:val="single" w:sz="4" w:space="0" w:color="auto"/>
            </w:tcBorders>
            <w:noWrap/>
            <w:vAlign w:val="bottom"/>
            <w:hideMark/>
          </w:tcPr>
          <w:p w14:paraId="5C8FDEE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71.429,76</w:t>
            </w:r>
          </w:p>
        </w:tc>
        <w:tc>
          <w:tcPr>
            <w:tcW w:w="1280" w:type="dxa"/>
            <w:tcBorders>
              <w:top w:val="single" w:sz="4" w:space="0" w:color="auto"/>
              <w:left w:val="nil"/>
              <w:bottom w:val="single" w:sz="4" w:space="0" w:color="auto"/>
              <w:right w:val="single" w:sz="4" w:space="0" w:color="auto"/>
            </w:tcBorders>
            <w:noWrap/>
            <w:vAlign w:val="bottom"/>
            <w:hideMark/>
          </w:tcPr>
          <w:p w14:paraId="166801F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300" w:type="dxa"/>
            <w:tcBorders>
              <w:top w:val="single" w:sz="4" w:space="0" w:color="auto"/>
              <w:left w:val="nil"/>
              <w:bottom w:val="single" w:sz="4" w:space="0" w:color="auto"/>
              <w:right w:val="single" w:sz="4" w:space="0" w:color="auto"/>
            </w:tcBorders>
            <w:noWrap/>
            <w:vAlign w:val="bottom"/>
            <w:hideMark/>
          </w:tcPr>
          <w:p w14:paraId="2F21233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160" w:type="dxa"/>
            <w:tcBorders>
              <w:top w:val="single" w:sz="4" w:space="0" w:color="auto"/>
              <w:left w:val="nil"/>
              <w:bottom w:val="single" w:sz="4" w:space="0" w:color="auto"/>
              <w:right w:val="single" w:sz="4" w:space="0" w:color="auto"/>
            </w:tcBorders>
            <w:noWrap/>
            <w:vAlign w:val="bottom"/>
            <w:hideMark/>
          </w:tcPr>
          <w:p w14:paraId="2551132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71.429,76</w:t>
            </w:r>
          </w:p>
        </w:tc>
        <w:tc>
          <w:tcPr>
            <w:tcW w:w="940" w:type="dxa"/>
            <w:tcBorders>
              <w:top w:val="single" w:sz="4" w:space="0" w:color="auto"/>
              <w:left w:val="nil"/>
              <w:bottom w:val="single" w:sz="4" w:space="0" w:color="auto"/>
              <w:right w:val="single" w:sz="4" w:space="0" w:color="auto"/>
            </w:tcBorders>
            <w:noWrap/>
            <w:vAlign w:val="bottom"/>
            <w:hideMark/>
          </w:tcPr>
          <w:p w14:paraId="3258AA0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w:t>
            </w:r>
          </w:p>
        </w:tc>
        <w:tc>
          <w:tcPr>
            <w:tcW w:w="960" w:type="dxa"/>
            <w:tcBorders>
              <w:top w:val="single" w:sz="4" w:space="0" w:color="auto"/>
              <w:left w:val="nil"/>
              <w:bottom w:val="single" w:sz="4" w:space="0" w:color="auto"/>
              <w:right w:val="single" w:sz="4" w:space="0" w:color="auto"/>
            </w:tcBorders>
            <w:noWrap/>
            <w:vAlign w:val="bottom"/>
            <w:hideMark/>
          </w:tcPr>
          <w:p w14:paraId="0E7F360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5EEDF0E" w14:textId="77777777" w:rsidTr="00BB1392">
        <w:trPr>
          <w:trHeight w:val="195"/>
        </w:trPr>
        <w:tc>
          <w:tcPr>
            <w:tcW w:w="6500" w:type="dxa"/>
            <w:tcBorders>
              <w:top w:val="single" w:sz="4" w:space="0" w:color="auto"/>
              <w:left w:val="single" w:sz="4" w:space="0" w:color="auto"/>
              <w:bottom w:val="single" w:sz="4" w:space="0" w:color="auto"/>
              <w:right w:val="single" w:sz="4" w:space="0" w:color="auto"/>
            </w:tcBorders>
            <w:noWrap/>
            <w:vAlign w:val="bottom"/>
            <w:hideMark/>
          </w:tcPr>
          <w:p w14:paraId="2AC2E6AB" w14:textId="77777777" w:rsidR="00416D67" w:rsidRPr="00416D67" w:rsidRDefault="00416D67" w:rsidP="00416D67">
            <w:pPr>
              <w:rPr>
                <w:rFonts w:ascii="Arial" w:hAnsi="Arial" w:cs="Arial"/>
                <w:sz w:val="14"/>
                <w:szCs w:val="14"/>
              </w:rPr>
            </w:pPr>
            <w:r w:rsidRPr="00416D67">
              <w:rPr>
                <w:rFonts w:ascii="Arial" w:hAnsi="Arial" w:cs="Arial"/>
                <w:sz w:val="14"/>
                <w:szCs w:val="14"/>
              </w:rPr>
              <w:t>5443 Otplata glavnice primljenih kredita od tuzemnih kreditnih institucija izvan javnog sektora</w:t>
            </w:r>
          </w:p>
        </w:tc>
        <w:tc>
          <w:tcPr>
            <w:tcW w:w="1300" w:type="dxa"/>
            <w:tcBorders>
              <w:top w:val="single" w:sz="4" w:space="0" w:color="auto"/>
              <w:left w:val="nil"/>
              <w:bottom w:val="single" w:sz="4" w:space="0" w:color="auto"/>
              <w:right w:val="single" w:sz="4" w:space="0" w:color="auto"/>
            </w:tcBorders>
            <w:noWrap/>
            <w:vAlign w:val="bottom"/>
            <w:hideMark/>
          </w:tcPr>
          <w:p w14:paraId="1218001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71.429,76</w:t>
            </w:r>
          </w:p>
        </w:tc>
        <w:tc>
          <w:tcPr>
            <w:tcW w:w="1280" w:type="dxa"/>
            <w:tcBorders>
              <w:top w:val="single" w:sz="4" w:space="0" w:color="auto"/>
              <w:left w:val="nil"/>
              <w:bottom w:val="single" w:sz="4" w:space="0" w:color="auto"/>
              <w:right w:val="single" w:sz="4" w:space="0" w:color="auto"/>
            </w:tcBorders>
            <w:noWrap/>
            <w:vAlign w:val="bottom"/>
            <w:hideMark/>
          </w:tcPr>
          <w:p w14:paraId="3DC8679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300" w:type="dxa"/>
            <w:tcBorders>
              <w:top w:val="single" w:sz="4" w:space="0" w:color="auto"/>
              <w:left w:val="nil"/>
              <w:bottom w:val="single" w:sz="4" w:space="0" w:color="auto"/>
              <w:right w:val="single" w:sz="4" w:space="0" w:color="auto"/>
            </w:tcBorders>
            <w:noWrap/>
            <w:vAlign w:val="bottom"/>
            <w:hideMark/>
          </w:tcPr>
          <w:p w14:paraId="4C3BFC8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160" w:type="dxa"/>
            <w:tcBorders>
              <w:top w:val="single" w:sz="4" w:space="0" w:color="auto"/>
              <w:left w:val="nil"/>
              <w:bottom w:val="single" w:sz="4" w:space="0" w:color="auto"/>
              <w:right w:val="single" w:sz="4" w:space="0" w:color="auto"/>
            </w:tcBorders>
            <w:noWrap/>
            <w:vAlign w:val="bottom"/>
            <w:hideMark/>
          </w:tcPr>
          <w:p w14:paraId="3452AE1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71.429,76</w:t>
            </w:r>
          </w:p>
        </w:tc>
        <w:tc>
          <w:tcPr>
            <w:tcW w:w="940" w:type="dxa"/>
            <w:tcBorders>
              <w:top w:val="single" w:sz="4" w:space="0" w:color="auto"/>
              <w:left w:val="nil"/>
              <w:bottom w:val="single" w:sz="4" w:space="0" w:color="auto"/>
              <w:right w:val="single" w:sz="4" w:space="0" w:color="auto"/>
            </w:tcBorders>
            <w:noWrap/>
            <w:vAlign w:val="bottom"/>
            <w:hideMark/>
          </w:tcPr>
          <w:p w14:paraId="62EE72C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w:t>
            </w:r>
          </w:p>
        </w:tc>
        <w:tc>
          <w:tcPr>
            <w:tcW w:w="960" w:type="dxa"/>
            <w:tcBorders>
              <w:top w:val="single" w:sz="4" w:space="0" w:color="auto"/>
              <w:left w:val="nil"/>
              <w:bottom w:val="single" w:sz="4" w:space="0" w:color="auto"/>
              <w:right w:val="single" w:sz="4" w:space="0" w:color="auto"/>
            </w:tcBorders>
            <w:noWrap/>
            <w:vAlign w:val="bottom"/>
            <w:hideMark/>
          </w:tcPr>
          <w:p w14:paraId="70B68A9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F608E24" w14:textId="77777777" w:rsidTr="00BB1392">
        <w:trPr>
          <w:trHeight w:val="195"/>
        </w:trPr>
        <w:tc>
          <w:tcPr>
            <w:tcW w:w="6500"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7EFD1A9" w14:textId="77777777" w:rsidR="00416D67" w:rsidRPr="00416D67" w:rsidRDefault="00416D67" w:rsidP="00416D67">
            <w:pPr>
              <w:rPr>
                <w:rFonts w:ascii="Arial" w:hAnsi="Arial" w:cs="Arial"/>
                <w:b/>
                <w:bCs/>
                <w:color w:val="FFFFFF"/>
                <w:sz w:val="14"/>
                <w:szCs w:val="14"/>
              </w:rPr>
            </w:pPr>
            <w:r w:rsidRPr="00416D67">
              <w:rPr>
                <w:rFonts w:ascii="Arial" w:hAnsi="Arial" w:cs="Arial"/>
                <w:b/>
                <w:bCs/>
                <w:color w:val="FFFFFF"/>
                <w:sz w:val="14"/>
                <w:szCs w:val="14"/>
              </w:rPr>
              <w:t xml:space="preserve"> NETO FINANCIRANJE</w:t>
            </w:r>
          </w:p>
        </w:tc>
        <w:tc>
          <w:tcPr>
            <w:tcW w:w="1300" w:type="dxa"/>
            <w:tcBorders>
              <w:top w:val="single" w:sz="4" w:space="0" w:color="auto"/>
              <w:left w:val="nil"/>
              <w:bottom w:val="single" w:sz="4" w:space="0" w:color="auto"/>
              <w:right w:val="single" w:sz="4" w:space="0" w:color="auto"/>
            </w:tcBorders>
            <w:shd w:val="clear" w:color="000000" w:fill="808080"/>
            <w:noWrap/>
            <w:vAlign w:val="bottom"/>
            <w:hideMark/>
          </w:tcPr>
          <w:p w14:paraId="264B155D"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-71.429,76</w:t>
            </w:r>
          </w:p>
        </w:tc>
        <w:tc>
          <w:tcPr>
            <w:tcW w:w="1280" w:type="dxa"/>
            <w:tcBorders>
              <w:top w:val="single" w:sz="4" w:space="0" w:color="auto"/>
              <w:left w:val="nil"/>
              <w:bottom w:val="single" w:sz="4" w:space="0" w:color="auto"/>
              <w:right w:val="single" w:sz="4" w:space="0" w:color="auto"/>
            </w:tcBorders>
            <w:shd w:val="clear" w:color="000000" w:fill="808080"/>
            <w:noWrap/>
            <w:vAlign w:val="bottom"/>
            <w:hideMark/>
          </w:tcPr>
          <w:p w14:paraId="297F69E0"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1.550.410,06</w:t>
            </w:r>
          </w:p>
        </w:tc>
        <w:tc>
          <w:tcPr>
            <w:tcW w:w="1300" w:type="dxa"/>
            <w:tcBorders>
              <w:top w:val="single" w:sz="4" w:space="0" w:color="auto"/>
              <w:left w:val="nil"/>
              <w:bottom w:val="single" w:sz="4" w:space="0" w:color="auto"/>
              <w:right w:val="single" w:sz="4" w:space="0" w:color="auto"/>
            </w:tcBorders>
            <w:shd w:val="clear" w:color="000000" w:fill="808080"/>
            <w:noWrap/>
            <w:vAlign w:val="bottom"/>
            <w:hideMark/>
          </w:tcPr>
          <w:p w14:paraId="180D8F18"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1.550.410,06</w:t>
            </w:r>
          </w:p>
        </w:tc>
        <w:tc>
          <w:tcPr>
            <w:tcW w:w="1160" w:type="dxa"/>
            <w:tcBorders>
              <w:top w:val="single" w:sz="4" w:space="0" w:color="auto"/>
              <w:left w:val="nil"/>
              <w:bottom w:val="single" w:sz="4" w:space="0" w:color="auto"/>
              <w:right w:val="single" w:sz="4" w:space="0" w:color="auto"/>
            </w:tcBorders>
            <w:shd w:val="clear" w:color="000000" w:fill="808080"/>
            <w:noWrap/>
            <w:vAlign w:val="bottom"/>
            <w:hideMark/>
          </w:tcPr>
          <w:p w14:paraId="5B374197"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-184.222,96</w:t>
            </w:r>
          </w:p>
        </w:tc>
        <w:tc>
          <w:tcPr>
            <w:tcW w:w="940" w:type="dxa"/>
            <w:tcBorders>
              <w:top w:val="single" w:sz="4" w:space="0" w:color="auto"/>
              <w:left w:val="nil"/>
              <w:bottom w:val="single" w:sz="4" w:space="0" w:color="auto"/>
              <w:right w:val="single" w:sz="4" w:space="0" w:color="auto"/>
            </w:tcBorders>
            <w:shd w:val="clear" w:color="000000" w:fill="808080"/>
            <w:noWrap/>
            <w:vAlign w:val="bottom"/>
            <w:hideMark/>
          </w:tcPr>
          <w:p w14:paraId="71DC2EB2"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257,91%</w:t>
            </w:r>
          </w:p>
        </w:tc>
        <w:tc>
          <w:tcPr>
            <w:tcW w:w="960" w:type="dxa"/>
            <w:tcBorders>
              <w:top w:val="single" w:sz="4" w:space="0" w:color="auto"/>
              <w:left w:val="nil"/>
              <w:bottom w:val="single" w:sz="4" w:space="0" w:color="auto"/>
              <w:right w:val="single" w:sz="4" w:space="0" w:color="auto"/>
            </w:tcBorders>
            <w:shd w:val="clear" w:color="000000" w:fill="808080"/>
            <w:noWrap/>
            <w:vAlign w:val="bottom"/>
            <w:hideMark/>
          </w:tcPr>
          <w:p w14:paraId="26F851A2"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-11,88%</w:t>
            </w:r>
          </w:p>
        </w:tc>
      </w:tr>
      <w:tr w:rsidR="00416D67" w:rsidRPr="00416D67" w14:paraId="5FC7D80A" w14:textId="77777777" w:rsidTr="00BB1392">
        <w:trPr>
          <w:trHeight w:val="195"/>
        </w:trPr>
        <w:tc>
          <w:tcPr>
            <w:tcW w:w="6500" w:type="dxa"/>
            <w:tcBorders>
              <w:top w:val="single" w:sz="4" w:space="0" w:color="auto"/>
              <w:left w:val="single" w:sz="4" w:space="0" w:color="auto"/>
              <w:bottom w:val="single" w:sz="4" w:space="0" w:color="auto"/>
              <w:right w:val="single" w:sz="4" w:space="0" w:color="auto"/>
            </w:tcBorders>
            <w:noWrap/>
            <w:vAlign w:val="bottom"/>
            <w:hideMark/>
          </w:tcPr>
          <w:p w14:paraId="5639D03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9 Vlastiti izvori</w:t>
            </w:r>
          </w:p>
        </w:tc>
        <w:tc>
          <w:tcPr>
            <w:tcW w:w="1300" w:type="dxa"/>
            <w:tcBorders>
              <w:top w:val="single" w:sz="4" w:space="0" w:color="auto"/>
              <w:left w:val="nil"/>
              <w:bottom w:val="single" w:sz="4" w:space="0" w:color="auto"/>
              <w:right w:val="single" w:sz="4" w:space="0" w:color="auto"/>
            </w:tcBorders>
            <w:noWrap/>
            <w:vAlign w:val="bottom"/>
            <w:hideMark/>
          </w:tcPr>
          <w:p w14:paraId="02F4F53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348.690,81</w:t>
            </w:r>
          </w:p>
        </w:tc>
        <w:tc>
          <w:tcPr>
            <w:tcW w:w="1280" w:type="dxa"/>
            <w:tcBorders>
              <w:top w:val="single" w:sz="4" w:space="0" w:color="auto"/>
              <w:left w:val="nil"/>
              <w:bottom w:val="single" w:sz="4" w:space="0" w:color="auto"/>
              <w:right w:val="single" w:sz="4" w:space="0" w:color="auto"/>
            </w:tcBorders>
            <w:noWrap/>
            <w:vAlign w:val="bottom"/>
            <w:hideMark/>
          </w:tcPr>
          <w:p w14:paraId="0A6F294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1.747.613,82</w:t>
            </w:r>
          </w:p>
        </w:tc>
        <w:tc>
          <w:tcPr>
            <w:tcW w:w="1300" w:type="dxa"/>
            <w:tcBorders>
              <w:top w:val="single" w:sz="4" w:space="0" w:color="auto"/>
              <w:left w:val="nil"/>
              <w:bottom w:val="single" w:sz="4" w:space="0" w:color="auto"/>
              <w:right w:val="single" w:sz="4" w:space="0" w:color="auto"/>
            </w:tcBorders>
            <w:noWrap/>
            <w:vAlign w:val="bottom"/>
            <w:hideMark/>
          </w:tcPr>
          <w:p w14:paraId="658F3F6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1.747.613,82</w:t>
            </w:r>
          </w:p>
        </w:tc>
        <w:tc>
          <w:tcPr>
            <w:tcW w:w="1160" w:type="dxa"/>
            <w:tcBorders>
              <w:top w:val="single" w:sz="4" w:space="0" w:color="auto"/>
              <w:left w:val="nil"/>
              <w:bottom w:val="single" w:sz="4" w:space="0" w:color="auto"/>
              <w:right w:val="single" w:sz="4" w:space="0" w:color="auto"/>
            </w:tcBorders>
            <w:noWrap/>
            <w:vAlign w:val="bottom"/>
            <w:hideMark/>
          </w:tcPr>
          <w:p w14:paraId="4380C64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980.282,70</w:t>
            </w:r>
          </w:p>
        </w:tc>
        <w:tc>
          <w:tcPr>
            <w:tcW w:w="940" w:type="dxa"/>
            <w:tcBorders>
              <w:top w:val="single" w:sz="4" w:space="0" w:color="auto"/>
              <w:left w:val="nil"/>
              <w:bottom w:val="single" w:sz="4" w:space="0" w:color="auto"/>
              <w:right w:val="single" w:sz="4" w:space="0" w:color="auto"/>
            </w:tcBorders>
            <w:noWrap/>
            <w:vAlign w:val="bottom"/>
            <w:hideMark/>
          </w:tcPr>
          <w:p w14:paraId="3E444BB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960" w:type="dxa"/>
            <w:tcBorders>
              <w:top w:val="single" w:sz="4" w:space="0" w:color="auto"/>
              <w:left w:val="nil"/>
              <w:bottom w:val="single" w:sz="4" w:space="0" w:color="auto"/>
              <w:right w:val="single" w:sz="4" w:space="0" w:color="auto"/>
            </w:tcBorders>
            <w:noWrap/>
            <w:vAlign w:val="bottom"/>
            <w:hideMark/>
          </w:tcPr>
          <w:p w14:paraId="5D1A94B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r>
      <w:tr w:rsidR="00416D67" w:rsidRPr="00416D67" w14:paraId="23330E07" w14:textId="77777777" w:rsidTr="00BB1392">
        <w:trPr>
          <w:trHeight w:val="195"/>
        </w:trPr>
        <w:tc>
          <w:tcPr>
            <w:tcW w:w="6500" w:type="dxa"/>
            <w:tcBorders>
              <w:top w:val="single" w:sz="4" w:space="0" w:color="auto"/>
              <w:left w:val="single" w:sz="4" w:space="0" w:color="auto"/>
              <w:bottom w:val="single" w:sz="4" w:space="0" w:color="auto"/>
              <w:right w:val="single" w:sz="4" w:space="0" w:color="auto"/>
            </w:tcBorders>
            <w:noWrap/>
            <w:vAlign w:val="bottom"/>
            <w:hideMark/>
          </w:tcPr>
          <w:p w14:paraId="10B7F43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92 Rezultat poslovanja</w:t>
            </w:r>
          </w:p>
        </w:tc>
        <w:tc>
          <w:tcPr>
            <w:tcW w:w="1300" w:type="dxa"/>
            <w:tcBorders>
              <w:top w:val="single" w:sz="4" w:space="0" w:color="auto"/>
              <w:left w:val="nil"/>
              <w:bottom w:val="single" w:sz="4" w:space="0" w:color="auto"/>
              <w:right w:val="single" w:sz="4" w:space="0" w:color="auto"/>
            </w:tcBorders>
            <w:noWrap/>
            <w:vAlign w:val="bottom"/>
            <w:hideMark/>
          </w:tcPr>
          <w:p w14:paraId="7C21A49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348.690,81</w:t>
            </w:r>
          </w:p>
        </w:tc>
        <w:tc>
          <w:tcPr>
            <w:tcW w:w="1280" w:type="dxa"/>
            <w:tcBorders>
              <w:top w:val="single" w:sz="4" w:space="0" w:color="auto"/>
              <w:left w:val="nil"/>
              <w:bottom w:val="single" w:sz="4" w:space="0" w:color="auto"/>
              <w:right w:val="single" w:sz="4" w:space="0" w:color="auto"/>
            </w:tcBorders>
            <w:noWrap/>
            <w:vAlign w:val="bottom"/>
            <w:hideMark/>
          </w:tcPr>
          <w:p w14:paraId="31B5472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1.747.613,82</w:t>
            </w:r>
          </w:p>
        </w:tc>
        <w:tc>
          <w:tcPr>
            <w:tcW w:w="1300" w:type="dxa"/>
            <w:tcBorders>
              <w:top w:val="single" w:sz="4" w:space="0" w:color="auto"/>
              <w:left w:val="nil"/>
              <w:bottom w:val="single" w:sz="4" w:space="0" w:color="auto"/>
              <w:right w:val="single" w:sz="4" w:space="0" w:color="auto"/>
            </w:tcBorders>
            <w:noWrap/>
            <w:vAlign w:val="bottom"/>
            <w:hideMark/>
          </w:tcPr>
          <w:p w14:paraId="1277392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1.747.613,82</w:t>
            </w:r>
          </w:p>
        </w:tc>
        <w:tc>
          <w:tcPr>
            <w:tcW w:w="1160" w:type="dxa"/>
            <w:tcBorders>
              <w:top w:val="single" w:sz="4" w:space="0" w:color="auto"/>
              <w:left w:val="nil"/>
              <w:bottom w:val="single" w:sz="4" w:space="0" w:color="auto"/>
              <w:right w:val="single" w:sz="4" w:space="0" w:color="auto"/>
            </w:tcBorders>
            <w:noWrap/>
            <w:vAlign w:val="bottom"/>
            <w:hideMark/>
          </w:tcPr>
          <w:p w14:paraId="02D73C9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980.282,70</w:t>
            </w:r>
          </w:p>
        </w:tc>
        <w:tc>
          <w:tcPr>
            <w:tcW w:w="940" w:type="dxa"/>
            <w:tcBorders>
              <w:top w:val="single" w:sz="4" w:space="0" w:color="auto"/>
              <w:left w:val="nil"/>
              <w:bottom w:val="single" w:sz="4" w:space="0" w:color="auto"/>
              <w:right w:val="single" w:sz="4" w:space="0" w:color="auto"/>
            </w:tcBorders>
            <w:noWrap/>
            <w:vAlign w:val="bottom"/>
            <w:hideMark/>
          </w:tcPr>
          <w:p w14:paraId="163B6C8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960" w:type="dxa"/>
            <w:tcBorders>
              <w:top w:val="single" w:sz="4" w:space="0" w:color="auto"/>
              <w:left w:val="nil"/>
              <w:bottom w:val="single" w:sz="4" w:space="0" w:color="auto"/>
              <w:right w:val="single" w:sz="4" w:space="0" w:color="auto"/>
            </w:tcBorders>
            <w:noWrap/>
            <w:vAlign w:val="bottom"/>
            <w:hideMark/>
          </w:tcPr>
          <w:p w14:paraId="00BE64F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r>
      <w:tr w:rsidR="00416D67" w:rsidRPr="00416D67" w14:paraId="2A9EBB0F" w14:textId="77777777" w:rsidTr="00BB1392">
        <w:trPr>
          <w:trHeight w:val="195"/>
        </w:trPr>
        <w:tc>
          <w:tcPr>
            <w:tcW w:w="6500"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78ADD6EA" w14:textId="77777777" w:rsidR="00416D67" w:rsidRPr="00416D67" w:rsidRDefault="00416D67" w:rsidP="00416D67">
            <w:pPr>
              <w:rPr>
                <w:rFonts w:ascii="Arial" w:hAnsi="Arial" w:cs="Arial"/>
                <w:b/>
                <w:bCs/>
                <w:color w:val="FFFFFF"/>
                <w:sz w:val="14"/>
                <w:szCs w:val="14"/>
              </w:rPr>
            </w:pPr>
            <w:r w:rsidRPr="00416D67">
              <w:rPr>
                <w:rFonts w:ascii="Arial" w:hAnsi="Arial" w:cs="Arial"/>
                <w:b/>
                <w:bCs/>
                <w:color w:val="FFFFFF"/>
                <w:sz w:val="14"/>
                <w:szCs w:val="14"/>
              </w:rPr>
              <w:t xml:space="preserve"> KORIŠTENJE SREDSTAVA IZ PRETHODNIH GODINA</w:t>
            </w:r>
          </w:p>
        </w:tc>
        <w:tc>
          <w:tcPr>
            <w:tcW w:w="1300" w:type="dxa"/>
            <w:tcBorders>
              <w:top w:val="single" w:sz="4" w:space="0" w:color="auto"/>
              <w:left w:val="nil"/>
              <w:bottom w:val="single" w:sz="4" w:space="0" w:color="auto"/>
              <w:right w:val="single" w:sz="4" w:space="0" w:color="auto"/>
            </w:tcBorders>
            <w:shd w:val="clear" w:color="000000" w:fill="808080"/>
            <w:noWrap/>
            <w:vAlign w:val="bottom"/>
            <w:hideMark/>
          </w:tcPr>
          <w:p w14:paraId="401AD970"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348.690,81</w:t>
            </w:r>
          </w:p>
        </w:tc>
        <w:tc>
          <w:tcPr>
            <w:tcW w:w="1280" w:type="dxa"/>
            <w:tcBorders>
              <w:top w:val="single" w:sz="4" w:space="0" w:color="auto"/>
              <w:left w:val="nil"/>
              <w:bottom w:val="single" w:sz="4" w:space="0" w:color="auto"/>
              <w:right w:val="single" w:sz="4" w:space="0" w:color="auto"/>
            </w:tcBorders>
            <w:shd w:val="clear" w:color="000000" w:fill="808080"/>
            <w:noWrap/>
            <w:vAlign w:val="bottom"/>
            <w:hideMark/>
          </w:tcPr>
          <w:p w14:paraId="61147AAC"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1.747.613,82</w:t>
            </w:r>
          </w:p>
        </w:tc>
        <w:tc>
          <w:tcPr>
            <w:tcW w:w="1300" w:type="dxa"/>
            <w:tcBorders>
              <w:top w:val="single" w:sz="4" w:space="0" w:color="auto"/>
              <w:left w:val="nil"/>
              <w:bottom w:val="single" w:sz="4" w:space="0" w:color="auto"/>
              <w:right w:val="single" w:sz="4" w:space="0" w:color="auto"/>
            </w:tcBorders>
            <w:shd w:val="clear" w:color="000000" w:fill="808080"/>
            <w:noWrap/>
            <w:vAlign w:val="bottom"/>
            <w:hideMark/>
          </w:tcPr>
          <w:p w14:paraId="69B30248"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1.747.613,82</w:t>
            </w:r>
          </w:p>
        </w:tc>
        <w:tc>
          <w:tcPr>
            <w:tcW w:w="1160" w:type="dxa"/>
            <w:tcBorders>
              <w:top w:val="single" w:sz="4" w:space="0" w:color="auto"/>
              <w:left w:val="nil"/>
              <w:bottom w:val="single" w:sz="4" w:space="0" w:color="auto"/>
              <w:right w:val="single" w:sz="4" w:space="0" w:color="auto"/>
            </w:tcBorders>
            <w:shd w:val="clear" w:color="000000" w:fill="808080"/>
            <w:noWrap/>
            <w:vAlign w:val="bottom"/>
            <w:hideMark/>
          </w:tcPr>
          <w:p w14:paraId="136B7048"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980.282,70</w:t>
            </w:r>
          </w:p>
        </w:tc>
        <w:tc>
          <w:tcPr>
            <w:tcW w:w="940" w:type="dxa"/>
            <w:tcBorders>
              <w:top w:val="single" w:sz="4" w:space="0" w:color="auto"/>
              <w:left w:val="nil"/>
              <w:bottom w:val="single" w:sz="4" w:space="0" w:color="auto"/>
              <w:right w:val="single" w:sz="4" w:space="0" w:color="auto"/>
            </w:tcBorders>
            <w:shd w:val="clear" w:color="000000" w:fill="808080"/>
            <w:noWrap/>
            <w:vAlign w:val="bottom"/>
            <w:hideMark/>
          </w:tcPr>
          <w:p w14:paraId="1BBF31C1"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 </w:t>
            </w:r>
          </w:p>
        </w:tc>
        <w:tc>
          <w:tcPr>
            <w:tcW w:w="960" w:type="dxa"/>
            <w:tcBorders>
              <w:top w:val="single" w:sz="4" w:space="0" w:color="auto"/>
              <w:left w:val="nil"/>
              <w:bottom w:val="single" w:sz="4" w:space="0" w:color="auto"/>
              <w:right w:val="single" w:sz="4" w:space="0" w:color="auto"/>
            </w:tcBorders>
            <w:shd w:val="clear" w:color="000000" w:fill="808080"/>
            <w:noWrap/>
            <w:vAlign w:val="bottom"/>
            <w:hideMark/>
          </w:tcPr>
          <w:p w14:paraId="10E48A6A"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 </w:t>
            </w:r>
          </w:p>
        </w:tc>
      </w:tr>
    </w:tbl>
    <w:p w14:paraId="267AEAEB" w14:textId="77777777" w:rsidR="00416D67" w:rsidRPr="00416D67" w:rsidRDefault="00416D67" w:rsidP="00416D67">
      <w:pPr>
        <w:jc w:val="both"/>
        <w:rPr>
          <w:b/>
        </w:rPr>
      </w:pPr>
    </w:p>
    <w:p w14:paraId="54930340" w14:textId="77777777" w:rsidR="00416D67" w:rsidRPr="00416D67" w:rsidRDefault="00416D67" w:rsidP="00416D67">
      <w:pPr>
        <w:jc w:val="both"/>
        <w:rPr>
          <w:b/>
        </w:rPr>
      </w:pPr>
    </w:p>
    <w:p w14:paraId="26F08BD6" w14:textId="77777777" w:rsidR="00416D67" w:rsidRPr="00416D67" w:rsidRDefault="00416D67" w:rsidP="00416D67">
      <w:pPr>
        <w:jc w:val="both"/>
        <w:rPr>
          <w:b/>
        </w:rPr>
      </w:pPr>
    </w:p>
    <w:p w14:paraId="7531658F" w14:textId="77777777" w:rsidR="00416D67" w:rsidRPr="00416D67" w:rsidRDefault="00416D67" w:rsidP="00416D67">
      <w:pPr>
        <w:jc w:val="both"/>
        <w:rPr>
          <w:b/>
        </w:rPr>
      </w:pPr>
    </w:p>
    <w:p w14:paraId="03121078" w14:textId="77777777" w:rsidR="00416D67" w:rsidRPr="00416D67" w:rsidRDefault="00416D67" w:rsidP="00416D67">
      <w:pPr>
        <w:jc w:val="both"/>
        <w:rPr>
          <w:b/>
        </w:rPr>
      </w:pPr>
    </w:p>
    <w:p w14:paraId="670E8643" w14:textId="77777777" w:rsidR="00416D67" w:rsidRPr="00416D67" w:rsidRDefault="00416D67" w:rsidP="00416D67">
      <w:pPr>
        <w:jc w:val="both"/>
        <w:rPr>
          <w:b/>
        </w:rPr>
      </w:pPr>
    </w:p>
    <w:p w14:paraId="33419ACD" w14:textId="77777777" w:rsidR="00416D67" w:rsidRPr="00416D67" w:rsidRDefault="00416D67" w:rsidP="00416D67">
      <w:pPr>
        <w:jc w:val="both"/>
        <w:rPr>
          <w:b/>
        </w:rPr>
      </w:pPr>
    </w:p>
    <w:p w14:paraId="76DC6883" w14:textId="77777777" w:rsidR="00416D67" w:rsidRPr="00416D67" w:rsidRDefault="00416D67" w:rsidP="00416D67">
      <w:pPr>
        <w:jc w:val="both"/>
        <w:rPr>
          <w:b/>
        </w:rPr>
      </w:pPr>
    </w:p>
    <w:p w14:paraId="00A252B8" w14:textId="77777777" w:rsidR="00416D67" w:rsidRPr="00416D67" w:rsidRDefault="00416D67" w:rsidP="00416D67">
      <w:pPr>
        <w:jc w:val="both"/>
        <w:rPr>
          <w:b/>
        </w:rPr>
      </w:pPr>
      <w:r w:rsidRPr="00416D67">
        <w:rPr>
          <w:b/>
        </w:rPr>
        <w:t>Račun financiranja prema izvorima</w:t>
      </w:r>
    </w:p>
    <w:tbl>
      <w:tblPr>
        <w:tblW w:w="14200" w:type="dxa"/>
        <w:tblInd w:w="93" w:type="dxa"/>
        <w:tblLook w:val="04A0" w:firstRow="1" w:lastRow="0" w:firstColumn="1" w:lastColumn="0" w:noHBand="0" w:noVBand="1"/>
      </w:tblPr>
      <w:tblGrid>
        <w:gridCol w:w="6126"/>
        <w:gridCol w:w="1307"/>
        <w:gridCol w:w="1242"/>
        <w:gridCol w:w="1649"/>
        <w:gridCol w:w="1713"/>
        <w:gridCol w:w="1049"/>
        <w:gridCol w:w="1114"/>
      </w:tblGrid>
      <w:tr w:rsidR="00416D67" w:rsidRPr="00416D67" w14:paraId="4978BF1E" w14:textId="77777777" w:rsidTr="00BB1392">
        <w:trPr>
          <w:trHeight w:val="645"/>
        </w:trPr>
        <w:tc>
          <w:tcPr>
            <w:tcW w:w="6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E4C0A53" w14:textId="77777777" w:rsidR="00416D67" w:rsidRPr="00416D67" w:rsidRDefault="00416D67" w:rsidP="00416D67">
            <w:pPr>
              <w:jc w:val="center"/>
              <w:rPr>
                <w:rFonts w:ascii="Arial" w:hAnsi="Arial" w:cs="Arial"/>
                <w:b/>
                <w:bCs/>
                <w:sz w:val="14"/>
                <w:szCs w:val="14"/>
              </w:rPr>
            </w:pPr>
            <w:r w:rsidRPr="00416D67">
              <w:rPr>
                <w:rFonts w:ascii="Arial" w:hAnsi="Arial" w:cs="Arial"/>
                <w:b/>
                <w:bCs/>
                <w:sz w:val="14"/>
                <w:szCs w:val="14"/>
              </w:rPr>
              <w:t>Račun / opis</w:t>
            </w:r>
          </w:p>
        </w:tc>
        <w:tc>
          <w:tcPr>
            <w:tcW w:w="1307" w:type="dxa"/>
            <w:tcBorders>
              <w:top w:val="single" w:sz="4" w:space="0" w:color="auto"/>
              <w:left w:val="nil"/>
              <w:bottom w:val="single" w:sz="4" w:space="0" w:color="auto"/>
              <w:right w:val="single" w:sz="4" w:space="0" w:color="auto"/>
            </w:tcBorders>
            <w:shd w:val="clear" w:color="000000" w:fill="D9D9D9"/>
            <w:vAlign w:val="center"/>
            <w:hideMark/>
          </w:tcPr>
          <w:p w14:paraId="7634F5CE"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2024. godina</w:t>
            </w:r>
          </w:p>
        </w:tc>
        <w:tc>
          <w:tcPr>
            <w:tcW w:w="1242" w:type="dxa"/>
            <w:tcBorders>
              <w:top w:val="single" w:sz="4" w:space="0" w:color="auto"/>
              <w:left w:val="nil"/>
              <w:bottom w:val="single" w:sz="4" w:space="0" w:color="auto"/>
              <w:right w:val="single" w:sz="4" w:space="0" w:color="auto"/>
            </w:tcBorders>
            <w:shd w:val="clear" w:color="000000" w:fill="D9D9D9"/>
            <w:vAlign w:val="center"/>
            <w:hideMark/>
          </w:tcPr>
          <w:p w14:paraId="68C6DB8A"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649" w:type="dxa"/>
            <w:tcBorders>
              <w:top w:val="single" w:sz="4" w:space="0" w:color="auto"/>
              <w:left w:val="nil"/>
              <w:bottom w:val="single" w:sz="4" w:space="0" w:color="auto"/>
              <w:right w:val="single" w:sz="4" w:space="0" w:color="auto"/>
            </w:tcBorders>
            <w:shd w:val="clear" w:color="000000" w:fill="D9D9D9"/>
            <w:vAlign w:val="center"/>
            <w:hideMark/>
          </w:tcPr>
          <w:p w14:paraId="2FE13924"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713" w:type="dxa"/>
            <w:tcBorders>
              <w:top w:val="single" w:sz="4" w:space="0" w:color="auto"/>
              <w:left w:val="nil"/>
              <w:bottom w:val="single" w:sz="4" w:space="0" w:color="auto"/>
              <w:right w:val="single" w:sz="4" w:space="0" w:color="auto"/>
            </w:tcBorders>
            <w:shd w:val="clear" w:color="000000" w:fill="D9D9D9"/>
            <w:vAlign w:val="center"/>
            <w:hideMark/>
          </w:tcPr>
          <w:p w14:paraId="6E59E527"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1049" w:type="dxa"/>
            <w:tcBorders>
              <w:top w:val="single" w:sz="4" w:space="0" w:color="auto"/>
              <w:left w:val="nil"/>
              <w:bottom w:val="single" w:sz="4" w:space="0" w:color="auto"/>
              <w:right w:val="single" w:sz="4" w:space="0" w:color="auto"/>
            </w:tcBorders>
            <w:shd w:val="clear" w:color="000000" w:fill="D9D9D9"/>
            <w:vAlign w:val="center"/>
            <w:hideMark/>
          </w:tcPr>
          <w:p w14:paraId="09B90986"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4/1</w:t>
            </w:r>
          </w:p>
        </w:tc>
        <w:tc>
          <w:tcPr>
            <w:tcW w:w="1114" w:type="dxa"/>
            <w:tcBorders>
              <w:top w:val="single" w:sz="4" w:space="0" w:color="auto"/>
              <w:left w:val="nil"/>
              <w:bottom w:val="single" w:sz="4" w:space="0" w:color="auto"/>
              <w:right w:val="single" w:sz="4" w:space="0" w:color="auto"/>
            </w:tcBorders>
            <w:shd w:val="clear" w:color="000000" w:fill="D9D9D9"/>
            <w:vAlign w:val="center"/>
            <w:hideMark/>
          </w:tcPr>
          <w:p w14:paraId="1AAF1301"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4/3</w:t>
            </w:r>
          </w:p>
        </w:tc>
      </w:tr>
      <w:tr w:rsidR="00416D67" w:rsidRPr="00416D67" w14:paraId="6917CE49" w14:textId="77777777" w:rsidTr="00BB1392">
        <w:trPr>
          <w:trHeight w:val="195"/>
        </w:trPr>
        <w:tc>
          <w:tcPr>
            <w:tcW w:w="6126"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848ACC1" w14:textId="77777777" w:rsidR="00416D67" w:rsidRPr="00416D67" w:rsidRDefault="00416D67" w:rsidP="00416D67">
            <w:pPr>
              <w:jc w:val="center"/>
              <w:rPr>
                <w:rFonts w:ascii="Arial" w:hAnsi="Arial" w:cs="Arial"/>
                <w:b/>
                <w:bCs/>
                <w:sz w:val="14"/>
                <w:szCs w:val="14"/>
              </w:rPr>
            </w:pPr>
            <w:r w:rsidRPr="00416D67">
              <w:rPr>
                <w:rFonts w:ascii="Arial" w:hAnsi="Arial" w:cs="Arial"/>
                <w:b/>
                <w:bCs/>
                <w:sz w:val="14"/>
                <w:szCs w:val="14"/>
              </w:rPr>
              <w:t>B. RAČUN ZADUŽIVANJA FINANCIRANJA</w:t>
            </w:r>
          </w:p>
        </w:tc>
        <w:tc>
          <w:tcPr>
            <w:tcW w:w="1307" w:type="dxa"/>
            <w:tcBorders>
              <w:top w:val="single" w:sz="4" w:space="0" w:color="auto"/>
              <w:left w:val="nil"/>
              <w:bottom w:val="single" w:sz="4" w:space="0" w:color="auto"/>
              <w:right w:val="single" w:sz="4" w:space="0" w:color="auto"/>
            </w:tcBorders>
            <w:shd w:val="clear" w:color="000000" w:fill="D9D9D9"/>
            <w:noWrap/>
            <w:vAlign w:val="bottom"/>
            <w:hideMark/>
          </w:tcPr>
          <w:p w14:paraId="57182D32"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1</w:t>
            </w:r>
          </w:p>
        </w:tc>
        <w:tc>
          <w:tcPr>
            <w:tcW w:w="1242" w:type="dxa"/>
            <w:tcBorders>
              <w:top w:val="single" w:sz="4" w:space="0" w:color="auto"/>
              <w:left w:val="nil"/>
              <w:bottom w:val="single" w:sz="4" w:space="0" w:color="auto"/>
              <w:right w:val="single" w:sz="4" w:space="0" w:color="auto"/>
            </w:tcBorders>
            <w:shd w:val="clear" w:color="000000" w:fill="D9D9D9"/>
            <w:noWrap/>
            <w:vAlign w:val="bottom"/>
            <w:hideMark/>
          </w:tcPr>
          <w:p w14:paraId="558AC322"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2</w:t>
            </w:r>
          </w:p>
        </w:tc>
        <w:tc>
          <w:tcPr>
            <w:tcW w:w="1649" w:type="dxa"/>
            <w:tcBorders>
              <w:top w:val="single" w:sz="4" w:space="0" w:color="auto"/>
              <w:left w:val="nil"/>
              <w:bottom w:val="single" w:sz="4" w:space="0" w:color="auto"/>
              <w:right w:val="single" w:sz="4" w:space="0" w:color="auto"/>
            </w:tcBorders>
            <w:shd w:val="clear" w:color="000000" w:fill="D9D9D9"/>
            <w:noWrap/>
            <w:vAlign w:val="bottom"/>
            <w:hideMark/>
          </w:tcPr>
          <w:p w14:paraId="476CE5BD"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3</w:t>
            </w:r>
          </w:p>
        </w:tc>
        <w:tc>
          <w:tcPr>
            <w:tcW w:w="1713" w:type="dxa"/>
            <w:tcBorders>
              <w:top w:val="single" w:sz="4" w:space="0" w:color="auto"/>
              <w:left w:val="nil"/>
              <w:bottom w:val="single" w:sz="4" w:space="0" w:color="auto"/>
              <w:right w:val="single" w:sz="4" w:space="0" w:color="auto"/>
            </w:tcBorders>
            <w:shd w:val="clear" w:color="000000" w:fill="D9D9D9"/>
            <w:noWrap/>
            <w:vAlign w:val="bottom"/>
            <w:hideMark/>
          </w:tcPr>
          <w:p w14:paraId="37B65D33"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4</w:t>
            </w:r>
          </w:p>
        </w:tc>
        <w:tc>
          <w:tcPr>
            <w:tcW w:w="1049" w:type="dxa"/>
            <w:tcBorders>
              <w:top w:val="single" w:sz="4" w:space="0" w:color="auto"/>
              <w:left w:val="nil"/>
              <w:bottom w:val="single" w:sz="4" w:space="0" w:color="auto"/>
              <w:right w:val="single" w:sz="4" w:space="0" w:color="auto"/>
            </w:tcBorders>
            <w:shd w:val="clear" w:color="000000" w:fill="D9D9D9"/>
            <w:noWrap/>
            <w:vAlign w:val="bottom"/>
            <w:hideMark/>
          </w:tcPr>
          <w:p w14:paraId="6A2249B0"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5</w:t>
            </w:r>
          </w:p>
        </w:tc>
        <w:tc>
          <w:tcPr>
            <w:tcW w:w="1114" w:type="dxa"/>
            <w:tcBorders>
              <w:top w:val="single" w:sz="4" w:space="0" w:color="auto"/>
              <w:left w:val="nil"/>
              <w:bottom w:val="single" w:sz="4" w:space="0" w:color="auto"/>
              <w:right w:val="single" w:sz="4" w:space="0" w:color="auto"/>
            </w:tcBorders>
            <w:shd w:val="clear" w:color="000000" w:fill="D9D9D9"/>
            <w:noWrap/>
            <w:vAlign w:val="bottom"/>
            <w:hideMark/>
          </w:tcPr>
          <w:p w14:paraId="4071CED0"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6</w:t>
            </w:r>
          </w:p>
        </w:tc>
      </w:tr>
      <w:tr w:rsidR="00416D67" w:rsidRPr="00416D67" w14:paraId="3F7E5153" w14:textId="77777777" w:rsidTr="00BB1392">
        <w:trPr>
          <w:trHeight w:val="195"/>
        </w:trPr>
        <w:tc>
          <w:tcPr>
            <w:tcW w:w="6126"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151C6B9" w14:textId="77777777" w:rsidR="00416D67" w:rsidRPr="00416D67" w:rsidRDefault="00416D67" w:rsidP="00416D67">
            <w:pPr>
              <w:rPr>
                <w:rFonts w:ascii="Arial" w:hAnsi="Arial" w:cs="Arial"/>
                <w:b/>
                <w:bCs/>
                <w:color w:val="FFFFFF"/>
                <w:sz w:val="14"/>
                <w:szCs w:val="14"/>
              </w:rPr>
            </w:pPr>
            <w:r w:rsidRPr="00416D67">
              <w:rPr>
                <w:rFonts w:ascii="Arial" w:hAnsi="Arial" w:cs="Arial"/>
                <w:b/>
                <w:bCs/>
                <w:color w:val="FFFFFF"/>
                <w:sz w:val="14"/>
                <w:szCs w:val="14"/>
              </w:rPr>
              <w:t xml:space="preserve"> UKUPNI PRIMICI</w:t>
            </w:r>
          </w:p>
        </w:tc>
        <w:tc>
          <w:tcPr>
            <w:tcW w:w="1307" w:type="dxa"/>
            <w:tcBorders>
              <w:top w:val="single" w:sz="4" w:space="0" w:color="auto"/>
              <w:left w:val="nil"/>
              <w:bottom w:val="single" w:sz="4" w:space="0" w:color="auto"/>
              <w:right w:val="single" w:sz="4" w:space="0" w:color="auto"/>
            </w:tcBorders>
            <w:shd w:val="clear" w:color="000000" w:fill="808080"/>
            <w:noWrap/>
            <w:vAlign w:val="bottom"/>
            <w:hideMark/>
          </w:tcPr>
          <w:p w14:paraId="494178E1"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 </w:t>
            </w:r>
          </w:p>
        </w:tc>
        <w:tc>
          <w:tcPr>
            <w:tcW w:w="1242" w:type="dxa"/>
            <w:tcBorders>
              <w:top w:val="single" w:sz="4" w:space="0" w:color="auto"/>
              <w:left w:val="nil"/>
              <w:bottom w:val="single" w:sz="4" w:space="0" w:color="auto"/>
              <w:right w:val="single" w:sz="4" w:space="0" w:color="auto"/>
            </w:tcBorders>
            <w:shd w:val="clear" w:color="000000" w:fill="808080"/>
            <w:noWrap/>
            <w:vAlign w:val="bottom"/>
            <w:hideMark/>
          </w:tcPr>
          <w:p w14:paraId="6FC72920"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70.000,00</w:t>
            </w:r>
          </w:p>
        </w:tc>
        <w:tc>
          <w:tcPr>
            <w:tcW w:w="1649" w:type="dxa"/>
            <w:tcBorders>
              <w:top w:val="single" w:sz="4" w:space="0" w:color="auto"/>
              <w:left w:val="nil"/>
              <w:bottom w:val="single" w:sz="4" w:space="0" w:color="auto"/>
              <w:right w:val="single" w:sz="4" w:space="0" w:color="auto"/>
            </w:tcBorders>
            <w:shd w:val="clear" w:color="000000" w:fill="808080"/>
            <w:noWrap/>
            <w:vAlign w:val="bottom"/>
            <w:hideMark/>
          </w:tcPr>
          <w:p w14:paraId="4681A537"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70.000,00</w:t>
            </w:r>
          </w:p>
        </w:tc>
        <w:tc>
          <w:tcPr>
            <w:tcW w:w="1713" w:type="dxa"/>
            <w:tcBorders>
              <w:top w:val="single" w:sz="4" w:space="0" w:color="auto"/>
              <w:left w:val="nil"/>
              <w:bottom w:val="single" w:sz="4" w:space="0" w:color="auto"/>
              <w:right w:val="single" w:sz="4" w:space="0" w:color="auto"/>
            </w:tcBorders>
            <w:shd w:val="clear" w:color="000000" w:fill="808080"/>
            <w:noWrap/>
            <w:vAlign w:val="bottom"/>
            <w:hideMark/>
          </w:tcPr>
          <w:p w14:paraId="76ABFABB"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42.776,75</w:t>
            </w:r>
          </w:p>
        </w:tc>
        <w:tc>
          <w:tcPr>
            <w:tcW w:w="1049" w:type="dxa"/>
            <w:tcBorders>
              <w:top w:val="single" w:sz="4" w:space="0" w:color="auto"/>
              <w:left w:val="nil"/>
              <w:bottom w:val="single" w:sz="4" w:space="0" w:color="auto"/>
              <w:right w:val="single" w:sz="4" w:space="0" w:color="auto"/>
            </w:tcBorders>
            <w:shd w:val="clear" w:color="000000" w:fill="808080"/>
            <w:noWrap/>
            <w:vAlign w:val="bottom"/>
            <w:hideMark/>
          </w:tcPr>
          <w:p w14:paraId="3EBECA46"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 </w:t>
            </w:r>
          </w:p>
        </w:tc>
        <w:tc>
          <w:tcPr>
            <w:tcW w:w="1114" w:type="dxa"/>
            <w:tcBorders>
              <w:top w:val="single" w:sz="4" w:space="0" w:color="auto"/>
              <w:left w:val="nil"/>
              <w:bottom w:val="single" w:sz="4" w:space="0" w:color="auto"/>
              <w:right w:val="single" w:sz="4" w:space="0" w:color="auto"/>
            </w:tcBorders>
            <w:shd w:val="clear" w:color="000000" w:fill="808080"/>
            <w:noWrap/>
            <w:vAlign w:val="bottom"/>
            <w:hideMark/>
          </w:tcPr>
          <w:p w14:paraId="3862C076"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61,11%</w:t>
            </w:r>
          </w:p>
        </w:tc>
      </w:tr>
      <w:tr w:rsidR="00416D67" w:rsidRPr="00416D67" w14:paraId="0D777103" w14:textId="77777777" w:rsidTr="00BB1392">
        <w:trPr>
          <w:trHeight w:val="195"/>
        </w:trPr>
        <w:tc>
          <w:tcPr>
            <w:tcW w:w="6126" w:type="dxa"/>
            <w:tcBorders>
              <w:top w:val="single" w:sz="4" w:space="0" w:color="auto"/>
              <w:left w:val="single" w:sz="4" w:space="0" w:color="auto"/>
              <w:bottom w:val="single" w:sz="4" w:space="0" w:color="auto"/>
              <w:right w:val="single" w:sz="4" w:space="0" w:color="auto"/>
            </w:tcBorders>
            <w:noWrap/>
            <w:vAlign w:val="bottom"/>
            <w:hideMark/>
          </w:tcPr>
          <w:p w14:paraId="6C02AA8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1. Opći prihodi i primici</w:t>
            </w:r>
          </w:p>
        </w:tc>
        <w:tc>
          <w:tcPr>
            <w:tcW w:w="1307" w:type="dxa"/>
            <w:tcBorders>
              <w:top w:val="single" w:sz="4" w:space="0" w:color="auto"/>
              <w:left w:val="nil"/>
              <w:bottom w:val="single" w:sz="4" w:space="0" w:color="auto"/>
              <w:right w:val="single" w:sz="4" w:space="0" w:color="auto"/>
            </w:tcBorders>
            <w:noWrap/>
            <w:vAlign w:val="bottom"/>
            <w:hideMark/>
          </w:tcPr>
          <w:p w14:paraId="3D55D56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242" w:type="dxa"/>
            <w:tcBorders>
              <w:top w:val="single" w:sz="4" w:space="0" w:color="auto"/>
              <w:left w:val="nil"/>
              <w:bottom w:val="single" w:sz="4" w:space="0" w:color="auto"/>
              <w:right w:val="single" w:sz="4" w:space="0" w:color="auto"/>
            </w:tcBorders>
            <w:noWrap/>
            <w:vAlign w:val="bottom"/>
            <w:hideMark/>
          </w:tcPr>
          <w:p w14:paraId="20E9167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70.000,00</w:t>
            </w:r>
          </w:p>
        </w:tc>
        <w:tc>
          <w:tcPr>
            <w:tcW w:w="1649" w:type="dxa"/>
            <w:tcBorders>
              <w:top w:val="single" w:sz="4" w:space="0" w:color="auto"/>
              <w:left w:val="nil"/>
              <w:bottom w:val="single" w:sz="4" w:space="0" w:color="auto"/>
              <w:right w:val="single" w:sz="4" w:space="0" w:color="auto"/>
            </w:tcBorders>
            <w:noWrap/>
            <w:vAlign w:val="bottom"/>
            <w:hideMark/>
          </w:tcPr>
          <w:p w14:paraId="290F3CE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70.000,00</w:t>
            </w:r>
          </w:p>
        </w:tc>
        <w:tc>
          <w:tcPr>
            <w:tcW w:w="1713" w:type="dxa"/>
            <w:tcBorders>
              <w:top w:val="single" w:sz="4" w:space="0" w:color="auto"/>
              <w:left w:val="nil"/>
              <w:bottom w:val="single" w:sz="4" w:space="0" w:color="auto"/>
              <w:right w:val="single" w:sz="4" w:space="0" w:color="auto"/>
            </w:tcBorders>
            <w:noWrap/>
            <w:vAlign w:val="bottom"/>
            <w:hideMark/>
          </w:tcPr>
          <w:p w14:paraId="48A03ED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42.776,75</w:t>
            </w:r>
          </w:p>
        </w:tc>
        <w:tc>
          <w:tcPr>
            <w:tcW w:w="1049" w:type="dxa"/>
            <w:tcBorders>
              <w:top w:val="single" w:sz="4" w:space="0" w:color="auto"/>
              <w:left w:val="nil"/>
              <w:bottom w:val="single" w:sz="4" w:space="0" w:color="auto"/>
              <w:right w:val="single" w:sz="4" w:space="0" w:color="auto"/>
            </w:tcBorders>
            <w:noWrap/>
            <w:vAlign w:val="bottom"/>
            <w:hideMark/>
          </w:tcPr>
          <w:p w14:paraId="469683A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114" w:type="dxa"/>
            <w:tcBorders>
              <w:top w:val="single" w:sz="4" w:space="0" w:color="auto"/>
              <w:left w:val="nil"/>
              <w:bottom w:val="single" w:sz="4" w:space="0" w:color="auto"/>
              <w:right w:val="single" w:sz="4" w:space="0" w:color="auto"/>
            </w:tcBorders>
            <w:noWrap/>
            <w:vAlign w:val="bottom"/>
            <w:hideMark/>
          </w:tcPr>
          <w:p w14:paraId="1746AD6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61,11%</w:t>
            </w:r>
          </w:p>
        </w:tc>
      </w:tr>
      <w:tr w:rsidR="00416D67" w:rsidRPr="00416D67" w14:paraId="5DD544D1" w14:textId="77777777" w:rsidTr="00BB1392">
        <w:trPr>
          <w:trHeight w:val="195"/>
        </w:trPr>
        <w:tc>
          <w:tcPr>
            <w:tcW w:w="6126" w:type="dxa"/>
            <w:tcBorders>
              <w:top w:val="single" w:sz="4" w:space="0" w:color="auto"/>
              <w:left w:val="single" w:sz="4" w:space="0" w:color="auto"/>
              <w:bottom w:val="single" w:sz="4" w:space="0" w:color="auto"/>
              <w:right w:val="single" w:sz="4" w:space="0" w:color="auto"/>
            </w:tcBorders>
            <w:noWrap/>
            <w:vAlign w:val="bottom"/>
            <w:hideMark/>
          </w:tcPr>
          <w:p w14:paraId="3A3727B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1.1. 01 Opći prihodi i primici</w:t>
            </w:r>
          </w:p>
        </w:tc>
        <w:tc>
          <w:tcPr>
            <w:tcW w:w="1307" w:type="dxa"/>
            <w:tcBorders>
              <w:top w:val="single" w:sz="4" w:space="0" w:color="auto"/>
              <w:left w:val="nil"/>
              <w:bottom w:val="single" w:sz="4" w:space="0" w:color="auto"/>
              <w:right w:val="single" w:sz="4" w:space="0" w:color="auto"/>
            </w:tcBorders>
            <w:noWrap/>
            <w:vAlign w:val="bottom"/>
            <w:hideMark/>
          </w:tcPr>
          <w:p w14:paraId="70FBE7C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242" w:type="dxa"/>
            <w:tcBorders>
              <w:top w:val="single" w:sz="4" w:space="0" w:color="auto"/>
              <w:left w:val="nil"/>
              <w:bottom w:val="single" w:sz="4" w:space="0" w:color="auto"/>
              <w:right w:val="single" w:sz="4" w:space="0" w:color="auto"/>
            </w:tcBorders>
            <w:noWrap/>
            <w:vAlign w:val="bottom"/>
            <w:hideMark/>
          </w:tcPr>
          <w:p w14:paraId="0AF7BC0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70.000,00</w:t>
            </w:r>
          </w:p>
        </w:tc>
        <w:tc>
          <w:tcPr>
            <w:tcW w:w="1649" w:type="dxa"/>
            <w:tcBorders>
              <w:top w:val="single" w:sz="4" w:space="0" w:color="auto"/>
              <w:left w:val="nil"/>
              <w:bottom w:val="single" w:sz="4" w:space="0" w:color="auto"/>
              <w:right w:val="single" w:sz="4" w:space="0" w:color="auto"/>
            </w:tcBorders>
            <w:noWrap/>
            <w:vAlign w:val="bottom"/>
            <w:hideMark/>
          </w:tcPr>
          <w:p w14:paraId="5CF4057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70.000,00</w:t>
            </w:r>
          </w:p>
        </w:tc>
        <w:tc>
          <w:tcPr>
            <w:tcW w:w="1713" w:type="dxa"/>
            <w:tcBorders>
              <w:top w:val="single" w:sz="4" w:space="0" w:color="auto"/>
              <w:left w:val="nil"/>
              <w:bottom w:val="single" w:sz="4" w:space="0" w:color="auto"/>
              <w:right w:val="single" w:sz="4" w:space="0" w:color="auto"/>
            </w:tcBorders>
            <w:noWrap/>
            <w:vAlign w:val="bottom"/>
            <w:hideMark/>
          </w:tcPr>
          <w:p w14:paraId="1882B2A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42.776,75</w:t>
            </w:r>
          </w:p>
        </w:tc>
        <w:tc>
          <w:tcPr>
            <w:tcW w:w="1049" w:type="dxa"/>
            <w:tcBorders>
              <w:top w:val="single" w:sz="4" w:space="0" w:color="auto"/>
              <w:left w:val="nil"/>
              <w:bottom w:val="single" w:sz="4" w:space="0" w:color="auto"/>
              <w:right w:val="single" w:sz="4" w:space="0" w:color="auto"/>
            </w:tcBorders>
            <w:noWrap/>
            <w:vAlign w:val="bottom"/>
            <w:hideMark/>
          </w:tcPr>
          <w:p w14:paraId="690C4CE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114" w:type="dxa"/>
            <w:tcBorders>
              <w:top w:val="single" w:sz="4" w:space="0" w:color="auto"/>
              <w:left w:val="nil"/>
              <w:bottom w:val="single" w:sz="4" w:space="0" w:color="auto"/>
              <w:right w:val="single" w:sz="4" w:space="0" w:color="auto"/>
            </w:tcBorders>
            <w:noWrap/>
            <w:vAlign w:val="bottom"/>
            <w:hideMark/>
          </w:tcPr>
          <w:p w14:paraId="17EF993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61,11%</w:t>
            </w:r>
          </w:p>
        </w:tc>
      </w:tr>
      <w:tr w:rsidR="00416D67" w:rsidRPr="00416D67" w14:paraId="53491B6F" w14:textId="77777777" w:rsidTr="00BB1392">
        <w:trPr>
          <w:trHeight w:val="195"/>
        </w:trPr>
        <w:tc>
          <w:tcPr>
            <w:tcW w:w="6126"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9BDF977" w14:textId="77777777" w:rsidR="00416D67" w:rsidRPr="00416D67" w:rsidRDefault="00416D67" w:rsidP="00416D67">
            <w:pPr>
              <w:rPr>
                <w:rFonts w:ascii="Arial" w:hAnsi="Arial" w:cs="Arial"/>
                <w:b/>
                <w:bCs/>
                <w:color w:val="FFFFFF"/>
                <w:sz w:val="14"/>
                <w:szCs w:val="14"/>
              </w:rPr>
            </w:pPr>
            <w:r w:rsidRPr="00416D67">
              <w:rPr>
                <w:rFonts w:ascii="Arial" w:hAnsi="Arial" w:cs="Arial"/>
                <w:b/>
                <w:bCs/>
                <w:color w:val="FFFFFF"/>
                <w:sz w:val="14"/>
                <w:szCs w:val="14"/>
              </w:rPr>
              <w:t xml:space="preserve"> UKUPNI IZDACI</w:t>
            </w:r>
          </w:p>
        </w:tc>
        <w:tc>
          <w:tcPr>
            <w:tcW w:w="1307" w:type="dxa"/>
            <w:tcBorders>
              <w:top w:val="single" w:sz="4" w:space="0" w:color="auto"/>
              <w:left w:val="nil"/>
              <w:bottom w:val="single" w:sz="4" w:space="0" w:color="auto"/>
              <w:right w:val="single" w:sz="4" w:space="0" w:color="auto"/>
            </w:tcBorders>
            <w:shd w:val="clear" w:color="000000" w:fill="808080"/>
            <w:noWrap/>
            <w:vAlign w:val="bottom"/>
            <w:hideMark/>
          </w:tcPr>
          <w:p w14:paraId="68182784"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71.429,76</w:t>
            </w:r>
          </w:p>
        </w:tc>
        <w:tc>
          <w:tcPr>
            <w:tcW w:w="1242" w:type="dxa"/>
            <w:tcBorders>
              <w:top w:val="single" w:sz="4" w:space="0" w:color="auto"/>
              <w:left w:val="nil"/>
              <w:bottom w:val="single" w:sz="4" w:space="0" w:color="auto"/>
              <w:right w:val="single" w:sz="4" w:space="0" w:color="auto"/>
            </w:tcBorders>
            <w:shd w:val="clear" w:color="000000" w:fill="808080"/>
            <w:noWrap/>
            <w:vAlign w:val="bottom"/>
            <w:hideMark/>
          </w:tcPr>
          <w:p w14:paraId="01B0D244"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267.203,76</w:t>
            </w:r>
          </w:p>
        </w:tc>
        <w:tc>
          <w:tcPr>
            <w:tcW w:w="1649" w:type="dxa"/>
            <w:tcBorders>
              <w:top w:val="single" w:sz="4" w:space="0" w:color="auto"/>
              <w:left w:val="nil"/>
              <w:bottom w:val="single" w:sz="4" w:space="0" w:color="auto"/>
              <w:right w:val="single" w:sz="4" w:space="0" w:color="auto"/>
            </w:tcBorders>
            <w:shd w:val="clear" w:color="000000" w:fill="808080"/>
            <w:noWrap/>
            <w:vAlign w:val="bottom"/>
            <w:hideMark/>
          </w:tcPr>
          <w:p w14:paraId="777F2FF9"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267.203,76</w:t>
            </w:r>
          </w:p>
        </w:tc>
        <w:tc>
          <w:tcPr>
            <w:tcW w:w="1713" w:type="dxa"/>
            <w:tcBorders>
              <w:top w:val="single" w:sz="4" w:space="0" w:color="auto"/>
              <w:left w:val="nil"/>
              <w:bottom w:val="single" w:sz="4" w:space="0" w:color="auto"/>
              <w:right w:val="single" w:sz="4" w:space="0" w:color="auto"/>
            </w:tcBorders>
            <w:shd w:val="clear" w:color="000000" w:fill="808080"/>
            <w:noWrap/>
            <w:vAlign w:val="bottom"/>
            <w:hideMark/>
          </w:tcPr>
          <w:p w14:paraId="65606948"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226.999,71</w:t>
            </w:r>
          </w:p>
        </w:tc>
        <w:tc>
          <w:tcPr>
            <w:tcW w:w="1049" w:type="dxa"/>
            <w:tcBorders>
              <w:top w:val="single" w:sz="4" w:space="0" w:color="auto"/>
              <w:left w:val="nil"/>
              <w:bottom w:val="single" w:sz="4" w:space="0" w:color="auto"/>
              <w:right w:val="single" w:sz="4" w:space="0" w:color="auto"/>
            </w:tcBorders>
            <w:shd w:val="clear" w:color="000000" w:fill="808080"/>
            <w:noWrap/>
            <w:vAlign w:val="bottom"/>
            <w:hideMark/>
          </w:tcPr>
          <w:p w14:paraId="3EB3C972"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317,79%</w:t>
            </w:r>
          </w:p>
        </w:tc>
        <w:tc>
          <w:tcPr>
            <w:tcW w:w="1114" w:type="dxa"/>
            <w:tcBorders>
              <w:top w:val="single" w:sz="4" w:space="0" w:color="auto"/>
              <w:left w:val="nil"/>
              <w:bottom w:val="single" w:sz="4" w:space="0" w:color="auto"/>
              <w:right w:val="single" w:sz="4" w:space="0" w:color="auto"/>
            </w:tcBorders>
            <w:shd w:val="clear" w:color="000000" w:fill="808080"/>
            <w:noWrap/>
            <w:vAlign w:val="bottom"/>
            <w:hideMark/>
          </w:tcPr>
          <w:p w14:paraId="1243EF89"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84,95%</w:t>
            </w:r>
          </w:p>
        </w:tc>
      </w:tr>
      <w:tr w:rsidR="00416D67" w:rsidRPr="00416D67" w14:paraId="7C964978" w14:textId="77777777" w:rsidTr="00BB1392">
        <w:trPr>
          <w:trHeight w:val="195"/>
        </w:trPr>
        <w:tc>
          <w:tcPr>
            <w:tcW w:w="6126" w:type="dxa"/>
            <w:tcBorders>
              <w:top w:val="single" w:sz="4" w:space="0" w:color="auto"/>
              <w:left w:val="single" w:sz="4" w:space="0" w:color="auto"/>
              <w:bottom w:val="single" w:sz="4" w:space="0" w:color="auto"/>
              <w:right w:val="single" w:sz="4" w:space="0" w:color="auto"/>
            </w:tcBorders>
            <w:noWrap/>
            <w:vAlign w:val="bottom"/>
            <w:hideMark/>
          </w:tcPr>
          <w:p w14:paraId="36AE41C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1. Opći prihodi i primici</w:t>
            </w:r>
          </w:p>
        </w:tc>
        <w:tc>
          <w:tcPr>
            <w:tcW w:w="1307" w:type="dxa"/>
            <w:tcBorders>
              <w:top w:val="single" w:sz="4" w:space="0" w:color="auto"/>
              <w:left w:val="nil"/>
              <w:bottom w:val="single" w:sz="4" w:space="0" w:color="auto"/>
              <w:right w:val="single" w:sz="4" w:space="0" w:color="auto"/>
            </w:tcBorders>
            <w:noWrap/>
            <w:vAlign w:val="bottom"/>
            <w:hideMark/>
          </w:tcPr>
          <w:p w14:paraId="561F0C1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71.429,76</w:t>
            </w:r>
          </w:p>
        </w:tc>
        <w:tc>
          <w:tcPr>
            <w:tcW w:w="1242" w:type="dxa"/>
            <w:tcBorders>
              <w:top w:val="single" w:sz="4" w:space="0" w:color="auto"/>
              <w:left w:val="nil"/>
              <w:bottom w:val="single" w:sz="4" w:space="0" w:color="auto"/>
              <w:right w:val="single" w:sz="4" w:space="0" w:color="auto"/>
            </w:tcBorders>
            <w:noWrap/>
            <w:vAlign w:val="bottom"/>
            <w:hideMark/>
          </w:tcPr>
          <w:p w14:paraId="001FDE8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157.929,76</w:t>
            </w:r>
          </w:p>
        </w:tc>
        <w:tc>
          <w:tcPr>
            <w:tcW w:w="1649" w:type="dxa"/>
            <w:tcBorders>
              <w:top w:val="single" w:sz="4" w:space="0" w:color="auto"/>
              <w:left w:val="nil"/>
              <w:bottom w:val="single" w:sz="4" w:space="0" w:color="auto"/>
              <w:right w:val="single" w:sz="4" w:space="0" w:color="auto"/>
            </w:tcBorders>
            <w:noWrap/>
            <w:vAlign w:val="bottom"/>
            <w:hideMark/>
          </w:tcPr>
          <w:p w14:paraId="61A85A1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157.929,76</w:t>
            </w:r>
          </w:p>
        </w:tc>
        <w:tc>
          <w:tcPr>
            <w:tcW w:w="1713" w:type="dxa"/>
            <w:tcBorders>
              <w:top w:val="single" w:sz="4" w:space="0" w:color="auto"/>
              <w:left w:val="nil"/>
              <w:bottom w:val="single" w:sz="4" w:space="0" w:color="auto"/>
              <w:right w:val="single" w:sz="4" w:space="0" w:color="auto"/>
            </w:tcBorders>
            <w:noWrap/>
            <w:vAlign w:val="bottom"/>
            <w:hideMark/>
          </w:tcPr>
          <w:p w14:paraId="129468D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117.725,71</w:t>
            </w:r>
          </w:p>
        </w:tc>
        <w:tc>
          <w:tcPr>
            <w:tcW w:w="1049" w:type="dxa"/>
            <w:tcBorders>
              <w:top w:val="single" w:sz="4" w:space="0" w:color="auto"/>
              <w:left w:val="nil"/>
              <w:bottom w:val="single" w:sz="4" w:space="0" w:color="auto"/>
              <w:right w:val="single" w:sz="4" w:space="0" w:color="auto"/>
            </w:tcBorders>
            <w:noWrap/>
            <w:vAlign w:val="bottom"/>
            <w:hideMark/>
          </w:tcPr>
          <w:p w14:paraId="6287C5F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164,81%</w:t>
            </w:r>
          </w:p>
        </w:tc>
        <w:tc>
          <w:tcPr>
            <w:tcW w:w="1114" w:type="dxa"/>
            <w:tcBorders>
              <w:top w:val="single" w:sz="4" w:space="0" w:color="auto"/>
              <w:left w:val="nil"/>
              <w:bottom w:val="single" w:sz="4" w:space="0" w:color="auto"/>
              <w:right w:val="single" w:sz="4" w:space="0" w:color="auto"/>
            </w:tcBorders>
            <w:noWrap/>
            <w:vAlign w:val="bottom"/>
            <w:hideMark/>
          </w:tcPr>
          <w:p w14:paraId="0DC2933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74,54%</w:t>
            </w:r>
          </w:p>
        </w:tc>
      </w:tr>
      <w:tr w:rsidR="00416D67" w:rsidRPr="00416D67" w14:paraId="7C7E16BF" w14:textId="77777777" w:rsidTr="00BB1392">
        <w:trPr>
          <w:trHeight w:val="195"/>
        </w:trPr>
        <w:tc>
          <w:tcPr>
            <w:tcW w:w="6126" w:type="dxa"/>
            <w:tcBorders>
              <w:top w:val="single" w:sz="4" w:space="0" w:color="auto"/>
              <w:left w:val="single" w:sz="4" w:space="0" w:color="auto"/>
              <w:bottom w:val="single" w:sz="4" w:space="0" w:color="auto"/>
              <w:right w:val="single" w:sz="4" w:space="0" w:color="auto"/>
            </w:tcBorders>
            <w:noWrap/>
            <w:vAlign w:val="bottom"/>
            <w:hideMark/>
          </w:tcPr>
          <w:p w14:paraId="2C8D6C0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1.1. 01 Opći prihodi i primici</w:t>
            </w:r>
          </w:p>
        </w:tc>
        <w:tc>
          <w:tcPr>
            <w:tcW w:w="1307" w:type="dxa"/>
            <w:tcBorders>
              <w:top w:val="single" w:sz="4" w:space="0" w:color="auto"/>
              <w:left w:val="nil"/>
              <w:bottom w:val="single" w:sz="4" w:space="0" w:color="auto"/>
              <w:right w:val="single" w:sz="4" w:space="0" w:color="auto"/>
            </w:tcBorders>
            <w:noWrap/>
            <w:vAlign w:val="bottom"/>
            <w:hideMark/>
          </w:tcPr>
          <w:p w14:paraId="4876A7C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71.429,76</w:t>
            </w:r>
          </w:p>
        </w:tc>
        <w:tc>
          <w:tcPr>
            <w:tcW w:w="1242" w:type="dxa"/>
            <w:tcBorders>
              <w:top w:val="single" w:sz="4" w:space="0" w:color="auto"/>
              <w:left w:val="nil"/>
              <w:bottom w:val="single" w:sz="4" w:space="0" w:color="auto"/>
              <w:right w:val="single" w:sz="4" w:space="0" w:color="auto"/>
            </w:tcBorders>
            <w:noWrap/>
            <w:vAlign w:val="bottom"/>
            <w:hideMark/>
          </w:tcPr>
          <w:p w14:paraId="0B0E751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157.929,76</w:t>
            </w:r>
          </w:p>
        </w:tc>
        <w:tc>
          <w:tcPr>
            <w:tcW w:w="1649" w:type="dxa"/>
            <w:tcBorders>
              <w:top w:val="single" w:sz="4" w:space="0" w:color="auto"/>
              <w:left w:val="nil"/>
              <w:bottom w:val="single" w:sz="4" w:space="0" w:color="auto"/>
              <w:right w:val="single" w:sz="4" w:space="0" w:color="auto"/>
            </w:tcBorders>
            <w:noWrap/>
            <w:vAlign w:val="bottom"/>
            <w:hideMark/>
          </w:tcPr>
          <w:p w14:paraId="44AE2B3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157.929,76</w:t>
            </w:r>
          </w:p>
        </w:tc>
        <w:tc>
          <w:tcPr>
            <w:tcW w:w="1713" w:type="dxa"/>
            <w:tcBorders>
              <w:top w:val="single" w:sz="4" w:space="0" w:color="auto"/>
              <w:left w:val="nil"/>
              <w:bottom w:val="single" w:sz="4" w:space="0" w:color="auto"/>
              <w:right w:val="single" w:sz="4" w:space="0" w:color="auto"/>
            </w:tcBorders>
            <w:noWrap/>
            <w:vAlign w:val="bottom"/>
            <w:hideMark/>
          </w:tcPr>
          <w:p w14:paraId="68BC207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117.725,71</w:t>
            </w:r>
          </w:p>
        </w:tc>
        <w:tc>
          <w:tcPr>
            <w:tcW w:w="1049" w:type="dxa"/>
            <w:tcBorders>
              <w:top w:val="single" w:sz="4" w:space="0" w:color="auto"/>
              <w:left w:val="nil"/>
              <w:bottom w:val="single" w:sz="4" w:space="0" w:color="auto"/>
              <w:right w:val="single" w:sz="4" w:space="0" w:color="auto"/>
            </w:tcBorders>
            <w:noWrap/>
            <w:vAlign w:val="bottom"/>
            <w:hideMark/>
          </w:tcPr>
          <w:p w14:paraId="14354B8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164,81%</w:t>
            </w:r>
          </w:p>
        </w:tc>
        <w:tc>
          <w:tcPr>
            <w:tcW w:w="1114" w:type="dxa"/>
            <w:tcBorders>
              <w:top w:val="single" w:sz="4" w:space="0" w:color="auto"/>
              <w:left w:val="nil"/>
              <w:bottom w:val="single" w:sz="4" w:space="0" w:color="auto"/>
              <w:right w:val="single" w:sz="4" w:space="0" w:color="auto"/>
            </w:tcBorders>
            <w:noWrap/>
            <w:vAlign w:val="bottom"/>
            <w:hideMark/>
          </w:tcPr>
          <w:p w14:paraId="5B9EF73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74,54%</w:t>
            </w:r>
          </w:p>
        </w:tc>
      </w:tr>
      <w:tr w:rsidR="00416D67" w:rsidRPr="00416D67" w14:paraId="15DB7219" w14:textId="77777777" w:rsidTr="00BB1392">
        <w:trPr>
          <w:trHeight w:val="195"/>
        </w:trPr>
        <w:tc>
          <w:tcPr>
            <w:tcW w:w="6126" w:type="dxa"/>
            <w:tcBorders>
              <w:top w:val="single" w:sz="4" w:space="0" w:color="auto"/>
              <w:left w:val="single" w:sz="4" w:space="0" w:color="auto"/>
              <w:bottom w:val="single" w:sz="4" w:space="0" w:color="auto"/>
              <w:right w:val="single" w:sz="4" w:space="0" w:color="auto"/>
            </w:tcBorders>
            <w:noWrap/>
            <w:vAlign w:val="bottom"/>
            <w:hideMark/>
          </w:tcPr>
          <w:p w14:paraId="0C3B989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9. Višak prihoda ranijih godina</w:t>
            </w:r>
          </w:p>
        </w:tc>
        <w:tc>
          <w:tcPr>
            <w:tcW w:w="1307" w:type="dxa"/>
            <w:tcBorders>
              <w:top w:val="single" w:sz="4" w:space="0" w:color="auto"/>
              <w:left w:val="nil"/>
              <w:bottom w:val="single" w:sz="4" w:space="0" w:color="auto"/>
              <w:right w:val="single" w:sz="4" w:space="0" w:color="auto"/>
            </w:tcBorders>
            <w:noWrap/>
            <w:vAlign w:val="bottom"/>
            <w:hideMark/>
          </w:tcPr>
          <w:p w14:paraId="6558E43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242" w:type="dxa"/>
            <w:tcBorders>
              <w:top w:val="single" w:sz="4" w:space="0" w:color="auto"/>
              <w:left w:val="nil"/>
              <w:bottom w:val="single" w:sz="4" w:space="0" w:color="auto"/>
              <w:right w:val="single" w:sz="4" w:space="0" w:color="auto"/>
            </w:tcBorders>
            <w:noWrap/>
            <w:vAlign w:val="bottom"/>
            <w:hideMark/>
          </w:tcPr>
          <w:p w14:paraId="1E370CC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109.274,00</w:t>
            </w:r>
          </w:p>
        </w:tc>
        <w:tc>
          <w:tcPr>
            <w:tcW w:w="1649" w:type="dxa"/>
            <w:tcBorders>
              <w:top w:val="single" w:sz="4" w:space="0" w:color="auto"/>
              <w:left w:val="nil"/>
              <w:bottom w:val="single" w:sz="4" w:space="0" w:color="auto"/>
              <w:right w:val="single" w:sz="4" w:space="0" w:color="auto"/>
            </w:tcBorders>
            <w:noWrap/>
            <w:vAlign w:val="bottom"/>
            <w:hideMark/>
          </w:tcPr>
          <w:p w14:paraId="40F149F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109.274,00</w:t>
            </w:r>
          </w:p>
        </w:tc>
        <w:tc>
          <w:tcPr>
            <w:tcW w:w="1713" w:type="dxa"/>
            <w:tcBorders>
              <w:top w:val="single" w:sz="4" w:space="0" w:color="auto"/>
              <w:left w:val="nil"/>
              <w:bottom w:val="single" w:sz="4" w:space="0" w:color="auto"/>
              <w:right w:val="single" w:sz="4" w:space="0" w:color="auto"/>
            </w:tcBorders>
            <w:noWrap/>
            <w:vAlign w:val="bottom"/>
            <w:hideMark/>
          </w:tcPr>
          <w:p w14:paraId="03AF5A4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109.274,00</w:t>
            </w:r>
          </w:p>
        </w:tc>
        <w:tc>
          <w:tcPr>
            <w:tcW w:w="1049" w:type="dxa"/>
            <w:tcBorders>
              <w:top w:val="single" w:sz="4" w:space="0" w:color="auto"/>
              <w:left w:val="nil"/>
              <w:bottom w:val="single" w:sz="4" w:space="0" w:color="auto"/>
              <w:right w:val="single" w:sz="4" w:space="0" w:color="auto"/>
            </w:tcBorders>
            <w:noWrap/>
            <w:vAlign w:val="bottom"/>
            <w:hideMark/>
          </w:tcPr>
          <w:p w14:paraId="79263B1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114" w:type="dxa"/>
            <w:tcBorders>
              <w:top w:val="single" w:sz="4" w:space="0" w:color="auto"/>
              <w:left w:val="nil"/>
              <w:bottom w:val="single" w:sz="4" w:space="0" w:color="auto"/>
              <w:right w:val="single" w:sz="4" w:space="0" w:color="auto"/>
            </w:tcBorders>
            <w:noWrap/>
            <w:vAlign w:val="bottom"/>
            <w:hideMark/>
          </w:tcPr>
          <w:p w14:paraId="4AB4D1A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14B4659E" w14:textId="77777777" w:rsidTr="00BB1392">
        <w:trPr>
          <w:trHeight w:val="195"/>
        </w:trPr>
        <w:tc>
          <w:tcPr>
            <w:tcW w:w="6126" w:type="dxa"/>
            <w:tcBorders>
              <w:top w:val="single" w:sz="4" w:space="0" w:color="auto"/>
              <w:left w:val="single" w:sz="4" w:space="0" w:color="auto"/>
              <w:bottom w:val="single" w:sz="4" w:space="0" w:color="auto"/>
              <w:right w:val="single" w:sz="4" w:space="0" w:color="auto"/>
            </w:tcBorders>
            <w:noWrap/>
            <w:vAlign w:val="bottom"/>
            <w:hideMark/>
          </w:tcPr>
          <w:p w14:paraId="1EB4E3A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9.1.1 Opći prihodi i primici</w:t>
            </w:r>
          </w:p>
        </w:tc>
        <w:tc>
          <w:tcPr>
            <w:tcW w:w="1307" w:type="dxa"/>
            <w:tcBorders>
              <w:top w:val="single" w:sz="4" w:space="0" w:color="auto"/>
              <w:left w:val="nil"/>
              <w:bottom w:val="single" w:sz="4" w:space="0" w:color="auto"/>
              <w:right w:val="single" w:sz="4" w:space="0" w:color="auto"/>
            </w:tcBorders>
            <w:noWrap/>
            <w:vAlign w:val="bottom"/>
            <w:hideMark/>
          </w:tcPr>
          <w:p w14:paraId="1C8F3F5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242" w:type="dxa"/>
            <w:tcBorders>
              <w:top w:val="single" w:sz="4" w:space="0" w:color="auto"/>
              <w:left w:val="nil"/>
              <w:bottom w:val="single" w:sz="4" w:space="0" w:color="auto"/>
              <w:right w:val="single" w:sz="4" w:space="0" w:color="auto"/>
            </w:tcBorders>
            <w:noWrap/>
            <w:vAlign w:val="bottom"/>
            <w:hideMark/>
          </w:tcPr>
          <w:p w14:paraId="3E7D97C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109.274,00</w:t>
            </w:r>
          </w:p>
        </w:tc>
        <w:tc>
          <w:tcPr>
            <w:tcW w:w="1649" w:type="dxa"/>
            <w:tcBorders>
              <w:top w:val="single" w:sz="4" w:space="0" w:color="auto"/>
              <w:left w:val="nil"/>
              <w:bottom w:val="single" w:sz="4" w:space="0" w:color="auto"/>
              <w:right w:val="single" w:sz="4" w:space="0" w:color="auto"/>
            </w:tcBorders>
            <w:noWrap/>
            <w:vAlign w:val="bottom"/>
            <w:hideMark/>
          </w:tcPr>
          <w:p w14:paraId="733405A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109.274,00</w:t>
            </w:r>
          </w:p>
        </w:tc>
        <w:tc>
          <w:tcPr>
            <w:tcW w:w="1713" w:type="dxa"/>
            <w:tcBorders>
              <w:top w:val="single" w:sz="4" w:space="0" w:color="auto"/>
              <w:left w:val="nil"/>
              <w:bottom w:val="single" w:sz="4" w:space="0" w:color="auto"/>
              <w:right w:val="single" w:sz="4" w:space="0" w:color="auto"/>
            </w:tcBorders>
            <w:noWrap/>
            <w:vAlign w:val="bottom"/>
            <w:hideMark/>
          </w:tcPr>
          <w:p w14:paraId="2DC9D48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109.274,00</w:t>
            </w:r>
          </w:p>
        </w:tc>
        <w:tc>
          <w:tcPr>
            <w:tcW w:w="1049" w:type="dxa"/>
            <w:tcBorders>
              <w:top w:val="single" w:sz="4" w:space="0" w:color="auto"/>
              <w:left w:val="nil"/>
              <w:bottom w:val="single" w:sz="4" w:space="0" w:color="auto"/>
              <w:right w:val="single" w:sz="4" w:space="0" w:color="auto"/>
            </w:tcBorders>
            <w:noWrap/>
            <w:vAlign w:val="bottom"/>
            <w:hideMark/>
          </w:tcPr>
          <w:p w14:paraId="32E9FDA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114" w:type="dxa"/>
            <w:tcBorders>
              <w:top w:val="single" w:sz="4" w:space="0" w:color="auto"/>
              <w:left w:val="nil"/>
              <w:bottom w:val="single" w:sz="4" w:space="0" w:color="auto"/>
              <w:right w:val="single" w:sz="4" w:space="0" w:color="auto"/>
            </w:tcBorders>
            <w:noWrap/>
            <w:vAlign w:val="bottom"/>
            <w:hideMark/>
          </w:tcPr>
          <w:p w14:paraId="55B4D0A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6CFD1A84" w14:textId="77777777" w:rsidTr="00BB1392">
        <w:trPr>
          <w:trHeight w:val="195"/>
        </w:trPr>
        <w:tc>
          <w:tcPr>
            <w:tcW w:w="6126"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67AB098E" w14:textId="77777777" w:rsidR="00416D67" w:rsidRPr="00416D67" w:rsidRDefault="00416D67" w:rsidP="00416D67">
            <w:pPr>
              <w:rPr>
                <w:rFonts w:ascii="Arial" w:hAnsi="Arial" w:cs="Arial"/>
                <w:b/>
                <w:bCs/>
                <w:color w:val="FFFFFF"/>
                <w:sz w:val="14"/>
                <w:szCs w:val="14"/>
              </w:rPr>
            </w:pPr>
            <w:r w:rsidRPr="00416D67">
              <w:rPr>
                <w:rFonts w:ascii="Arial" w:hAnsi="Arial" w:cs="Arial"/>
                <w:b/>
                <w:bCs/>
                <w:color w:val="FFFFFF"/>
                <w:sz w:val="14"/>
                <w:szCs w:val="14"/>
              </w:rPr>
              <w:t xml:space="preserve"> NETO FINANCIRANJE</w:t>
            </w:r>
          </w:p>
        </w:tc>
        <w:tc>
          <w:tcPr>
            <w:tcW w:w="1307" w:type="dxa"/>
            <w:tcBorders>
              <w:top w:val="single" w:sz="4" w:space="0" w:color="auto"/>
              <w:left w:val="nil"/>
              <w:bottom w:val="single" w:sz="4" w:space="0" w:color="auto"/>
              <w:right w:val="single" w:sz="4" w:space="0" w:color="auto"/>
            </w:tcBorders>
            <w:shd w:val="clear" w:color="000000" w:fill="808080"/>
            <w:noWrap/>
            <w:vAlign w:val="bottom"/>
            <w:hideMark/>
          </w:tcPr>
          <w:p w14:paraId="279A7E67"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-71.429,76</w:t>
            </w:r>
          </w:p>
        </w:tc>
        <w:tc>
          <w:tcPr>
            <w:tcW w:w="1242" w:type="dxa"/>
            <w:tcBorders>
              <w:top w:val="single" w:sz="4" w:space="0" w:color="auto"/>
              <w:left w:val="nil"/>
              <w:bottom w:val="single" w:sz="4" w:space="0" w:color="auto"/>
              <w:right w:val="single" w:sz="4" w:space="0" w:color="auto"/>
            </w:tcBorders>
            <w:shd w:val="clear" w:color="000000" w:fill="808080"/>
            <w:noWrap/>
            <w:vAlign w:val="bottom"/>
            <w:hideMark/>
          </w:tcPr>
          <w:p w14:paraId="6CF00BE2"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-197.203,76</w:t>
            </w:r>
          </w:p>
        </w:tc>
        <w:tc>
          <w:tcPr>
            <w:tcW w:w="1649" w:type="dxa"/>
            <w:tcBorders>
              <w:top w:val="single" w:sz="4" w:space="0" w:color="auto"/>
              <w:left w:val="nil"/>
              <w:bottom w:val="single" w:sz="4" w:space="0" w:color="auto"/>
              <w:right w:val="single" w:sz="4" w:space="0" w:color="auto"/>
            </w:tcBorders>
            <w:shd w:val="clear" w:color="000000" w:fill="808080"/>
            <w:noWrap/>
            <w:vAlign w:val="bottom"/>
            <w:hideMark/>
          </w:tcPr>
          <w:p w14:paraId="5004CE78"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-197.203,76</w:t>
            </w:r>
          </w:p>
        </w:tc>
        <w:tc>
          <w:tcPr>
            <w:tcW w:w="1713" w:type="dxa"/>
            <w:tcBorders>
              <w:top w:val="single" w:sz="4" w:space="0" w:color="auto"/>
              <w:left w:val="nil"/>
              <w:bottom w:val="single" w:sz="4" w:space="0" w:color="auto"/>
              <w:right w:val="single" w:sz="4" w:space="0" w:color="auto"/>
            </w:tcBorders>
            <w:shd w:val="clear" w:color="000000" w:fill="808080"/>
            <w:noWrap/>
            <w:vAlign w:val="bottom"/>
            <w:hideMark/>
          </w:tcPr>
          <w:p w14:paraId="6371A4B0"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-184.222,96</w:t>
            </w:r>
          </w:p>
        </w:tc>
        <w:tc>
          <w:tcPr>
            <w:tcW w:w="1049" w:type="dxa"/>
            <w:tcBorders>
              <w:top w:val="single" w:sz="4" w:space="0" w:color="auto"/>
              <w:left w:val="nil"/>
              <w:bottom w:val="single" w:sz="4" w:space="0" w:color="auto"/>
              <w:right w:val="single" w:sz="4" w:space="0" w:color="auto"/>
            </w:tcBorders>
            <w:shd w:val="clear" w:color="000000" w:fill="808080"/>
            <w:noWrap/>
            <w:vAlign w:val="bottom"/>
            <w:hideMark/>
          </w:tcPr>
          <w:p w14:paraId="19C7DEA3"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 </w:t>
            </w:r>
          </w:p>
        </w:tc>
        <w:tc>
          <w:tcPr>
            <w:tcW w:w="1114" w:type="dxa"/>
            <w:tcBorders>
              <w:top w:val="single" w:sz="4" w:space="0" w:color="auto"/>
              <w:left w:val="nil"/>
              <w:bottom w:val="single" w:sz="4" w:space="0" w:color="auto"/>
              <w:right w:val="single" w:sz="4" w:space="0" w:color="auto"/>
            </w:tcBorders>
            <w:shd w:val="clear" w:color="000000" w:fill="808080"/>
            <w:noWrap/>
            <w:vAlign w:val="bottom"/>
            <w:hideMark/>
          </w:tcPr>
          <w:p w14:paraId="23B4DFDE"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 </w:t>
            </w:r>
          </w:p>
        </w:tc>
      </w:tr>
      <w:tr w:rsidR="00416D67" w:rsidRPr="00416D67" w14:paraId="7994E132" w14:textId="77777777" w:rsidTr="00BB1392">
        <w:trPr>
          <w:trHeight w:val="195"/>
        </w:trPr>
        <w:tc>
          <w:tcPr>
            <w:tcW w:w="6126"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44EF361C" w14:textId="77777777" w:rsidR="00416D67" w:rsidRPr="00416D67" w:rsidRDefault="00416D67" w:rsidP="00416D67">
            <w:pPr>
              <w:rPr>
                <w:rFonts w:ascii="Arial" w:hAnsi="Arial" w:cs="Arial"/>
                <w:b/>
                <w:bCs/>
                <w:color w:val="FFFFFF"/>
                <w:sz w:val="14"/>
                <w:szCs w:val="14"/>
              </w:rPr>
            </w:pPr>
            <w:r w:rsidRPr="00416D67">
              <w:rPr>
                <w:rFonts w:ascii="Arial" w:hAnsi="Arial" w:cs="Arial"/>
                <w:b/>
                <w:bCs/>
                <w:color w:val="FFFFFF"/>
                <w:sz w:val="14"/>
                <w:szCs w:val="14"/>
              </w:rPr>
              <w:t xml:space="preserve"> KORIŠTENJE SREDSTAVA IZ PRETHODNIH GODINA</w:t>
            </w:r>
          </w:p>
        </w:tc>
        <w:tc>
          <w:tcPr>
            <w:tcW w:w="1307" w:type="dxa"/>
            <w:tcBorders>
              <w:top w:val="single" w:sz="4" w:space="0" w:color="auto"/>
              <w:left w:val="nil"/>
              <w:bottom w:val="single" w:sz="4" w:space="0" w:color="auto"/>
              <w:right w:val="single" w:sz="4" w:space="0" w:color="auto"/>
            </w:tcBorders>
            <w:shd w:val="clear" w:color="000000" w:fill="808080"/>
            <w:noWrap/>
            <w:vAlign w:val="bottom"/>
            <w:hideMark/>
          </w:tcPr>
          <w:p w14:paraId="27FBA943"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 </w:t>
            </w:r>
          </w:p>
        </w:tc>
        <w:tc>
          <w:tcPr>
            <w:tcW w:w="1242" w:type="dxa"/>
            <w:tcBorders>
              <w:top w:val="single" w:sz="4" w:space="0" w:color="auto"/>
              <w:left w:val="nil"/>
              <w:bottom w:val="single" w:sz="4" w:space="0" w:color="auto"/>
              <w:right w:val="single" w:sz="4" w:space="0" w:color="auto"/>
            </w:tcBorders>
            <w:shd w:val="clear" w:color="000000" w:fill="808080"/>
            <w:noWrap/>
            <w:vAlign w:val="bottom"/>
            <w:hideMark/>
          </w:tcPr>
          <w:p w14:paraId="7C99480D"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1.747.613,82</w:t>
            </w:r>
          </w:p>
        </w:tc>
        <w:tc>
          <w:tcPr>
            <w:tcW w:w="1649" w:type="dxa"/>
            <w:tcBorders>
              <w:top w:val="single" w:sz="4" w:space="0" w:color="auto"/>
              <w:left w:val="nil"/>
              <w:bottom w:val="single" w:sz="4" w:space="0" w:color="auto"/>
              <w:right w:val="single" w:sz="4" w:space="0" w:color="auto"/>
            </w:tcBorders>
            <w:shd w:val="clear" w:color="000000" w:fill="808080"/>
            <w:noWrap/>
            <w:vAlign w:val="bottom"/>
            <w:hideMark/>
          </w:tcPr>
          <w:p w14:paraId="1F6E1D53"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1.747.613,82</w:t>
            </w:r>
          </w:p>
        </w:tc>
        <w:tc>
          <w:tcPr>
            <w:tcW w:w="1713" w:type="dxa"/>
            <w:tcBorders>
              <w:top w:val="single" w:sz="4" w:space="0" w:color="auto"/>
              <w:left w:val="nil"/>
              <w:bottom w:val="single" w:sz="4" w:space="0" w:color="auto"/>
              <w:right w:val="single" w:sz="4" w:space="0" w:color="auto"/>
            </w:tcBorders>
            <w:shd w:val="clear" w:color="000000" w:fill="808080"/>
            <w:noWrap/>
            <w:vAlign w:val="bottom"/>
            <w:hideMark/>
          </w:tcPr>
          <w:p w14:paraId="5E67C3B4"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 </w:t>
            </w:r>
          </w:p>
        </w:tc>
        <w:tc>
          <w:tcPr>
            <w:tcW w:w="1049" w:type="dxa"/>
            <w:tcBorders>
              <w:top w:val="single" w:sz="4" w:space="0" w:color="auto"/>
              <w:left w:val="nil"/>
              <w:bottom w:val="single" w:sz="4" w:space="0" w:color="auto"/>
              <w:right w:val="single" w:sz="4" w:space="0" w:color="auto"/>
            </w:tcBorders>
            <w:shd w:val="clear" w:color="000000" w:fill="808080"/>
            <w:noWrap/>
            <w:vAlign w:val="bottom"/>
            <w:hideMark/>
          </w:tcPr>
          <w:p w14:paraId="4DCBC654"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 </w:t>
            </w:r>
          </w:p>
        </w:tc>
        <w:tc>
          <w:tcPr>
            <w:tcW w:w="1114" w:type="dxa"/>
            <w:tcBorders>
              <w:top w:val="single" w:sz="4" w:space="0" w:color="auto"/>
              <w:left w:val="nil"/>
              <w:bottom w:val="single" w:sz="4" w:space="0" w:color="auto"/>
              <w:right w:val="single" w:sz="4" w:space="0" w:color="auto"/>
            </w:tcBorders>
            <w:shd w:val="clear" w:color="000000" w:fill="808080"/>
            <w:noWrap/>
            <w:vAlign w:val="bottom"/>
            <w:hideMark/>
          </w:tcPr>
          <w:p w14:paraId="1D845A9C" w14:textId="77777777" w:rsidR="00416D67" w:rsidRPr="00416D67" w:rsidRDefault="00416D67" w:rsidP="00416D67">
            <w:pPr>
              <w:jc w:val="right"/>
              <w:rPr>
                <w:rFonts w:ascii="Arial" w:hAnsi="Arial" w:cs="Arial"/>
                <w:b/>
                <w:bCs/>
                <w:color w:val="FFFFFF"/>
                <w:sz w:val="14"/>
                <w:szCs w:val="14"/>
              </w:rPr>
            </w:pPr>
            <w:r w:rsidRPr="00416D67">
              <w:rPr>
                <w:rFonts w:ascii="Arial" w:hAnsi="Arial" w:cs="Arial"/>
                <w:b/>
                <w:bCs/>
                <w:color w:val="FFFFFF"/>
                <w:sz w:val="14"/>
                <w:szCs w:val="14"/>
              </w:rPr>
              <w:t> </w:t>
            </w:r>
          </w:p>
        </w:tc>
      </w:tr>
      <w:tr w:rsidR="00416D67" w:rsidRPr="00416D67" w14:paraId="3F163F7E" w14:textId="77777777" w:rsidTr="00BB1392">
        <w:trPr>
          <w:trHeight w:val="195"/>
        </w:trPr>
        <w:tc>
          <w:tcPr>
            <w:tcW w:w="6126" w:type="dxa"/>
            <w:tcBorders>
              <w:top w:val="single" w:sz="4" w:space="0" w:color="auto"/>
              <w:left w:val="single" w:sz="4" w:space="0" w:color="auto"/>
              <w:bottom w:val="single" w:sz="4" w:space="0" w:color="auto"/>
              <w:right w:val="single" w:sz="4" w:space="0" w:color="auto"/>
            </w:tcBorders>
            <w:noWrap/>
            <w:vAlign w:val="bottom"/>
            <w:hideMark/>
          </w:tcPr>
          <w:p w14:paraId="5F9022C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9. Višak prihoda ranijih godina</w:t>
            </w:r>
          </w:p>
        </w:tc>
        <w:tc>
          <w:tcPr>
            <w:tcW w:w="1307" w:type="dxa"/>
            <w:tcBorders>
              <w:top w:val="single" w:sz="4" w:space="0" w:color="auto"/>
              <w:left w:val="nil"/>
              <w:bottom w:val="single" w:sz="4" w:space="0" w:color="auto"/>
              <w:right w:val="single" w:sz="4" w:space="0" w:color="auto"/>
            </w:tcBorders>
            <w:noWrap/>
            <w:vAlign w:val="bottom"/>
            <w:hideMark/>
          </w:tcPr>
          <w:p w14:paraId="3793815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242" w:type="dxa"/>
            <w:tcBorders>
              <w:top w:val="single" w:sz="4" w:space="0" w:color="auto"/>
              <w:left w:val="nil"/>
              <w:bottom w:val="single" w:sz="4" w:space="0" w:color="auto"/>
              <w:right w:val="single" w:sz="4" w:space="0" w:color="auto"/>
            </w:tcBorders>
            <w:noWrap/>
            <w:vAlign w:val="bottom"/>
            <w:hideMark/>
          </w:tcPr>
          <w:p w14:paraId="30D4C36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1.747.613,82</w:t>
            </w:r>
          </w:p>
        </w:tc>
        <w:tc>
          <w:tcPr>
            <w:tcW w:w="1649" w:type="dxa"/>
            <w:tcBorders>
              <w:top w:val="single" w:sz="4" w:space="0" w:color="auto"/>
              <w:left w:val="nil"/>
              <w:bottom w:val="single" w:sz="4" w:space="0" w:color="auto"/>
              <w:right w:val="single" w:sz="4" w:space="0" w:color="auto"/>
            </w:tcBorders>
            <w:noWrap/>
            <w:vAlign w:val="bottom"/>
            <w:hideMark/>
          </w:tcPr>
          <w:p w14:paraId="6D597BD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1.747.613,82</w:t>
            </w:r>
          </w:p>
        </w:tc>
        <w:tc>
          <w:tcPr>
            <w:tcW w:w="1713" w:type="dxa"/>
            <w:tcBorders>
              <w:top w:val="single" w:sz="4" w:space="0" w:color="auto"/>
              <w:left w:val="nil"/>
              <w:bottom w:val="single" w:sz="4" w:space="0" w:color="auto"/>
              <w:right w:val="single" w:sz="4" w:space="0" w:color="auto"/>
            </w:tcBorders>
            <w:noWrap/>
            <w:vAlign w:val="bottom"/>
            <w:hideMark/>
          </w:tcPr>
          <w:p w14:paraId="1CEFF79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980.282,57</w:t>
            </w:r>
          </w:p>
        </w:tc>
        <w:tc>
          <w:tcPr>
            <w:tcW w:w="1049" w:type="dxa"/>
            <w:tcBorders>
              <w:top w:val="single" w:sz="4" w:space="0" w:color="auto"/>
              <w:left w:val="nil"/>
              <w:bottom w:val="single" w:sz="4" w:space="0" w:color="auto"/>
              <w:right w:val="single" w:sz="4" w:space="0" w:color="auto"/>
            </w:tcBorders>
            <w:noWrap/>
            <w:vAlign w:val="bottom"/>
            <w:hideMark/>
          </w:tcPr>
          <w:p w14:paraId="3CFB111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114" w:type="dxa"/>
            <w:tcBorders>
              <w:top w:val="single" w:sz="4" w:space="0" w:color="auto"/>
              <w:left w:val="nil"/>
              <w:bottom w:val="single" w:sz="4" w:space="0" w:color="auto"/>
              <w:right w:val="single" w:sz="4" w:space="0" w:color="auto"/>
            </w:tcBorders>
            <w:noWrap/>
            <w:vAlign w:val="bottom"/>
            <w:hideMark/>
          </w:tcPr>
          <w:p w14:paraId="06CB44A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r>
      <w:tr w:rsidR="00416D67" w:rsidRPr="00416D67" w14:paraId="5B3828B2" w14:textId="77777777" w:rsidTr="00BB1392">
        <w:trPr>
          <w:trHeight w:val="195"/>
        </w:trPr>
        <w:tc>
          <w:tcPr>
            <w:tcW w:w="6126" w:type="dxa"/>
            <w:tcBorders>
              <w:top w:val="single" w:sz="4" w:space="0" w:color="auto"/>
              <w:left w:val="single" w:sz="4" w:space="0" w:color="auto"/>
              <w:bottom w:val="single" w:sz="4" w:space="0" w:color="auto"/>
              <w:right w:val="single" w:sz="4" w:space="0" w:color="auto"/>
            </w:tcBorders>
            <w:noWrap/>
            <w:vAlign w:val="bottom"/>
            <w:hideMark/>
          </w:tcPr>
          <w:p w14:paraId="538EA9C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9.1.1 Opći prihodi i primici</w:t>
            </w:r>
          </w:p>
        </w:tc>
        <w:tc>
          <w:tcPr>
            <w:tcW w:w="1307" w:type="dxa"/>
            <w:tcBorders>
              <w:top w:val="single" w:sz="4" w:space="0" w:color="auto"/>
              <w:left w:val="nil"/>
              <w:bottom w:val="single" w:sz="4" w:space="0" w:color="auto"/>
              <w:right w:val="single" w:sz="4" w:space="0" w:color="auto"/>
            </w:tcBorders>
            <w:noWrap/>
            <w:vAlign w:val="bottom"/>
            <w:hideMark/>
          </w:tcPr>
          <w:p w14:paraId="23140B7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242" w:type="dxa"/>
            <w:tcBorders>
              <w:top w:val="single" w:sz="4" w:space="0" w:color="auto"/>
              <w:left w:val="nil"/>
              <w:bottom w:val="single" w:sz="4" w:space="0" w:color="auto"/>
              <w:right w:val="single" w:sz="4" w:space="0" w:color="auto"/>
            </w:tcBorders>
            <w:noWrap/>
            <w:vAlign w:val="bottom"/>
            <w:hideMark/>
          </w:tcPr>
          <w:p w14:paraId="5307A0D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1.690.945,02</w:t>
            </w:r>
          </w:p>
        </w:tc>
        <w:tc>
          <w:tcPr>
            <w:tcW w:w="1649" w:type="dxa"/>
            <w:tcBorders>
              <w:top w:val="single" w:sz="4" w:space="0" w:color="auto"/>
              <w:left w:val="nil"/>
              <w:bottom w:val="single" w:sz="4" w:space="0" w:color="auto"/>
              <w:right w:val="single" w:sz="4" w:space="0" w:color="auto"/>
            </w:tcBorders>
            <w:noWrap/>
            <w:vAlign w:val="bottom"/>
            <w:hideMark/>
          </w:tcPr>
          <w:p w14:paraId="66B2AAE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1.690.945,02</w:t>
            </w:r>
          </w:p>
        </w:tc>
        <w:tc>
          <w:tcPr>
            <w:tcW w:w="1713" w:type="dxa"/>
            <w:tcBorders>
              <w:top w:val="single" w:sz="4" w:space="0" w:color="auto"/>
              <w:left w:val="nil"/>
              <w:bottom w:val="single" w:sz="4" w:space="0" w:color="auto"/>
              <w:right w:val="single" w:sz="4" w:space="0" w:color="auto"/>
            </w:tcBorders>
            <w:noWrap/>
            <w:vAlign w:val="bottom"/>
            <w:hideMark/>
          </w:tcPr>
          <w:p w14:paraId="6F5251D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926.198,79</w:t>
            </w:r>
          </w:p>
        </w:tc>
        <w:tc>
          <w:tcPr>
            <w:tcW w:w="1049" w:type="dxa"/>
            <w:tcBorders>
              <w:top w:val="single" w:sz="4" w:space="0" w:color="auto"/>
              <w:left w:val="nil"/>
              <w:bottom w:val="single" w:sz="4" w:space="0" w:color="auto"/>
              <w:right w:val="single" w:sz="4" w:space="0" w:color="auto"/>
            </w:tcBorders>
            <w:noWrap/>
            <w:vAlign w:val="bottom"/>
            <w:hideMark/>
          </w:tcPr>
          <w:p w14:paraId="441B096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114" w:type="dxa"/>
            <w:tcBorders>
              <w:top w:val="single" w:sz="4" w:space="0" w:color="auto"/>
              <w:left w:val="nil"/>
              <w:bottom w:val="single" w:sz="4" w:space="0" w:color="auto"/>
              <w:right w:val="single" w:sz="4" w:space="0" w:color="auto"/>
            </w:tcBorders>
            <w:noWrap/>
            <w:vAlign w:val="bottom"/>
            <w:hideMark/>
          </w:tcPr>
          <w:p w14:paraId="5C44ECA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r>
      <w:tr w:rsidR="00416D67" w:rsidRPr="00416D67" w14:paraId="5C7DCBCF" w14:textId="77777777" w:rsidTr="00BB1392">
        <w:trPr>
          <w:trHeight w:val="195"/>
        </w:trPr>
        <w:tc>
          <w:tcPr>
            <w:tcW w:w="6126" w:type="dxa"/>
            <w:tcBorders>
              <w:top w:val="single" w:sz="4" w:space="0" w:color="auto"/>
              <w:left w:val="single" w:sz="4" w:space="0" w:color="auto"/>
              <w:bottom w:val="single" w:sz="4" w:space="0" w:color="auto"/>
              <w:right w:val="single" w:sz="4" w:space="0" w:color="auto"/>
            </w:tcBorders>
            <w:noWrap/>
            <w:vAlign w:val="bottom"/>
            <w:hideMark/>
          </w:tcPr>
          <w:p w14:paraId="147E26E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9.3. Višak prihoda prethodne godine PK</w:t>
            </w:r>
          </w:p>
        </w:tc>
        <w:tc>
          <w:tcPr>
            <w:tcW w:w="1307" w:type="dxa"/>
            <w:tcBorders>
              <w:top w:val="single" w:sz="4" w:space="0" w:color="auto"/>
              <w:left w:val="nil"/>
              <w:bottom w:val="single" w:sz="4" w:space="0" w:color="auto"/>
              <w:right w:val="single" w:sz="4" w:space="0" w:color="auto"/>
            </w:tcBorders>
            <w:noWrap/>
            <w:vAlign w:val="bottom"/>
            <w:hideMark/>
          </w:tcPr>
          <w:p w14:paraId="46A8526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242" w:type="dxa"/>
            <w:tcBorders>
              <w:top w:val="single" w:sz="4" w:space="0" w:color="auto"/>
              <w:left w:val="nil"/>
              <w:bottom w:val="single" w:sz="4" w:space="0" w:color="auto"/>
              <w:right w:val="single" w:sz="4" w:space="0" w:color="auto"/>
            </w:tcBorders>
            <w:noWrap/>
            <w:vAlign w:val="bottom"/>
            <w:hideMark/>
          </w:tcPr>
          <w:p w14:paraId="426D058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140,97</w:t>
            </w:r>
          </w:p>
        </w:tc>
        <w:tc>
          <w:tcPr>
            <w:tcW w:w="1649" w:type="dxa"/>
            <w:tcBorders>
              <w:top w:val="single" w:sz="4" w:space="0" w:color="auto"/>
              <w:left w:val="nil"/>
              <w:bottom w:val="single" w:sz="4" w:space="0" w:color="auto"/>
              <w:right w:val="single" w:sz="4" w:space="0" w:color="auto"/>
            </w:tcBorders>
            <w:noWrap/>
            <w:vAlign w:val="bottom"/>
            <w:hideMark/>
          </w:tcPr>
          <w:p w14:paraId="6B796E3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140,97</w:t>
            </w:r>
          </w:p>
        </w:tc>
        <w:tc>
          <w:tcPr>
            <w:tcW w:w="1713" w:type="dxa"/>
            <w:tcBorders>
              <w:top w:val="single" w:sz="4" w:space="0" w:color="auto"/>
              <w:left w:val="nil"/>
              <w:bottom w:val="single" w:sz="4" w:space="0" w:color="auto"/>
              <w:right w:val="single" w:sz="4" w:space="0" w:color="auto"/>
            </w:tcBorders>
            <w:noWrap/>
            <w:vAlign w:val="bottom"/>
            <w:hideMark/>
          </w:tcPr>
          <w:p w14:paraId="2C864F4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140,97</w:t>
            </w:r>
          </w:p>
        </w:tc>
        <w:tc>
          <w:tcPr>
            <w:tcW w:w="1049" w:type="dxa"/>
            <w:tcBorders>
              <w:top w:val="single" w:sz="4" w:space="0" w:color="auto"/>
              <w:left w:val="nil"/>
              <w:bottom w:val="single" w:sz="4" w:space="0" w:color="auto"/>
              <w:right w:val="single" w:sz="4" w:space="0" w:color="auto"/>
            </w:tcBorders>
            <w:noWrap/>
            <w:vAlign w:val="bottom"/>
            <w:hideMark/>
          </w:tcPr>
          <w:p w14:paraId="379D520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114" w:type="dxa"/>
            <w:tcBorders>
              <w:top w:val="single" w:sz="4" w:space="0" w:color="auto"/>
              <w:left w:val="nil"/>
              <w:bottom w:val="single" w:sz="4" w:space="0" w:color="auto"/>
              <w:right w:val="single" w:sz="4" w:space="0" w:color="auto"/>
            </w:tcBorders>
            <w:noWrap/>
            <w:vAlign w:val="bottom"/>
            <w:hideMark/>
          </w:tcPr>
          <w:p w14:paraId="295FD51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r>
      <w:tr w:rsidR="00416D67" w:rsidRPr="00416D67" w14:paraId="7FFA1133" w14:textId="77777777" w:rsidTr="00BB1392">
        <w:trPr>
          <w:trHeight w:val="195"/>
        </w:trPr>
        <w:tc>
          <w:tcPr>
            <w:tcW w:w="6126" w:type="dxa"/>
            <w:tcBorders>
              <w:top w:val="single" w:sz="4" w:space="0" w:color="auto"/>
              <w:left w:val="single" w:sz="4" w:space="0" w:color="auto"/>
              <w:bottom w:val="single" w:sz="4" w:space="0" w:color="auto"/>
              <w:right w:val="single" w:sz="4" w:space="0" w:color="auto"/>
            </w:tcBorders>
            <w:noWrap/>
            <w:vAlign w:val="bottom"/>
            <w:hideMark/>
          </w:tcPr>
          <w:p w14:paraId="6100ADD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9.4.312 Višak koncesija javne usluge pražnjenja i dovoza otpadnih vo</w:t>
            </w:r>
          </w:p>
        </w:tc>
        <w:tc>
          <w:tcPr>
            <w:tcW w:w="1307" w:type="dxa"/>
            <w:tcBorders>
              <w:top w:val="single" w:sz="4" w:space="0" w:color="auto"/>
              <w:left w:val="nil"/>
              <w:bottom w:val="single" w:sz="4" w:space="0" w:color="auto"/>
              <w:right w:val="single" w:sz="4" w:space="0" w:color="auto"/>
            </w:tcBorders>
            <w:noWrap/>
            <w:vAlign w:val="bottom"/>
            <w:hideMark/>
          </w:tcPr>
          <w:p w14:paraId="721A3C0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242" w:type="dxa"/>
            <w:tcBorders>
              <w:top w:val="single" w:sz="4" w:space="0" w:color="auto"/>
              <w:left w:val="nil"/>
              <w:bottom w:val="single" w:sz="4" w:space="0" w:color="auto"/>
              <w:right w:val="single" w:sz="4" w:space="0" w:color="auto"/>
            </w:tcBorders>
            <w:noWrap/>
            <w:vAlign w:val="bottom"/>
            <w:hideMark/>
          </w:tcPr>
          <w:p w14:paraId="737D4BA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2.585,02</w:t>
            </w:r>
          </w:p>
        </w:tc>
        <w:tc>
          <w:tcPr>
            <w:tcW w:w="1649" w:type="dxa"/>
            <w:tcBorders>
              <w:top w:val="single" w:sz="4" w:space="0" w:color="auto"/>
              <w:left w:val="nil"/>
              <w:bottom w:val="single" w:sz="4" w:space="0" w:color="auto"/>
              <w:right w:val="single" w:sz="4" w:space="0" w:color="auto"/>
            </w:tcBorders>
            <w:noWrap/>
            <w:vAlign w:val="bottom"/>
            <w:hideMark/>
          </w:tcPr>
          <w:p w14:paraId="28CC3C9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2.585,02</w:t>
            </w:r>
          </w:p>
        </w:tc>
        <w:tc>
          <w:tcPr>
            <w:tcW w:w="1713" w:type="dxa"/>
            <w:tcBorders>
              <w:top w:val="single" w:sz="4" w:space="0" w:color="auto"/>
              <w:left w:val="nil"/>
              <w:bottom w:val="single" w:sz="4" w:space="0" w:color="auto"/>
              <w:right w:val="single" w:sz="4" w:space="0" w:color="auto"/>
            </w:tcBorders>
            <w:noWrap/>
            <w:vAlign w:val="bottom"/>
            <w:hideMark/>
          </w:tcPr>
          <w:p w14:paraId="3E3CDDC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1049" w:type="dxa"/>
            <w:tcBorders>
              <w:top w:val="single" w:sz="4" w:space="0" w:color="auto"/>
              <w:left w:val="nil"/>
              <w:bottom w:val="single" w:sz="4" w:space="0" w:color="auto"/>
              <w:right w:val="single" w:sz="4" w:space="0" w:color="auto"/>
            </w:tcBorders>
            <w:noWrap/>
            <w:vAlign w:val="bottom"/>
            <w:hideMark/>
          </w:tcPr>
          <w:p w14:paraId="4015A16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114" w:type="dxa"/>
            <w:tcBorders>
              <w:top w:val="single" w:sz="4" w:space="0" w:color="auto"/>
              <w:left w:val="nil"/>
              <w:bottom w:val="single" w:sz="4" w:space="0" w:color="auto"/>
              <w:right w:val="single" w:sz="4" w:space="0" w:color="auto"/>
            </w:tcBorders>
            <w:noWrap/>
            <w:vAlign w:val="bottom"/>
            <w:hideMark/>
          </w:tcPr>
          <w:p w14:paraId="18DD61B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r>
      <w:tr w:rsidR="00416D67" w:rsidRPr="00416D67" w14:paraId="27C1297E" w14:textId="77777777" w:rsidTr="00BB1392">
        <w:trPr>
          <w:trHeight w:val="195"/>
        </w:trPr>
        <w:tc>
          <w:tcPr>
            <w:tcW w:w="6126" w:type="dxa"/>
            <w:tcBorders>
              <w:top w:val="single" w:sz="4" w:space="0" w:color="auto"/>
              <w:left w:val="single" w:sz="4" w:space="0" w:color="auto"/>
              <w:bottom w:val="single" w:sz="4" w:space="0" w:color="auto"/>
              <w:right w:val="single" w:sz="4" w:space="0" w:color="auto"/>
            </w:tcBorders>
            <w:noWrap/>
            <w:vAlign w:val="bottom"/>
            <w:hideMark/>
          </w:tcPr>
          <w:p w14:paraId="3772D76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9.5.3 Višak prihoda  </w:t>
            </w:r>
            <w:proofErr w:type="spellStart"/>
            <w:r w:rsidRPr="00416D67">
              <w:rPr>
                <w:rFonts w:ascii="Arial" w:hAnsi="Arial" w:cs="Arial"/>
                <w:b/>
                <w:bCs/>
                <w:sz w:val="14"/>
                <w:szCs w:val="14"/>
              </w:rPr>
              <w:t>p.g</w:t>
            </w:r>
            <w:proofErr w:type="spellEnd"/>
            <w:r w:rsidRPr="00416D67">
              <w:rPr>
                <w:rFonts w:ascii="Arial" w:hAnsi="Arial" w:cs="Arial"/>
                <w:b/>
                <w:bCs/>
                <w:sz w:val="14"/>
                <w:szCs w:val="14"/>
              </w:rPr>
              <w:t>. pomoći Ministarstvo turizma i  sporta</w:t>
            </w:r>
          </w:p>
        </w:tc>
        <w:tc>
          <w:tcPr>
            <w:tcW w:w="1307" w:type="dxa"/>
            <w:tcBorders>
              <w:top w:val="single" w:sz="4" w:space="0" w:color="auto"/>
              <w:left w:val="nil"/>
              <w:bottom w:val="single" w:sz="4" w:space="0" w:color="auto"/>
              <w:right w:val="single" w:sz="4" w:space="0" w:color="auto"/>
            </w:tcBorders>
            <w:noWrap/>
            <w:vAlign w:val="bottom"/>
            <w:hideMark/>
          </w:tcPr>
          <w:p w14:paraId="4BBF3AD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242" w:type="dxa"/>
            <w:tcBorders>
              <w:top w:val="single" w:sz="4" w:space="0" w:color="auto"/>
              <w:left w:val="nil"/>
              <w:bottom w:val="single" w:sz="4" w:space="0" w:color="auto"/>
              <w:right w:val="single" w:sz="4" w:space="0" w:color="auto"/>
            </w:tcBorders>
            <w:noWrap/>
            <w:vAlign w:val="bottom"/>
            <w:hideMark/>
          </w:tcPr>
          <w:p w14:paraId="0241974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53.942,81</w:t>
            </w:r>
          </w:p>
        </w:tc>
        <w:tc>
          <w:tcPr>
            <w:tcW w:w="1649" w:type="dxa"/>
            <w:tcBorders>
              <w:top w:val="single" w:sz="4" w:space="0" w:color="auto"/>
              <w:left w:val="nil"/>
              <w:bottom w:val="single" w:sz="4" w:space="0" w:color="auto"/>
              <w:right w:val="single" w:sz="4" w:space="0" w:color="auto"/>
            </w:tcBorders>
            <w:noWrap/>
            <w:vAlign w:val="bottom"/>
            <w:hideMark/>
          </w:tcPr>
          <w:p w14:paraId="2954A58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53.942,81</w:t>
            </w:r>
          </w:p>
        </w:tc>
        <w:tc>
          <w:tcPr>
            <w:tcW w:w="1713" w:type="dxa"/>
            <w:tcBorders>
              <w:top w:val="single" w:sz="4" w:space="0" w:color="auto"/>
              <w:left w:val="nil"/>
              <w:bottom w:val="single" w:sz="4" w:space="0" w:color="auto"/>
              <w:right w:val="single" w:sz="4" w:space="0" w:color="auto"/>
            </w:tcBorders>
            <w:noWrap/>
            <w:vAlign w:val="bottom"/>
            <w:hideMark/>
          </w:tcPr>
          <w:p w14:paraId="2F60059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53.942,81</w:t>
            </w:r>
          </w:p>
        </w:tc>
        <w:tc>
          <w:tcPr>
            <w:tcW w:w="1049" w:type="dxa"/>
            <w:tcBorders>
              <w:top w:val="single" w:sz="4" w:space="0" w:color="auto"/>
              <w:left w:val="nil"/>
              <w:bottom w:val="single" w:sz="4" w:space="0" w:color="auto"/>
              <w:right w:val="single" w:sz="4" w:space="0" w:color="auto"/>
            </w:tcBorders>
            <w:noWrap/>
            <w:vAlign w:val="bottom"/>
            <w:hideMark/>
          </w:tcPr>
          <w:p w14:paraId="11C43E6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114" w:type="dxa"/>
            <w:tcBorders>
              <w:top w:val="single" w:sz="4" w:space="0" w:color="auto"/>
              <w:left w:val="nil"/>
              <w:bottom w:val="single" w:sz="4" w:space="0" w:color="auto"/>
              <w:right w:val="single" w:sz="4" w:space="0" w:color="auto"/>
            </w:tcBorders>
            <w:noWrap/>
            <w:vAlign w:val="bottom"/>
            <w:hideMark/>
          </w:tcPr>
          <w:p w14:paraId="309A3A7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r>
    </w:tbl>
    <w:p w14:paraId="386186D7" w14:textId="77777777" w:rsidR="00416D67" w:rsidRPr="00416D67" w:rsidRDefault="00416D67" w:rsidP="00416D67">
      <w:pPr>
        <w:jc w:val="both"/>
        <w:rPr>
          <w:b/>
          <w:sz w:val="18"/>
          <w:szCs w:val="18"/>
        </w:rPr>
      </w:pPr>
    </w:p>
    <w:p w14:paraId="107EA533" w14:textId="77777777" w:rsidR="00416D67" w:rsidRPr="00416D67" w:rsidRDefault="00416D67" w:rsidP="00416D67">
      <w:pPr>
        <w:jc w:val="both"/>
        <w:rPr>
          <w:b/>
          <w:sz w:val="18"/>
          <w:szCs w:val="18"/>
        </w:rPr>
      </w:pPr>
    </w:p>
    <w:p w14:paraId="659446C1" w14:textId="77777777" w:rsidR="00416D67" w:rsidRPr="00416D67" w:rsidRDefault="00416D67" w:rsidP="00416D67">
      <w:pPr>
        <w:jc w:val="both"/>
        <w:rPr>
          <w:b/>
        </w:rPr>
      </w:pPr>
      <w:r w:rsidRPr="00416D67">
        <w:rPr>
          <w:b/>
        </w:rPr>
        <w:t xml:space="preserve">II. POSEBNI DIO </w:t>
      </w:r>
    </w:p>
    <w:p w14:paraId="046B40EB" w14:textId="77777777" w:rsidR="00416D67" w:rsidRPr="00416D67" w:rsidRDefault="00416D67" w:rsidP="00416D67">
      <w:pPr>
        <w:jc w:val="both"/>
        <w:rPr>
          <w:b/>
        </w:rPr>
      </w:pPr>
    </w:p>
    <w:p w14:paraId="21A632F1" w14:textId="77777777" w:rsidR="00416D67" w:rsidRPr="00416D67" w:rsidRDefault="00416D67" w:rsidP="00416D67">
      <w:pPr>
        <w:jc w:val="center"/>
        <w:rPr>
          <w:b/>
        </w:rPr>
      </w:pPr>
      <w:r w:rsidRPr="00416D67">
        <w:rPr>
          <w:b/>
        </w:rPr>
        <w:t>Članak 2.</w:t>
      </w:r>
    </w:p>
    <w:p w14:paraId="7FFD0A88" w14:textId="77777777" w:rsidR="00416D67" w:rsidRPr="00416D67" w:rsidRDefault="00416D67" w:rsidP="00416D67">
      <w:pPr>
        <w:tabs>
          <w:tab w:val="left" w:pos="5025"/>
        </w:tabs>
      </w:pPr>
      <w:r w:rsidRPr="00416D67">
        <w:tab/>
      </w:r>
    </w:p>
    <w:p w14:paraId="298A1272" w14:textId="77777777" w:rsidR="00416D67" w:rsidRPr="00416D67" w:rsidRDefault="00416D67" w:rsidP="00416D67">
      <w:pPr>
        <w:jc w:val="both"/>
      </w:pPr>
      <w:r w:rsidRPr="00416D67">
        <w:t xml:space="preserve">        Posebni dio Godišnjeg izvještaja o izvršenju Proračuna Općine Marčana za 2025. godinu sadrži dva izvješća o izvršenju po proračunskim klasifikacijama, i to: </w:t>
      </w:r>
      <w:proofErr w:type="spellStart"/>
      <w:r w:rsidRPr="00416D67">
        <w:t>ogranizacijskoj</w:t>
      </w:r>
      <w:proofErr w:type="spellEnd"/>
      <w:r w:rsidRPr="00416D67">
        <w:t xml:space="preserve"> i programskoj klasifikaciji na  razini podskupine i odjeljka ekonomske klasifikacije.</w:t>
      </w:r>
    </w:p>
    <w:p w14:paraId="30F26FD0" w14:textId="77777777" w:rsidR="00416D67" w:rsidRPr="00416D67" w:rsidRDefault="00416D67" w:rsidP="00416D67">
      <w:pPr>
        <w:jc w:val="both"/>
        <w:rPr>
          <w:b/>
        </w:rPr>
      </w:pPr>
    </w:p>
    <w:p w14:paraId="5FB85494" w14:textId="77777777" w:rsidR="00416D67" w:rsidRPr="00416D67" w:rsidRDefault="00416D67" w:rsidP="00416D67">
      <w:pPr>
        <w:jc w:val="both"/>
        <w:rPr>
          <w:b/>
        </w:rPr>
      </w:pPr>
    </w:p>
    <w:p w14:paraId="3D919FB0" w14:textId="77777777" w:rsidR="00416D67" w:rsidRPr="00416D67" w:rsidRDefault="00416D67" w:rsidP="00416D67">
      <w:pPr>
        <w:jc w:val="both"/>
        <w:rPr>
          <w:b/>
        </w:rPr>
      </w:pPr>
    </w:p>
    <w:p w14:paraId="16A7E853" w14:textId="77777777" w:rsidR="00416D67" w:rsidRPr="00416D67" w:rsidRDefault="00416D67" w:rsidP="00416D67">
      <w:pPr>
        <w:jc w:val="both"/>
        <w:rPr>
          <w:b/>
        </w:rPr>
      </w:pPr>
    </w:p>
    <w:p w14:paraId="42887345" w14:textId="77777777" w:rsidR="00416D67" w:rsidRPr="00416D67" w:rsidRDefault="00416D67" w:rsidP="00416D67">
      <w:pPr>
        <w:jc w:val="both"/>
        <w:rPr>
          <w:b/>
        </w:rPr>
      </w:pPr>
    </w:p>
    <w:p w14:paraId="07BB03F9" w14:textId="77777777" w:rsidR="00416D67" w:rsidRPr="00416D67" w:rsidRDefault="00416D67" w:rsidP="00416D67">
      <w:pPr>
        <w:jc w:val="both"/>
        <w:rPr>
          <w:b/>
        </w:rPr>
      </w:pPr>
    </w:p>
    <w:p w14:paraId="2C941C22" w14:textId="77777777" w:rsidR="00416D67" w:rsidRPr="00416D67" w:rsidRDefault="00416D67" w:rsidP="00416D67">
      <w:pPr>
        <w:jc w:val="both"/>
        <w:rPr>
          <w:b/>
        </w:rPr>
      </w:pPr>
    </w:p>
    <w:p w14:paraId="4908126D" w14:textId="77777777" w:rsidR="00416D67" w:rsidRPr="00416D67" w:rsidRDefault="00416D67" w:rsidP="00416D67">
      <w:pPr>
        <w:jc w:val="both"/>
        <w:rPr>
          <w:b/>
        </w:rPr>
      </w:pPr>
    </w:p>
    <w:p w14:paraId="55B7C3C7" w14:textId="77777777" w:rsidR="00416D67" w:rsidRPr="00416D67" w:rsidRDefault="00416D67" w:rsidP="00416D67">
      <w:pPr>
        <w:jc w:val="both"/>
        <w:rPr>
          <w:b/>
        </w:rPr>
      </w:pPr>
    </w:p>
    <w:p w14:paraId="05DE7D84" w14:textId="77777777" w:rsidR="00416D67" w:rsidRPr="00416D67" w:rsidRDefault="00416D67" w:rsidP="00416D67">
      <w:pPr>
        <w:jc w:val="both"/>
        <w:rPr>
          <w:b/>
        </w:rPr>
      </w:pPr>
    </w:p>
    <w:p w14:paraId="4381EAB9" w14:textId="77777777" w:rsidR="00416D67" w:rsidRPr="00416D67" w:rsidRDefault="00416D67" w:rsidP="00416D67">
      <w:pPr>
        <w:jc w:val="both"/>
        <w:rPr>
          <w:b/>
        </w:rPr>
      </w:pPr>
      <w:r w:rsidRPr="00416D67">
        <w:rPr>
          <w:b/>
        </w:rPr>
        <w:t>Izvršenje  po organizacijskoj klasifikaciji</w:t>
      </w:r>
    </w:p>
    <w:p w14:paraId="6A1696C4" w14:textId="77777777" w:rsidR="00416D67" w:rsidRPr="00416D67" w:rsidRDefault="00416D67" w:rsidP="00416D67">
      <w:pPr>
        <w:jc w:val="both"/>
      </w:pPr>
    </w:p>
    <w:tbl>
      <w:tblPr>
        <w:tblW w:w="14420" w:type="dxa"/>
        <w:tblInd w:w="93" w:type="dxa"/>
        <w:tblLook w:val="04A0" w:firstRow="1" w:lastRow="0" w:firstColumn="1" w:lastColumn="0" w:noHBand="0" w:noVBand="1"/>
      </w:tblPr>
      <w:tblGrid>
        <w:gridCol w:w="866"/>
        <w:gridCol w:w="826"/>
        <w:gridCol w:w="4280"/>
        <w:gridCol w:w="1698"/>
        <w:gridCol w:w="1640"/>
        <w:gridCol w:w="1387"/>
        <w:gridCol w:w="1465"/>
        <w:gridCol w:w="1205"/>
        <w:gridCol w:w="1053"/>
      </w:tblGrid>
      <w:tr w:rsidR="00416D67" w:rsidRPr="00416D67" w14:paraId="29854666" w14:textId="77777777" w:rsidTr="00BB1392">
        <w:trPr>
          <w:trHeight w:val="458"/>
        </w:trPr>
        <w:tc>
          <w:tcPr>
            <w:tcW w:w="5972" w:type="dxa"/>
            <w:gridSpan w:val="3"/>
            <w:vMerge w:val="restart"/>
            <w:tcBorders>
              <w:top w:val="single" w:sz="4" w:space="0" w:color="A6A6A6"/>
              <w:left w:val="single" w:sz="4" w:space="0" w:color="A6A6A6"/>
              <w:bottom w:val="single" w:sz="4" w:space="0" w:color="A6A6A6"/>
              <w:right w:val="single" w:sz="4" w:space="0" w:color="A6A6A6"/>
            </w:tcBorders>
            <w:shd w:val="clear" w:color="000000" w:fill="F2F2F2"/>
            <w:noWrap/>
            <w:vAlign w:val="center"/>
            <w:hideMark/>
          </w:tcPr>
          <w:p w14:paraId="7FA2DC0E" w14:textId="77777777" w:rsidR="00416D67" w:rsidRPr="00416D67" w:rsidRDefault="00416D67" w:rsidP="00416D67">
            <w:pPr>
              <w:jc w:val="center"/>
              <w:rPr>
                <w:color w:val="000000"/>
                <w:sz w:val="14"/>
                <w:szCs w:val="14"/>
              </w:rPr>
            </w:pPr>
            <w:r w:rsidRPr="00416D67">
              <w:rPr>
                <w:color w:val="000000"/>
                <w:sz w:val="14"/>
                <w:szCs w:val="14"/>
              </w:rPr>
              <w:t>OPIS  ORGANIZACIJSKE KLASIFIKACIJE</w:t>
            </w:r>
          </w:p>
        </w:tc>
        <w:tc>
          <w:tcPr>
            <w:tcW w:w="1698" w:type="dxa"/>
            <w:vMerge w:val="restart"/>
            <w:tcBorders>
              <w:top w:val="single" w:sz="4" w:space="0" w:color="A6A6A6"/>
              <w:left w:val="single" w:sz="4" w:space="0" w:color="A6A6A6"/>
              <w:bottom w:val="single" w:sz="4" w:space="0" w:color="A6A6A6"/>
              <w:right w:val="single" w:sz="4" w:space="0" w:color="A6A6A6"/>
            </w:tcBorders>
            <w:shd w:val="clear" w:color="000000" w:fill="F2F2F2"/>
            <w:vAlign w:val="center"/>
            <w:hideMark/>
          </w:tcPr>
          <w:p w14:paraId="25E0F2C8" w14:textId="77777777" w:rsidR="00416D67" w:rsidRPr="00416D67" w:rsidRDefault="00416D67" w:rsidP="00416D67">
            <w:pPr>
              <w:jc w:val="center"/>
              <w:rPr>
                <w:color w:val="000000"/>
                <w:sz w:val="14"/>
                <w:szCs w:val="14"/>
              </w:rPr>
            </w:pPr>
            <w:r w:rsidRPr="00416D67">
              <w:rPr>
                <w:color w:val="000000"/>
                <w:sz w:val="14"/>
                <w:szCs w:val="14"/>
              </w:rPr>
              <w:t>IZVRŠENJE PRORAČUNA 2024. GODINA</w:t>
            </w:r>
          </w:p>
        </w:tc>
        <w:tc>
          <w:tcPr>
            <w:tcW w:w="1640" w:type="dxa"/>
            <w:vMerge w:val="restart"/>
            <w:tcBorders>
              <w:top w:val="single" w:sz="4" w:space="0" w:color="A6A6A6"/>
              <w:left w:val="single" w:sz="4" w:space="0" w:color="A6A6A6"/>
              <w:bottom w:val="single" w:sz="4" w:space="0" w:color="A6A6A6"/>
              <w:right w:val="single" w:sz="4" w:space="0" w:color="A6A6A6"/>
            </w:tcBorders>
            <w:shd w:val="clear" w:color="000000" w:fill="F2F2F2"/>
            <w:vAlign w:val="center"/>
            <w:hideMark/>
          </w:tcPr>
          <w:p w14:paraId="41CEB980" w14:textId="77777777" w:rsidR="00416D67" w:rsidRPr="00416D67" w:rsidRDefault="00416D67" w:rsidP="00416D67">
            <w:pPr>
              <w:jc w:val="center"/>
              <w:rPr>
                <w:color w:val="000000"/>
                <w:sz w:val="14"/>
                <w:szCs w:val="14"/>
              </w:rPr>
            </w:pPr>
            <w:r w:rsidRPr="00416D67">
              <w:rPr>
                <w:color w:val="000000"/>
                <w:sz w:val="14"/>
                <w:szCs w:val="14"/>
              </w:rPr>
              <w:t>IZVORNI PLAN PRORAČUNA 2025. GODINA</w:t>
            </w:r>
          </w:p>
        </w:tc>
        <w:tc>
          <w:tcPr>
            <w:tcW w:w="1387" w:type="dxa"/>
            <w:vMerge w:val="restart"/>
            <w:tcBorders>
              <w:top w:val="single" w:sz="4" w:space="0" w:color="A6A6A6"/>
              <w:left w:val="single" w:sz="4" w:space="0" w:color="A6A6A6"/>
              <w:bottom w:val="single" w:sz="4" w:space="0" w:color="A6A6A6"/>
              <w:right w:val="single" w:sz="4" w:space="0" w:color="A6A6A6"/>
            </w:tcBorders>
            <w:shd w:val="clear" w:color="000000" w:fill="F2F2F2"/>
            <w:vAlign w:val="center"/>
            <w:hideMark/>
          </w:tcPr>
          <w:p w14:paraId="32AF2AFC" w14:textId="77777777" w:rsidR="00416D67" w:rsidRPr="00416D67" w:rsidRDefault="00416D67" w:rsidP="00416D67">
            <w:pPr>
              <w:jc w:val="center"/>
              <w:rPr>
                <w:color w:val="000000"/>
                <w:sz w:val="14"/>
                <w:szCs w:val="14"/>
              </w:rPr>
            </w:pPr>
            <w:r w:rsidRPr="00416D67">
              <w:rPr>
                <w:color w:val="000000"/>
                <w:sz w:val="14"/>
                <w:szCs w:val="14"/>
              </w:rPr>
              <w:t>TEKUĆI PLAN PRORAČUNA 2025. GODINA</w:t>
            </w:r>
          </w:p>
        </w:tc>
        <w:tc>
          <w:tcPr>
            <w:tcW w:w="1465" w:type="dxa"/>
            <w:vMerge w:val="restart"/>
            <w:tcBorders>
              <w:top w:val="single" w:sz="4" w:space="0" w:color="A6A6A6"/>
              <w:left w:val="single" w:sz="4" w:space="0" w:color="A6A6A6"/>
              <w:bottom w:val="single" w:sz="4" w:space="0" w:color="A6A6A6"/>
              <w:right w:val="single" w:sz="4" w:space="0" w:color="A6A6A6"/>
            </w:tcBorders>
            <w:shd w:val="clear" w:color="000000" w:fill="F2F2F2"/>
            <w:vAlign w:val="center"/>
            <w:hideMark/>
          </w:tcPr>
          <w:p w14:paraId="0510C3F7" w14:textId="77777777" w:rsidR="00416D67" w:rsidRPr="00416D67" w:rsidRDefault="00416D67" w:rsidP="00416D67">
            <w:pPr>
              <w:jc w:val="center"/>
              <w:rPr>
                <w:color w:val="000000"/>
                <w:sz w:val="14"/>
                <w:szCs w:val="14"/>
              </w:rPr>
            </w:pPr>
            <w:r w:rsidRPr="00416D67">
              <w:rPr>
                <w:color w:val="000000"/>
                <w:sz w:val="14"/>
                <w:szCs w:val="14"/>
              </w:rPr>
              <w:t>IZVRŠENJE PRORAČUNA 2025. GODINA</w:t>
            </w:r>
          </w:p>
        </w:tc>
        <w:tc>
          <w:tcPr>
            <w:tcW w:w="1205" w:type="dxa"/>
            <w:vMerge w:val="restart"/>
            <w:tcBorders>
              <w:top w:val="single" w:sz="4" w:space="0" w:color="A6A6A6"/>
              <w:left w:val="single" w:sz="4" w:space="0" w:color="A6A6A6"/>
              <w:bottom w:val="single" w:sz="4" w:space="0" w:color="A6A6A6"/>
              <w:right w:val="single" w:sz="4" w:space="0" w:color="A6A6A6"/>
            </w:tcBorders>
            <w:shd w:val="clear" w:color="000000" w:fill="F2F2F2"/>
            <w:vAlign w:val="center"/>
            <w:hideMark/>
          </w:tcPr>
          <w:p w14:paraId="6F3A99F8" w14:textId="77777777" w:rsidR="00416D67" w:rsidRPr="00416D67" w:rsidRDefault="00416D67" w:rsidP="00416D67">
            <w:pPr>
              <w:jc w:val="center"/>
              <w:rPr>
                <w:color w:val="000000"/>
                <w:sz w:val="14"/>
                <w:szCs w:val="14"/>
              </w:rPr>
            </w:pPr>
            <w:r w:rsidRPr="00416D67">
              <w:rPr>
                <w:color w:val="000000"/>
                <w:sz w:val="14"/>
                <w:szCs w:val="14"/>
              </w:rPr>
              <w:t>INDEKS  2025/2024.</w:t>
            </w:r>
          </w:p>
        </w:tc>
        <w:tc>
          <w:tcPr>
            <w:tcW w:w="1053" w:type="dxa"/>
            <w:vMerge w:val="restart"/>
            <w:tcBorders>
              <w:top w:val="single" w:sz="4" w:space="0" w:color="A6A6A6"/>
              <w:left w:val="single" w:sz="4" w:space="0" w:color="A6A6A6"/>
              <w:bottom w:val="single" w:sz="4" w:space="0" w:color="A6A6A6"/>
              <w:right w:val="single" w:sz="4" w:space="0" w:color="A6A6A6"/>
            </w:tcBorders>
            <w:shd w:val="clear" w:color="000000" w:fill="F2F2F2"/>
            <w:vAlign w:val="center"/>
            <w:hideMark/>
          </w:tcPr>
          <w:p w14:paraId="3631A49F" w14:textId="77777777" w:rsidR="00416D67" w:rsidRPr="00416D67" w:rsidRDefault="00416D67" w:rsidP="00416D67">
            <w:pPr>
              <w:jc w:val="center"/>
              <w:rPr>
                <w:color w:val="000000"/>
                <w:sz w:val="14"/>
                <w:szCs w:val="14"/>
              </w:rPr>
            </w:pPr>
            <w:r w:rsidRPr="00416D67">
              <w:rPr>
                <w:color w:val="000000"/>
                <w:sz w:val="14"/>
                <w:szCs w:val="14"/>
              </w:rPr>
              <w:t>INDEKS OSTV/PLAN 2025.</w:t>
            </w:r>
          </w:p>
        </w:tc>
      </w:tr>
      <w:tr w:rsidR="00416D67" w:rsidRPr="00416D67" w14:paraId="4E5CAC3E" w14:textId="77777777" w:rsidTr="00BB1392">
        <w:trPr>
          <w:trHeight w:val="540"/>
        </w:trPr>
        <w:tc>
          <w:tcPr>
            <w:tcW w:w="5972" w:type="dxa"/>
            <w:gridSpan w:val="3"/>
            <w:vMerge/>
            <w:tcBorders>
              <w:top w:val="single" w:sz="4" w:space="0" w:color="A6A6A6"/>
              <w:left w:val="single" w:sz="4" w:space="0" w:color="A6A6A6"/>
              <w:bottom w:val="single" w:sz="4" w:space="0" w:color="A6A6A6"/>
              <w:right w:val="single" w:sz="4" w:space="0" w:color="A6A6A6"/>
            </w:tcBorders>
            <w:vAlign w:val="center"/>
            <w:hideMark/>
          </w:tcPr>
          <w:p w14:paraId="78EA7A56" w14:textId="77777777" w:rsidR="00416D67" w:rsidRPr="00416D67" w:rsidRDefault="00416D67" w:rsidP="00416D67">
            <w:pPr>
              <w:rPr>
                <w:color w:val="000000"/>
                <w:sz w:val="14"/>
                <w:szCs w:val="14"/>
              </w:rPr>
            </w:pPr>
          </w:p>
        </w:tc>
        <w:tc>
          <w:tcPr>
            <w:tcW w:w="1698" w:type="dxa"/>
            <w:vMerge/>
            <w:tcBorders>
              <w:top w:val="single" w:sz="4" w:space="0" w:color="A6A6A6"/>
              <w:left w:val="single" w:sz="4" w:space="0" w:color="A6A6A6"/>
              <w:bottom w:val="single" w:sz="4" w:space="0" w:color="A6A6A6"/>
              <w:right w:val="single" w:sz="4" w:space="0" w:color="A6A6A6"/>
            </w:tcBorders>
            <w:vAlign w:val="center"/>
            <w:hideMark/>
          </w:tcPr>
          <w:p w14:paraId="566439CA" w14:textId="77777777" w:rsidR="00416D67" w:rsidRPr="00416D67" w:rsidRDefault="00416D67" w:rsidP="00416D67">
            <w:pPr>
              <w:rPr>
                <w:color w:val="000000"/>
                <w:sz w:val="14"/>
                <w:szCs w:val="14"/>
              </w:rPr>
            </w:pPr>
          </w:p>
        </w:tc>
        <w:tc>
          <w:tcPr>
            <w:tcW w:w="1640" w:type="dxa"/>
            <w:vMerge/>
            <w:tcBorders>
              <w:top w:val="single" w:sz="4" w:space="0" w:color="A6A6A6"/>
              <w:left w:val="single" w:sz="4" w:space="0" w:color="A6A6A6"/>
              <w:bottom w:val="single" w:sz="4" w:space="0" w:color="A6A6A6"/>
              <w:right w:val="single" w:sz="4" w:space="0" w:color="A6A6A6"/>
            </w:tcBorders>
            <w:vAlign w:val="center"/>
            <w:hideMark/>
          </w:tcPr>
          <w:p w14:paraId="5E09E0A9" w14:textId="77777777" w:rsidR="00416D67" w:rsidRPr="00416D67" w:rsidRDefault="00416D67" w:rsidP="00416D67">
            <w:pPr>
              <w:rPr>
                <w:color w:val="000000"/>
                <w:sz w:val="14"/>
                <w:szCs w:val="14"/>
              </w:rPr>
            </w:pPr>
          </w:p>
        </w:tc>
        <w:tc>
          <w:tcPr>
            <w:tcW w:w="1387" w:type="dxa"/>
            <w:vMerge/>
            <w:tcBorders>
              <w:top w:val="single" w:sz="4" w:space="0" w:color="A6A6A6"/>
              <w:left w:val="single" w:sz="4" w:space="0" w:color="A6A6A6"/>
              <w:bottom w:val="single" w:sz="4" w:space="0" w:color="A6A6A6"/>
              <w:right w:val="single" w:sz="4" w:space="0" w:color="A6A6A6"/>
            </w:tcBorders>
            <w:vAlign w:val="center"/>
            <w:hideMark/>
          </w:tcPr>
          <w:p w14:paraId="3BFC8AE9" w14:textId="77777777" w:rsidR="00416D67" w:rsidRPr="00416D67" w:rsidRDefault="00416D67" w:rsidP="00416D67">
            <w:pPr>
              <w:rPr>
                <w:color w:val="000000"/>
                <w:sz w:val="14"/>
                <w:szCs w:val="14"/>
              </w:rPr>
            </w:pPr>
          </w:p>
        </w:tc>
        <w:tc>
          <w:tcPr>
            <w:tcW w:w="1465" w:type="dxa"/>
            <w:vMerge/>
            <w:tcBorders>
              <w:top w:val="single" w:sz="4" w:space="0" w:color="A6A6A6"/>
              <w:left w:val="single" w:sz="4" w:space="0" w:color="A6A6A6"/>
              <w:bottom w:val="single" w:sz="4" w:space="0" w:color="A6A6A6"/>
              <w:right w:val="single" w:sz="4" w:space="0" w:color="A6A6A6"/>
            </w:tcBorders>
            <w:vAlign w:val="center"/>
            <w:hideMark/>
          </w:tcPr>
          <w:p w14:paraId="6269EC7A" w14:textId="77777777" w:rsidR="00416D67" w:rsidRPr="00416D67" w:rsidRDefault="00416D67" w:rsidP="00416D67">
            <w:pPr>
              <w:rPr>
                <w:color w:val="000000"/>
                <w:sz w:val="14"/>
                <w:szCs w:val="14"/>
              </w:rPr>
            </w:pPr>
          </w:p>
        </w:tc>
        <w:tc>
          <w:tcPr>
            <w:tcW w:w="1205" w:type="dxa"/>
            <w:vMerge/>
            <w:tcBorders>
              <w:top w:val="single" w:sz="4" w:space="0" w:color="A6A6A6"/>
              <w:left w:val="single" w:sz="4" w:space="0" w:color="A6A6A6"/>
              <w:bottom w:val="single" w:sz="4" w:space="0" w:color="A6A6A6"/>
              <w:right w:val="single" w:sz="4" w:space="0" w:color="A6A6A6"/>
            </w:tcBorders>
            <w:vAlign w:val="center"/>
            <w:hideMark/>
          </w:tcPr>
          <w:p w14:paraId="14A1EA60" w14:textId="77777777" w:rsidR="00416D67" w:rsidRPr="00416D67" w:rsidRDefault="00416D67" w:rsidP="00416D67">
            <w:pPr>
              <w:rPr>
                <w:color w:val="000000"/>
                <w:sz w:val="14"/>
                <w:szCs w:val="14"/>
              </w:rPr>
            </w:pPr>
          </w:p>
        </w:tc>
        <w:tc>
          <w:tcPr>
            <w:tcW w:w="1053" w:type="dxa"/>
            <w:vMerge/>
            <w:tcBorders>
              <w:top w:val="single" w:sz="4" w:space="0" w:color="A6A6A6"/>
              <w:left w:val="single" w:sz="4" w:space="0" w:color="A6A6A6"/>
              <w:bottom w:val="single" w:sz="4" w:space="0" w:color="A6A6A6"/>
              <w:right w:val="single" w:sz="4" w:space="0" w:color="A6A6A6"/>
            </w:tcBorders>
            <w:vAlign w:val="center"/>
            <w:hideMark/>
          </w:tcPr>
          <w:p w14:paraId="22A9277D" w14:textId="77777777" w:rsidR="00416D67" w:rsidRPr="00416D67" w:rsidRDefault="00416D67" w:rsidP="00416D67">
            <w:pPr>
              <w:rPr>
                <w:color w:val="000000"/>
                <w:sz w:val="14"/>
                <w:szCs w:val="14"/>
              </w:rPr>
            </w:pPr>
          </w:p>
        </w:tc>
      </w:tr>
      <w:tr w:rsidR="00416D67" w:rsidRPr="00416D67" w14:paraId="1A790EC7" w14:textId="77777777" w:rsidTr="00BB1392">
        <w:trPr>
          <w:trHeight w:val="300"/>
        </w:trPr>
        <w:tc>
          <w:tcPr>
            <w:tcW w:w="5972" w:type="dxa"/>
            <w:gridSpan w:val="3"/>
            <w:vMerge/>
            <w:tcBorders>
              <w:top w:val="single" w:sz="4" w:space="0" w:color="A6A6A6"/>
              <w:left w:val="single" w:sz="4" w:space="0" w:color="A6A6A6"/>
              <w:bottom w:val="single" w:sz="4" w:space="0" w:color="A6A6A6"/>
              <w:right w:val="single" w:sz="4" w:space="0" w:color="A6A6A6"/>
            </w:tcBorders>
            <w:vAlign w:val="center"/>
            <w:hideMark/>
          </w:tcPr>
          <w:p w14:paraId="5448AB73" w14:textId="77777777" w:rsidR="00416D67" w:rsidRPr="00416D67" w:rsidRDefault="00416D67" w:rsidP="00416D67">
            <w:pPr>
              <w:rPr>
                <w:color w:val="000000"/>
                <w:sz w:val="14"/>
                <w:szCs w:val="14"/>
              </w:rPr>
            </w:pPr>
          </w:p>
        </w:tc>
        <w:tc>
          <w:tcPr>
            <w:tcW w:w="1698" w:type="dxa"/>
            <w:tcBorders>
              <w:top w:val="nil"/>
              <w:left w:val="nil"/>
              <w:bottom w:val="single" w:sz="4" w:space="0" w:color="A6A6A6"/>
              <w:right w:val="single" w:sz="4" w:space="0" w:color="A6A6A6"/>
            </w:tcBorders>
            <w:shd w:val="clear" w:color="000000" w:fill="F2F2F2"/>
            <w:noWrap/>
            <w:vAlign w:val="center"/>
            <w:hideMark/>
          </w:tcPr>
          <w:p w14:paraId="02E64E52" w14:textId="77777777" w:rsidR="00416D67" w:rsidRPr="00416D67" w:rsidRDefault="00416D67" w:rsidP="00416D67">
            <w:pPr>
              <w:jc w:val="center"/>
              <w:rPr>
                <w:i/>
                <w:iCs/>
                <w:color w:val="000000"/>
                <w:sz w:val="14"/>
                <w:szCs w:val="14"/>
              </w:rPr>
            </w:pPr>
            <w:r w:rsidRPr="00416D67">
              <w:rPr>
                <w:i/>
                <w:iCs/>
                <w:color w:val="000000"/>
                <w:sz w:val="14"/>
                <w:szCs w:val="14"/>
              </w:rPr>
              <w:t>1</w:t>
            </w:r>
          </w:p>
        </w:tc>
        <w:tc>
          <w:tcPr>
            <w:tcW w:w="1640" w:type="dxa"/>
            <w:tcBorders>
              <w:top w:val="nil"/>
              <w:left w:val="nil"/>
              <w:bottom w:val="single" w:sz="4" w:space="0" w:color="A6A6A6"/>
              <w:right w:val="single" w:sz="4" w:space="0" w:color="A6A6A6"/>
            </w:tcBorders>
            <w:shd w:val="clear" w:color="000000" w:fill="F2F2F2"/>
            <w:noWrap/>
            <w:vAlign w:val="center"/>
            <w:hideMark/>
          </w:tcPr>
          <w:p w14:paraId="585756B6" w14:textId="77777777" w:rsidR="00416D67" w:rsidRPr="00416D67" w:rsidRDefault="00416D67" w:rsidP="00416D67">
            <w:pPr>
              <w:jc w:val="center"/>
              <w:rPr>
                <w:i/>
                <w:iCs/>
                <w:color w:val="000000"/>
                <w:sz w:val="14"/>
                <w:szCs w:val="14"/>
              </w:rPr>
            </w:pPr>
            <w:r w:rsidRPr="00416D67">
              <w:rPr>
                <w:i/>
                <w:iCs/>
                <w:color w:val="000000"/>
                <w:sz w:val="14"/>
                <w:szCs w:val="14"/>
              </w:rPr>
              <w:t>2</w:t>
            </w:r>
          </w:p>
        </w:tc>
        <w:tc>
          <w:tcPr>
            <w:tcW w:w="1387" w:type="dxa"/>
            <w:tcBorders>
              <w:top w:val="nil"/>
              <w:left w:val="nil"/>
              <w:bottom w:val="single" w:sz="4" w:space="0" w:color="A6A6A6"/>
              <w:right w:val="single" w:sz="4" w:space="0" w:color="A6A6A6"/>
            </w:tcBorders>
            <w:shd w:val="clear" w:color="000000" w:fill="F2F2F2"/>
            <w:noWrap/>
            <w:vAlign w:val="center"/>
            <w:hideMark/>
          </w:tcPr>
          <w:p w14:paraId="29A6636E" w14:textId="77777777" w:rsidR="00416D67" w:rsidRPr="00416D67" w:rsidRDefault="00416D67" w:rsidP="00416D67">
            <w:pPr>
              <w:jc w:val="center"/>
              <w:rPr>
                <w:i/>
                <w:iCs/>
                <w:color w:val="000000"/>
                <w:sz w:val="14"/>
                <w:szCs w:val="14"/>
              </w:rPr>
            </w:pPr>
            <w:r w:rsidRPr="00416D67">
              <w:rPr>
                <w:i/>
                <w:iCs/>
                <w:color w:val="000000"/>
                <w:sz w:val="14"/>
                <w:szCs w:val="14"/>
              </w:rPr>
              <w:t>3</w:t>
            </w:r>
          </w:p>
        </w:tc>
        <w:tc>
          <w:tcPr>
            <w:tcW w:w="1465" w:type="dxa"/>
            <w:tcBorders>
              <w:top w:val="nil"/>
              <w:left w:val="nil"/>
              <w:bottom w:val="single" w:sz="4" w:space="0" w:color="A6A6A6"/>
              <w:right w:val="single" w:sz="4" w:space="0" w:color="A6A6A6"/>
            </w:tcBorders>
            <w:shd w:val="clear" w:color="000000" w:fill="F2F2F2"/>
            <w:noWrap/>
            <w:vAlign w:val="center"/>
            <w:hideMark/>
          </w:tcPr>
          <w:p w14:paraId="6F413F3C" w14:textId="77777777" w:rsidR="00416D67" w:rsidRPr="00416D67" w:rsidRDefault="00416D67" w:rsidP="00416D67">
            <w:pPr>
              <w:jc w:val="center"/>
              <w:rPr>
                <w:i/>
                <w:iCs/>
                <w:color w:val="000000"/>
                <w:sz w:val="14"/>
                <w:szCs w:val="14"/>
              </w:rPr>
            </w:pPr>
            <w:r w:rsidRPr="00416D67">
              <w:rPr>
                <w:i/>
                <w:iCs/>
                <w:color w:val="000000"/>
                <w:sz w:val="14"/>
                <w:szCs w:val="14"/>
              </w:rPr>
              <w:t>4</w:t>
            </w:r>
          </w:p>
        </w:tc>
        <w:tc>
          <w:tcPr>
            <w:tcW w:w="1205" w:type="dxa"/>
            <w:tcBorders>
              <w:top w:val="nil"/>
              <w:left w:val="nil"/>
              <w:bottom w:val="single" w:sz="4" w:space="0" w:color="A6A6A6"/>
              <w:right w:val="single" w:sz="4" w:space="0" w:color="A6A6A6"/>
            </w:tcBorders>
            <w:shd w:val="clear" w:color="000000" w:fill="F2F2F2"/>
            <w:noWrap/>
            <w:vAlign w:val="center"/>
            <w:hideMark/>
          </w:tcPr>
          <w:p w14:paraId="3523DD8E" w14:textId="77777777" w:rsidR="00416D67" w:rsidRPr="00416D67" w:rsidRDefault="00416D67" w:rsidP="00416D67">
            <w:pPr>
              <w:jc w:val="center"/>
              <w:rPr>
                <w:i/>
                <w:iCs/>
                <w:color w:val="000000"/>
                <w:sz w:val="14"/>
                <w:szCs w:val="14"/>
              </w:rPr>
            </w:pPr>
            <w:r w:rsidRPr="00416D67">
              <w:rPr>
                <w:i/>
                <w:iCs/>
                <w:color w:val="000000"/>
                <w:sz w:val="14"/>
                <w:szCs w:val="14"/>
              </w:rPr>
              <w:t>5</w:t>
            </w:r>
          </w:p>
        </w:tc>
        <w:tc>
          <w:tcPr>
            <w:tcW w:w="1053" w:type="dxa"/>
            <w:tcBorders>
              <w:top w:val="nil"/>
              <w:left w:val="nil"/>
              <w:bottom w:val="single" w:sz="4" w:space="0" w:color="A6A6A6"/>
              <w:right w:val="single" w:sz="4" w:space="0" w:color="A6A6A6"/>
            </w:tcBorders>
            <w:shd w:val="clear" w:color="000000" w:fill="F2F2F2"/>
            <w:noWrap/>
            <w:vAlign w:val="center"/>
            <w:hideMark/>
          </w:tcPr>
          <w:p w14:paraId="3BF754B2" w14:textId="77777777" w:rsidR="00416D67" w:rsidRPr="00416D67" w:rsidRDefault="00416D67" w:rsidP="00416D67">
            <w:pPr>
              <w:jc w:val="center"/>
              <w:rPr>
                <w:i/>
                <w:iCs/>
                <w:color w:val="000000"/>
                <w:sz w:val="14"/>
                <w:szCs w:val="14"/>
              </w:rPr>
            </w:pPr>
            <w:r w:rsidRPr="00416D67">
              <w:rPr>
                <w:i/>
                <w:iCs/>
                <w:color w:val="000000"/>
                <w:sz w:val="14"/>
                <w:szCs w:val="14"/>
              </w:rPr>
              <w:t>6</w:t>
            </w:r>
          </w:p>
        </w:tc>
      </w:tr>
      <w:tr w:rsidR="00416D67" w:rsidRPr="00416D67" w14:paraId="02B094C5" w14:textId="77777777" w:rsidTr="00BB1392">
        <w:trPr>
          <w:trHeight w:val="540"/>
        </w:trPr>
        <w:tc>
          <w:tcPr>
            <w:tcW w:w="1692" w:type="dxa"/>
            <w:gridSpan w:val="2"/>
            <w:tcBorders>
              <w:top w:val="single" w:sz="4" w:space="0" w:color="A6A6A6"/>
              <w:left w:val="single" w:sz="4" w:space="0" w:color="A6A6A6"/>
              <w:bottom w:val="single" w:sz="4" w:space="0" w:color="A6A6A6"/>
              <w:right w:val="single" w:sz="4" w:space="0" w:color="A6A6A6"/>
            </w:tcBorders>
            <w:shd w:val="clear" w:color="000000" w:fill="F2F2F2"/>
            <w:noWrap/>
            <w:vAlign w:val="center"/>
            <w:hideMark/>
          </w:tcPr>
          <w:p w14:paraId="3138A12A" w14:textId="77777777" w:rsidR="00416D67" w:rsidRPr="00416D67" w:rsidRDefault="00416D67" w:rsidP="00416D67">
            <w:pPr>
              <w:rPr>
                <w:b/>
                <w:bCs/>
                <w:color w:val="000000"/>
                <w:sz w:val="14"/>
                <w:szCs w:val="14"/>
              </w:rPr>
            </w:pPr>
            <w:r w:rsidRPr="00416D67">
              <w:rPr>
                <w:b/>
                <w:bCs/>
                <w:color w:val="000000"/>
                <w:sz w:val="14"/>
                <w:szCs w:val="14"/>
              </w:rPr>
              <w:t> </w:t>
            </w:r>
          </w:p>
        </w:tc>
        <w:tc>
          <w:tcPr>
            <w:tcW w:w="4280" w:type="dxa"/>
            <w:tcBorders>
              <w:top w:val="nil"/>
              <w:left w:val="nil"/>
              <w:bottom w:val="single" w:sz="4" w:space="0" w:color="A6A6A6"/>
              <w:right w:val="single" w:sz="4" w:space="0" w:color="A6A6A6"/>
            </w:tcBorders>
            <w:shd w:val="clear" w:color="000000" w:fill="F2F2F2"/>
            <w:noWrap/>
            <w:vAlign w:val="center"/>
            <w:hideMark/>
          </w:tcPr>
          <w:p w14:paraId="648B9CED" w14:textId="77777777" w:rsidR="00416D67" w:rsidRPr="00416D67" w:rsidRDefault="00416D67" w:rsidP="00416D67">
            <w:pPr>
              <w:rPr>
                <w:b/>
                <w:bCs/>
                <w:color w:val="000000"/>
                <w:sz w:val="14"/>
                <w:szCs w:val="14"/>
              </w:rPr>
            </w:pPr>
            <w:r w:rsidRPr="00416D67">
              <w:rPr>
                <w:b/>
                <w:bCs/>
                <w:color w:val="000000"/>
                <w:sz w:val="14"/>
                <w:szCs w:val="14"/>
              </w:rPr>
              <w:t>UKUPNO RASHODI I IZDATCI</w:t>
            </w:r>
          </w:p>
        </w:tc>
        <w:tc>
          <w:tcPr>
            <w:tcW w:w="1698" w:type="dxa"/>
            <w:tcBorders>
              <w:top w:val="nil"/>
              <w:left w:val="nil"/>
              <w:bottom w:val="single" w:sz="4" w:space="0" w:color="A6A6A6"/>
              <w:right w:val="single" w:sz="4" w:space="0" w:color="A6A6A6"/>
            </w:tcBorders>
            <w:shd w:val="clear" w:color="000000" w:fill="F2F2F2"/>
            <w:noWrap/>
            <w:vAlign w:val="center"/>
            <w:hideMark/>
          </w:tcPr>
          <w:p w14:paraId="5B1013AD" w14:textId="77777777" w:rsidR="00416D67" w:rsidRPr="00416D67" w:rsidRDefault="00416D67" w:rsidP="00416D67">
            <w:pPr>
              <w:jc w:val="right"/>
              <w:rPr>
                <w:b/>
                <w:bCs/>
                <w:color w:val="000000"/>
                <w:sz w:val="14"/>
                <w:szCs w:val="14"/>
              </w:rPr>
            </w:pPr>
            <w:r w:rsidRPr="00416D67">
              <w:rPr>
                <w:b/>
                <w:bCs/>
                <w:color w:val="000000"/>
                <w:sz w:val="14"/>
                <w:szCs w:val="14"/>
              </w:rPr>
              <w:t>5.321.693,86</w:t>
            </w:r>
          </w:p>
        </w:tc>
        <w:tc>
          <w:tcPr>
            <w:tcW w:w="1640" w:type="dxa"/>
            <w:tcBorders>
              <w:top w:val="nil"/>
              <w:left w:val="nil"/>
              <w:bottom w:val="single" w:sz="4" w:space="0" w:color="A6A6A6"/>
              <w:right w:val="single" w:sz="4" w:space="0" w:color="A6A6A6"/>
            </w:tcBorders>
            <w:shd w:val="clear" w:color="000000" w:fill="F2F2F2"/>
            <w:noWrap/>
            <w:vAlign w:val="center"/>
            <w:hideMark/>
          </w:tcPr>
          <w:p w14:paraId="12CFBD0D" w14:textId="77777777" w:rsidR="00416D67" w:rsidRPr="00416D67" w:rsidRDefault="00416D67" w:rsidP="00416D67">
            <w:pPr>
              <w:jc w:val="right"/>
              <w:rPr>
                <w:b/>
                <w:bCs/>
                <w:color w:val="000000"/>
                <w:sz w:val="14"/>
                <w:szCs w:val="14"/>
              </w:rPr>
            </w:pPr>
            <w:r w:rsidRPr="00416D67">
              <w:rPr>
                <w:b/>
                <w:bCs/>
                <w:color w:val="000000"/>
                <w:sz w:val="14"/>
                <w:szCs w:val="14"/>
              </w:rPr>
              <w:t>9.163.800,00</w:t>
            </w:r>
          </w:p>
        </w:tc>
        <w:tc>
          <w:tcPr>
            <w:tcW w:w="1387" w:type="dxa"/>
            <w:tcBorders>
              <w:top w:val="nil"/>
              <w:left w:val="nil"/>
              <w:bottom w:val="single" w:sz="4" w:space="0" w:color="A6A6A6"/>
              <w:right w:val="single" w:sz="4" w:space="0" w:color="A6A6A6"/>
            </w:tcBorders>
            <w:shd w:val="clear" w:color="000000" w:fill="F2F2F2"/>
            <w:noWrap/>
            <w:vAlign w:val="center"/>
            <w:hideMark/>
          </w:tcPr>
          <w:p w14:paraId="46945019" w14:textId="77777777" w:rsidR="00416D67" w:rsidRPr="00416D67" w:rsidRDefault="00416D67" w:rsidP="00416D67">
            <w:pPr>
              <w:jc w:val="right"/>
              <w:rPr>
                <w:b/>
                <w:bCs/>
                <w:color w:val="000000"/>
                <w:sz w:val="14"/>
                <w:szCs w:val="14"/>
              </w:rPr>
            </w:pPr>
            <w:r w:rsidRPr="00416D67">
              <w:rPr>
                <w:b/>
                <w:bCs/>
                <w:color w:val="000000"/>
                <w:sz w:val="14"/>
                <w:szCs w:val="14"/>
              </w:rPr>
              <w:t>9.163.800,00</w:t>
            </w:r>
          </w:p>
        </w:tc>
        <w:tc>
          <w:tcPr>
            <w:tcW w:w="1465" w:type="dxa"/>
            <w:tcBorders>
              <w:top w:val="nil"/>
              <w:left w:val="nil"/>
              <w:bottom w:val="single" w:sz="4" w:space="0" w:color="A6A6A6"/>
              <w:right w:val="single" w:sz="4" w:space="0" w:color="A6A6A6"/>
            </w:tcBorders>
            <w:shd w:val="clear" w:color="000000" w:fill="F2F2F2"/>
            <w:noWrap/>
            <w:vAlign w:val="center"/>
            <w:hideMark/>
          </w:tcPr>
          <w:p w14:paraId="42D1A7A6" w14:textId="77777777" w:rsidR="00416D67" w:rsidRPr="00416D67" w:rsidRDefault="00416D67" w:rsidP="00416D67">
            <w:pPr>
              <w:jc w:val="right"/>
              <w:rPr>
                <w:b/>
                <w:bCs/>
                <w:color w:val="000000"/>
                <w:sz w:val="14"/>
                <w:szCs w:val="14"/>
              </w:rPr>
            </w:pPr>
            <w:r w:rsidRPr="00416D67">
              <w:rPr>
                <w:b/>
                <w:bCs/>
                <w:color w:val="000000"/>
                <w:sz w:val="14"/>
                <w:szCs w:val="14"/>
              </w:rPr>
              <w:t>6.587.292,79</w:t>
            </w:r>
          </w:p>
        </w:tc>
        <w:tc>
          <w:tcPr>
            <w:tcW w:w="1205" w:type="dxa"/>
            <w:tcBorders>
              <w:top w:val="nil"/>
              <w:left w:val="nil"/>
              <w:bottom w:val="single" w:sz="4" w:space="0" w:color="A6A6A6"/>
              <w:right w:val="single" w:sz="4" w:space="0" w:color="A6A6A6"/>
            </w:tcBorders>
            <w:shd w:val="clear" w:color="000000" w:fill="F2F2F2"/>
            <w:noWrap/>
            <w:vAlign w:val="center"/>
            <w:hideMark/>
          </w:tcPr>
          <w:p w14:paraId="0019599C" w14:textId="77777777" w:rsidR="00416D67" w:rsidRPr="00416D67" w:rsidRDefault="00416D67" w:rsidP="00416D67">
            <w:pPr>
              <w:jc w:val="right"/>
              <w:rPr>
                <w:b/>
                <w:bCs/>
                <w:color w:val="000000"/>
                <w:sz w:val="14"/>
                <w:szCs w:val="14"/>
              </w:rPr>
            </w:pPr>
            <w:r w:rsidRPr="00416D67">
              <w:rPr>
                <w:b/>
                <w:bCs/>
                <w:color w:val="000000"/>
                <w:sz w:val="14"/>
                <w:szCs w:val="14"/>
              </w:rPr>
              <w:t>123,78%</w:t>
            </w:r>
          </w:p>
        </w:tc>
        <w:tc>
          <w:tcPr>
            <w:tcW w:w="1053" w:type="dxa"/>
            <w:tcBorders>
              <w:top w:val="nil"/>
              <w:left w:val="nil"/>
              <w:bottom w:val="single" w:sz="4" w:space="0" w:color="A6A6A6"/>
              <w:right w:val="single" w:sz="4" w:space="0" w:color="A6A6A6"/>
            </w:tcBorders>
            <w:shd w:val="clear" w:color="000000" w:fill="F2F2F2"/>
            <w:noWrap/>
            <w:vAlign w:val="center"/>
            <w:hideMark/>
          </w:tcPr>
          <w:p w14:paraId="678F6207" w14:textId="77777777" w:rsidR="00416D67" w:rsidRPr="00416D67" w:rsidRDefault="00416D67" w:rsidP="00416D67">
            <w:pPr>
              <w:jc w:val="right"/>
              <w:rPr>
                <w:b/>
                <w:bCs/>
                <w:color w:val="000000"/>
                <w:sz w:val="14"/>
                <w:szCs w:val="14"/>
              </w:rPr>
            </w:pPr>
            <w:r w:rsidRPr="00416D67">
              <w:rPr>
                <w:b/>
                <w:bCs/>
                <w:color w:val="000000"/>
                <w:sz w:val="14"/>
                <w:szCs w:val="14"/>
              </w:rPr>
              <w:t>144,22%</w:t>
            </w:r>
          </w:p>
        </w:tc>
      </w:tr>
      <w:tr w:rsidR="00416D67" w:rsidRPr="00416D67" w14:paraId="784BE906" w14:textId="77777777" w:rsidTr="00BB1392">
        <w:trPr>
          <w:trHeight w:val="540"/>
        </w:trPr>
        <w:tc>
          <w:tcPr>
            <w:tcW w:w="866" w:type="dxa"/>
            <w:tcBorders>
              <w:top w:val="nil"/>
              <w:left w:val="single" w:sz="4" w:space="0" w:color="A6A6A6"/>
              <w:bottom w:val="single" w:sz="4" w:space="0" w:color="A6A6A6"/>
              <w:right w:val="single" w:sz="4" w:space="0" w:color="A6A6A6"/>
            </w:tcBorders>
            <w:shd w:val="clear" w:color="000000" w:fill="BFBFBF"/>
            <w:noWrap/>
            <w:vAlign w:val="center"/>
            <w:hideMark/>
          </w:tcPr>
          <w:p w14:paraId="4B47EBBC" w14:textId="77777777" w:rsidR="00416D67" w:rsidRPr="00416D67" w:rsidRDefault="00416D67" w:rsidP="00416D67">
            <w:pPr>
              <w:rPr>
                <w:b/>
                <w:bCs/>
                <w:color w:val="000000"/>
                <w:sz w:val="14"/>
                <w:szCs w:val="14"/>
              </w:rPr>
            </w:pPr>
            <w:r w:rsidRPr="00416D67">
              <w:rPr>
                <w:b/>
                <w:bCs/>
                <w:color w:val="000000"/>
                <w:sz w:val="14"/>
                <w:szCs w:val="14"/>
              </w:rPr>
              <w:t>Razdjel</w:t>
            </w:r>
          </w:p>
        </w:tc>
        <w:tc>
          <w:tcPr>
            <w:tcW w:w="826" w:type="dxa"/>
            <w:tcBorders>
              <w:top w:val="nil"/>
              <w:left w:val="nil"/>
              <w:bottom w:val="single" w:sz="4" w:space="0" w:color="A6A6A6"/>
              <w:right w:val="single" w:sz="4" w:space="0" w:color="A6A6A6"/>
            </w:tcBorders>
            <w:shd w:val="clear" w:color="000000" w:fill="BFBFBF"/>
            <w:noWrap/>
            <w:vAlign w:val="center"/>
            <w:hideMark/>
          </w:tcPr>
          <w:p w14:paraId="212B5E8C" w14:textId="77777777" w:rsidR="00416D67" w:rsidRPr="00416D67" w:rsidRDefault="00416D67" w:rsidP="00416D67">
            <w:pPr>
              <w:rPr>
                <w:b/>
                <w:bCs/>
                <w:color w:val="000000"/>
                <w:sz w:val="14"/>
                <w:szCs w:val="14"/>
              </w:rPr>
            </w:pPr>
            <w:r w:rsidRPr="00416D67">
              <w:rPr>
                <w:b/>
                <w:bCs/>
                <w:color w:val="000000"/>
                <w:sz w:val="14"/>
                <w:szCs w:val="14"/>
              </w:rPr>
              <w:t>001</w:t>
            </w:r>
          </w:p>
        </w:tc>
        <w:tc>
          <w:tcPr>
            <w:tcW w:w="4280" w:type="dxa"/>
            <w:tcBorders>
              <w:top w:val="nil"/>
              <w:left w:val="nil"/>
              <w:bottom w:val="single" w:sz="4" w:space="0" w:color="A6A6A6"/>
              <w:right w:val="single" w:sz="4" w:space="0" w:color="A6A6A6"/>
            </w:tcBorders>
            <w:shd w:val="clear" w:color="000000" w:fill="BFBFBF"/>
            <w:vAlign w:val="center"/>
            <w:hideMark/>
          </w:tcPr>
          <w:p w14:paraId="17D6E3C6" w14:textId="77777777" w:rsidR="00416D67" w:rsidRPr="00416D67" w:rsidRDefault="00416D67" w:rsidP="00416D67">
            <w:pPr>
              <w:rPr>
                <w:b/>
                <w:bCs/>
                <w:color w:val="000000"/>
                <w:sz w:val="14"/>
                <w:szCs w:val="14"/>
              </w:rPr>
            </w:pPr>
            <w:r w:rsidRPr="00416D67">
              <w:rPr>
                <w:b/>
                <w:bCs/>
                <w:color w:val="000000"/>
                <w:sz w:val="14"/>
                <w:szCs w:val="14"/>
              </w:rPr>
              <w:t>PREDSTAVNIČKO TIJELO, IZVRŠNO TIJELO I MJESNA SAMOUPRAVA</w:t>
            </w:r>
          </w:p>
        </w:tc>
        <w:tc>
          <w:tcPr>
            <w:tcW w:w="1698" w:type="dxa"/>
            <w:tcBorders>
              <w:top w:val="nil"/>
              <w:left w:val="nil"/>
              <w:bottom w:val="single" w:sz="4" w:space="0" w:color="A6A6A6"/>
              <w:right w:val="single" w:sz="4" w:space="0" w:color="A6A6A6"/>
            </w:tcBorders>
            <w:shd w:val="clear" w:color="000000" w:fill="BFBFBF"/>
            <w:noWrap/>
            <w:vAlign w:val="center"/>
            <w:hideMark/>
          </w:tcPr>
          <w:p w14:paraId="29ECDE46" w14:textId="77777777" w:rsidR="00416D67" w:rsidRPr="00416D67" w:rsidRDefault="00416D67" w:rsidP="00416D67">
            <w:pPr>
              <w:jc w:val="right"/>
              <w:rPr>
                <w:b/>
                <w:bCs/>
                <w:color w:val="000000"/>
                <w:sz w:val="14"/>
                <w:szCs w:val="14"/>
              </w:rPr>
            </w:pPr>
            <w:r w:rsidRPr="00416D67">
              <w:rPr>
                <w:b/>
                <w:bCs/>
                <w:color w:val="000000"/>
                <w:sz w:val="14"/>
                <w:szCs w:val="14"/>
              </w:rPr>
              <w:t>104.058,33</w:t>
            </w:r>
          </w:p>
        </w:tc>
        <w:tc>
          <w:tcPr>
            <w:tcW w:w="1640" w:type="dxa"/>
            <w:tcBorders>
              <w:top w:val="nil"/>
              <w:left w:val="nil"/>
              <w:bottom w:val="single" w:sz="4" w:space="0" w:color="A6A6A6"/>
              <w:right w:val="single" w:sz="4" w:space="0" w:color="A6A6A6"/>
            </w:tcBorders>
            <w:shd w:val="clear" w:color="000000" w:fill="BFBFBF"/>
            <w:noWrap/>
            <w:vAlign w:val="center"/>
            <w:hideMark/>
          </w:tcPr>
          <w:p w14:paraId="7F17F7DF" w14:textId="77777777" w:rsidR="00416D67" w:rsidRPr="00416D67" w:rsidRDefault="00416D67" w:rsidP="00416D67">
            <w:pPr>
              <w:jc w:val="right"/>
              <w:rPr>
                <w:b/>
                <w:bCs/>
                <w:color w:val="000000"/>
                <w:sz w:val="14"/>
                <w:szCs w:val="14"/>
              </w:rPr>
            </w:pPr>
            <w:r w:rsidRPr="00416D67">
              <w:rPr>
                <w:b/>
                <w:bCs/>
                <w:color w:val="000000"/>
                <w:sz w:val="14"/>
                <w:szCs w:val="14"/>
              </w:rPr>
              <w:t>186.336,40</w:t>
            </w:r>
          </w:p>
        </w:tc>
        <w:tc>
          <w:tcPr>
            <w:tcW w:w="1387" w:type="dxa"/>
            <w:tcBorders>
              <w:top w:val="nil"/>
              <w:left w:val="nil"/>
              <w:bottom w:val="single" w:sz="4" w:space="0" w:color="A6A6A6"/>
              <w:right w:val="single" w:sz="4" w:space="0" w:color="A6A6A6"/>
            </w:tcBorders>
            <w:shd w:val="clear" w:color="000000" w:fill="BFBFBF"/>
            <w:noWrap/>
            <w:vAlign w:val="center"/>
            <w:hideMark/>
          </w:tcPr>
          <w:p w14:paraId="558D1B0C" w14:textId="77777777" w:rsidR="00416D67" w:rsidRPr="00416D67" w:rsidRDefault="00416D67" w:rsidP="00416D67">
            <w:pPr>
              <w:jc w:val="right"/>
              <w:rPr>
                <w:b/>
                <w:bCs/>
                <w:color w:val="000000"/>
                <w:sz w:val="14"/>
                <w:szCs w:val="14"/>
              </w:rPr>
            </w:pPr>
            <w:r w:rsidRPr="00416D67">
              <w:rPr>
                <w:b/>
                <w:bCs/>
                <w:color w:val="000000"/>
                <w:sz w:val="14"/>
                <w:szCs w:val="14"/>
              </w:rPr>
              <w:t>186.336,40</w:t>
            </w:r>
          </w:p>
        </w:tc>
        <w:tc>
          <w:tcPr>
            <w:tcW w:w="1465" w:type="dxa"/>
            <w:tcBorders>
              <w:top w:val="nil"/>
              <w:left w:val="nil"/>
              <w:bottom w:val="single" w:sz="4" w:space="0" w:color="A6A6A6"/>
              <w:right w:val="single" w:sz="4" w:space="0" w:color="A6A6A6"/>
            </w:tcBorders>
            <w:shd w:val="clear" w:color="000000" w:fill="BFBFBF"/>
            <w:noWrap/>
            <w:vAlign w:val="center"/>
            <w:hideMark/>
          </w:tcPr>
          <w:p w14:paraId="21539113" w14:textId="77777777" w:rsidR="00416D67" w:rsidRPr="00416D67" w:rsidRDefault="00416D67" w:rsidP="00416D67">
            <w:pPr>
              <w:jc w:val="right"/>
              <w:rPr>
                <w:b/>
                <w:bCs/>
                <w:color w:val="000000"/>
                <w:sz w:val="14"/>
                <w:szCs w:val="14"/>
              </w:rPr>
            </w:pPr>
            <w:r w:rsidRPr="00416D67">
              <w:rPr>
                <w:b/>
                <w:bCs/>
                <w:color w:val="000000"/>
                <w:sz w:val="14"/>
                <w:szCs w:val="14"/>
              </w:rPr>
              <w:t>168.457,28</w:t>
            </w:r>
          </w:p>
        </w:tc>
        <w:tc>
          <w:tcPr>
            <w:tcW w:w="1205" w:type="dxa"/>
            <w:tcBorders>
              <w:top w:val="nil"/>
              <w:left w:val="nil"/>
              <w:bottom w:val="single" w:sz="4" w:space="0" w:color="A6A6A6"/>
              <w:right w:val="single" w:sz="4" w:space="0" w:color="A6A6A6"/>
            </w:tcBorders>
            <w:shd w:val="clear" w:color="000000" w:fill="BFBFBF"/>
            <w:noWrap/>
            <w:vAlign w:val="center"/>
            <w:hideMark/>
          </w:tcPr>
          <w:p w14:paraId="1DF14718" w14:textId="77777777" w:rsidR="00416D67" w:rsidRPr="00416D67" w:rsidRDefault="00416D67" w:rsidP="00416D67">
            <w:pPr>
              <w:jc w:val="right"/>
              <w:rPr>
                <w:b/>
                <w:bCs/>
                <w:color w:val="000000"/>
                <w:sz w:val="14"/>
                <w:szCs w:val="14"/>
              </w:rPr>
            </w:pPr>
            <w:r w:rsidRPr="00416D67">
              <w:rPr>
                <w:b/>
                <w:bCs/>
                <w:color w:val="000000"/>
                <w:sz w:val="14"/>
                <w:szCs w:val="14"/>
              </w:rPr>
              <w:t>161,89%</w:t>
            </w:r>
          </w:p>
        </w:tc>
        <w:tc>
          <w:tcPr>
            <w:tcW w:w="1053" w:type="dxa"/>
            <w:tcBorders>
              <w:top w:val="nil"/>
              <w:left w:val="nil"/>
              <w:bottom w:val="single" w:sz="4" w:space="0" w:color="A6A6A6"/>
              <w:right w:val="single" w:sz="4" w:space="0" w:color="A6A6A6"/>
            </w:tcBorders>
            <w:shd w:val="clear" w:color="000000" w:fill="BFBFBF"/>
            <w:noWrap/>
            <w:vAlign w:val="center"/>
            <w:hideMark/>
          </w:tcPr>
          <w:p w14:paraId="4C41183E" w14:textId="77777777" w:rsidR="00416D67" w:rsidRPr="00416D67" w:rsidRDefault="00416D67" w:rsidP="00416D67">
            <w:pPr>
              <w:jc w:val="right"/>
              <w:rPr>
                <w:b/>
                <w:bCs/>
                <w:color w:val="000000"/>
                <w:sz w:val="14"/>
                <w:szCs w:val="14"/>
              </w:rPr>
            </w:pPr>
            <w:r w:rsidRPr="00416D67">
              <w:rPr>
                <w:b/>
                <w:bCs/>
                <w:color w:val="000000"/>
                <w:sz w:val="14"/>
                <w:szCs w:val="14"/>
              </w:rPr>
              <w:t>94,14%</w:t>
            </w:r>
          </w:p>
        </w:tc>
      </w:tr>
      <w:tr w:rsidR="00416D67" w:rsidRPr="00416D67" w14:paraId="5DF46F99" w14:textId="77777777" w:rsidTr="00BB1392">
        <w:trPr>
          <w:trHeight w:val="540"/>
        </w:trPr>
        <w:tc>
          <w:tcPr>
            <w:tcW w:w="866" w:type="dxa"/>
            <w:tcBorders>
              <w:top w:val="nil"/>
              <w:left w:val="single" w:sz="4" w:space="0" w:color="A6A6A6"/>
              <w:bottom w:val="single" w:sz="4" w:space="0" w:color="A6A6A6"/>
              <w:right w:val="single" w:sz="4" w:space="0" w:color="A6A6A6"/>
            </w:tcBorders>
            <w:noWrap/>
            <w:vAlign w:val="center"/>
            <w:hideMark/>
          </w:tcPr>
          <w:p w14:paraId="1337779B" w14:textId="77777777" w:rsidR="00416D67" w:rsidRPr="00416D67" w:rsidRDefault="00416D67" w:rsidP="00416D67">
            <w:pPr>
              <w:rPr>
                <w:color w:val="000000"/>
                <w:sz w:val="14"/>
                <w:szCs w:val="14"/>
              </w:rPr>
            </w:pPr>
            <w:r w:rsidRPr="00416D67">
              <w:rPr>
                <w:color w:val="000000"/>
                <w:sz w:val="14"/>
                <w:szCs w:val="14"/>
              </w:rPr>
              <w:t>Glava</w:t>
            </w:r>
          </w:p>
        </w:tc>
        <w:tc>
          <w:tcPr>
            <w:tcW w:w="826" w:type="dxa"/>
            <w:tcBorders>
              <w:top w:val="nil"/>
              <w:left w:val="nil"/>
              <w:bottom w:val="single" w:sz="4" w:space="0" w:color="A6A6A6"/>
              <w:right w:val="single" w:sz="4" w:space="0" w:color="A6A6A6"/>
            </w:tcBorders>
            <w:noWrap/>
            <w:vAlign w:val="center"/>
            <w:hideMark/>
          </w:tcPr>
          <w:p w14:paraId="51F4227D" w14:textId="77777777" w:rsidR="00416D67" w:rsidRPr="00416D67" w:rsidRDefault="00416D67" w:rsidP="00416D67">
            <w:pPr>
              <w:rPr>
                <w:color w:val="000000"/>
                <w:sz w:val="14"/>
                <w:szCs w:val="14"/>
              </w:rPr>
            </w:pPr>
            <w:r w:rsidRPr="00416D67">
              <w:rPr>
                <w:color w:val="000000"/>
                <w:sz w:val="14"/>
                <w:szCs w:val="14"/>
              </w:rPr>
              <w:t>01 101</w:t>
            </w:r>
          </w:p>
        </w:tc>
        <w:tc>
          <w:tcPr>
            <w:tcW w:w="4280" w:type="dxa"/>
            <w:tcBorders>
              <w:top w:val="nil"/>
              <w:left w:val="nil"/>
              <w:bottom w:val="single" w:sz="4" w:space="0" w:color="A6A6A6"/>
              <w:right w:val="single" w:sz="4" w:space="0" w:color="A6A6A6"/>
            </w:tcBorders>
            <w:noWrap/>
            <w:vAlign w:val="center"/>
            <w:hideMark/>
          </w:tcPr>
          <w:p w14:paraId="1DDC038F" w14:textId="77777777" w:rsidR="00416D67" w:rsidRPr="00416D67" w:rsidRDefault="00416D67" w:rsidP="00416D67">
            <w:pPr>
              <w:rPr>
                <w:color w:val="000000"/>
                <w:sz w:val="14"/>
                <w:szCs w:val="14"/>
              </w:rPr>
            </w:pPr>
            <w:r w:rsidRPr="00416D67">
              <w:rPr>
                <w:color w:val="000000"/>
                <w:sz w:val="14"/>
                <w:szCs w:val="14"/>
              </w:rPr>
              <w:t>OPĆINSKO VIJEĆE I MJESNA SAMOUPRAVA</w:t>
            </w:r>
          </w:p>
        </w:tc>
        <w:tc>
          <w:tcPr>
            <w:tcW w:w="1698" w:type="dxa"/>
            <w:tcBorders>
              <w:top w:val="nil"/>
              <w:left w:val="nil"/>
              <w:bottom w:val="single" w:sz="4" w:space="0" w:color="A6A6A6"/>
              <w:right w:val="single" w:sz="4" w:space="0" w:color="A6A6A6"/>
            </w:tcBorders>
            <w:noWrap/>
            <w:vAlign w:val="center"/>
            <w:hideMark/>
          </w:tcPr>
          <w:p w14:paraId="1C8138E1" w14:textId="77777777" w:rsidR="00416D67" w:rsidRPr="00416D67" w:rsidRDefault="00416D67" w:rsidP="00416D67">
            <w:pPr>
              <w:jc w:val="right"/>
              <w:rPr>
                <w:color w:val="000000"/>
                <w:sz w:val="14"/>
                <w:szCs w:val="14"/>
              </w:rPr>
            </w:pPr>
            <w:r w:rsidRPr="00416D67">
              <w:rPr>
                <w:color w:val="000000"/>
                <w:sz w:val="14"/>
                <w:szCs w:val="14"/>
              </w:rPr>
              <w:t>41.742,39</w:t>
            </w:r>
          </w:p>
        </w:tc>
        <w:tc>
          <w:tcPr>
            <w:tcW w:w="1640" w:type="dxa"/>
            <w:tcBorders>
              <w:top w:val="nil"/>
              <w:left w:val="nil"/>
              <w:bottom w:val="single" w:sz="4" w:space="0" w:color="A6A6A6"/>
              <w:right w:val="single" w:sz="4" w:space="0" w:color="A6A6A6"/>
            </w:tcBorders>
            <w:noWrap/>
            <w:vAlign w:val="center"/>
            <w:hideMark/>
          </w:tcPr>
          <w:p w14:paraId="246FBE7F" w14:textId="77777777" w:rsidR="00416D67" w:rsidRPr="00416D67" w:rsidRDefault="00416D67" w:rsidP="00416D67">
            <w:pPr>
              <w:jc w:val="right"/>
              <w:rPr>
                <w:color w:val="000000"/>
                <w:sz w:val="14"/>
                <w:szCs w:val="14"/>
              </w:rPr>
            </w:pPr>
            <w:r w:rsidRPr="00416D67">
              <w:rPr>
                <w:color w:val="000000"/>
                <w:sz w:val="14"/>
                <w:szCs w:val="14"/>
              </w:rPr>
              <w:t>102.460,00</w:t>
            </w:r>
          </w:p>
        </w:tc>
        <w:tc>
          <w:tcPr>
            <w:tcW w:w="1387" w:type="dxa"/>
            <w:tcBorders>
              <w:top w:val="nil"/>
              <w:left w:val="nil"/>
              <w:bottom w:val="single" w:sz="4" w:space="0" w:color="A6A6A6"/>
              <w:right w:val="single" w:sz="4" w:space="0" w:color="A6A6A6"/>
            </w:tcBorders>
            <w:noWrap/>
            <w:vAlign w:val="center"/>
            <w:hideMark/>
          </w:tcPr>
          <w:p w14:paraId="6DEBCECC" w14:textId="77777777" w:rsidR="00416D67" w:rsidRPr="00416D67" w:rsidRDefault="00416D67" w:rsidP="00416D67">
            <w:pPr>
              <w:jc w:val="right"/>
              <w:rPr>
                <w:color w:val="000000"/>
                <w:sz w:val="14"/>
                <w:szCs w:val="14"/>
              </w:rPr>
            </w:pPr>
            <w:r w:rsidRPr="00416D67">
              <w:rPr>
                <w:color w:val="000000"/>
                <w:sz w:val="14"/>
                <w:szCs w:val="14"/>
              </w:rPr>
              <w:t>102.460,00</w:t>
            </w:r>
          </w:p>
        </w:tc>
        <w:tc>
          <w:tcPr>
            <w:tcW w:w="1465" w:type="dxa"/>
            <w:tcBorders>
              <w:top w:val="nil"/>
              <w:left w:val="nil"/>
              <w:bottom w:val="single" w:sz="4" w:space="0" w:color="A6A6A6"/>
              <w:right w:val="single" w:sz="4" w:space="0" w:color="A6A6A6"/>
            </w:tcBorders>
            <w:noWrap/>
            <w:vAlign w:val="center"/>
            <w:hideMark/>
          </w:tcPr>
          <w:p w14:paraId="0A695EF3" w14:textId="77777777" w:rsidR="00416D67" w:rsidRPr="00416D67" w:rsidRDefault="00416D67" w:rsidP="00416D67">
            <w:pPr>
              <w:jc w:val="right"/>
              <w:rPr>
                <w:color w:val="000000"/>
                <w:sz w:val="14"/>
                <w:szCs w:val="14"/>
              </w:rPr>
            </w:pPr>
            <w:r w:rsidRPr="00416D67">
              <w:rPr>
                <w:color w:val="000000"/>
                <w:sz w:val="14"/>
                <w:szCs w:val="14"/>
              </w:rPr>
              <w:t>88.295,54</w:t>
            </w:r>
          </w:p>
        </w:tc>
        <w:tc>
          <w:tcPr>
            <w:tcW w:w="1205" w:type="dxa"/>
            <w:tcBorders>
              <w:top w:val="nil"/>
              <w:left w:val="nil"/>
              <w:bottom w:val="single" w:sz="4" w:space="0" w:color="A6A6A6"/>
              <w:right w:val="single" w:sz="4" w:space="0" w:color="A6A6A6"/>
            </w:tcBorders>
            <w:noWrap/>
            <w:vAlign w:val="center"/>
            <w:hideMark/>
          </w:tcPr>
          <w:p w14:paraId="076C470E" w14:textId="77777777" w:rsidR="00416D67" w:rsidRPr="00416D67" w:rsidRDefault="00416D67" w:rsidP="00416D67">
            <w:pPr>
              <w:jc w:val="right"/>
              <w:rPr>
                <w:color w:val="000000"/>
                <w:sz w:val="14"/>
                <w:szCs w:val="14"/>
              </w:rPr>
            </w:pPr>
            <w:r w:rsidRPr="00416D67">
              <w:rPr>
                <w:color w:val="000000"/>
                <w:sz w:val="14"/>
                <w:szCs w:val="14"/>
              </w:rPr>
              <w:t>211,52%</w:t>
            </w:r>
          </w:p>
        </w:tc>
        <w:tc>
          <w:tcPr>
            <w:tcW w:w="1053" w:type="dxa"/>
            <w:tcBorders>
              <w:top w:val="nil"/>
              <w:left w:val="nil"/>
              <w:bottom w:val="single" w:sz="4" w:space="0" w:color="A6A6A6"/>
              <w:right w:val="single" w:sz="4" w:space="0" w:color="A6A6A6"/>
            </w:tcBorders>
            <w:noWrap/>
            <w:vAlign w:val="center"/>
            <w:hideMark/>
          </w:tcPr>
          <w:p w14:paraId="5FEE8F18" w14:textId="77777777" w:rsidR="00416D67" w:rsidRPr="00416D67" w:rsidRDefault="00416D67" w:rsidP="00416D67">
            <w:pPr>
              <w:jc w:val="right"/>
              <w:rPr>
                <w:color w:val="000000"/>
                <w:sz w:val="14"/>
                <w:szCs w:val="14"/>
              </w:rPr>
            </w:pPr>
            <w:r w:rsidRPr="00416D67">
              <w:rPr>
                <w:color w:val="000000"/>
                <w:sz w:val="14"/>
                <w:szCs w:val="14"/>
              </w:rPr>
              <w:t>91,11%</w:t>
            </w:r>
          </w:p>
        </w:tc>
      </w:tr>
      <w:tr w:rsidR="00416D67" w:rsidRPr="00416D67" w14:paraId="6194748F" w14:textId="77777777" w:rsidTr="00BB1392">
        <w:trPr>
          <w:trHeight w:val="540"/>
        </w:trPr>
        <w:tc>
          <w:tcPr>
            <w:tcW w:w="866" w:type="dxa"/>
            <w:tcBorders>
              <w:top w:val="nil"/>
              <w:left w:val="single" w:sz="4" w:space="0" w:color="A6A6A6"/>
              <w:bottom w:val="single" w:sz="4" w:space="0" w:color="A6A6A6"/>
              <w:right w:val="single" w:sz="4" w:space="0" w:color="A6A6A6"/>
            </w:tcBorders>
            <w:noWrap/>
            <w:vAlign w:val="center"/>
            <w:hideMark/>
          </w:tcPr>
          <w:p w14:paraId="056A1F4C" w14:textId="77777777" w:rsidR="00416D67" w:rsidRPr="00416D67" w:rsidRDefault="00416D67" w:rsidP="00416D67">
            <w:pPr>
              <w:rPr>
                <w:color w:val="000000"/>
                <w:sz w:val="14"/>
                <w:szCs w:val="14"/>
              </w:rPr>
            </w:pPr>
            <w:r w:rsidRPr="00416D67">
              <w:rPr>
                <w:color w:val="000000"/>
                <w:sz w:val="14"/>
                <w:szCs w:val="14"/>
              </w:rPr>
              <w:t>Glava</w:t>
            </w:r>
          </w:p>
        </w:tc>
        <w:tc>
          <w:tcPr>
            <w:tcW w:w="826" w:type="dxa"/>
            <w:tcBorders>
              <w:top w:val="nil"/>
              <w:left w:val="nil"/>
              <w:bottom w:val="single" w:sz="4" w:space="0" w:color="A6A6A6"/>
              <w:right w:val="single" w:sz="4" w:space="0" w:color="A6A6A6"/>
            </w:tcBorders>
            <w:noWrap/>
            <w:vAlign w:val="center"/>
            <w:hideMark/>
          </w:tcPr>
          <w:p w14:paraId="533F4A80" w14:textId="77777777" w:rsidR="00416D67" w:rsidRPr="00416D67" w:rsidRDefault="00416D67" w:rsidP="00416D67">
            <w:pPr>
              <w:rPr>
                <w:color w:val="000000"/>
                <w:sz w:val="14"/>
                <w:szCs w:val="14"/>
              </w:rPr>
            </w:pPr>
            <w:r w:rsidRPr="00416D67">
              <w:rPr>
                <w:color w:val="000000"/>
                <w:sz w:val="14"/>
                <w:szCs w:val="14"/>
              </w:rPr>
              <w:t>01 102</w:t>
            </w:r>
          </w:p>
        </w:tc>
        <w:tc>
          <w:tcPr>
            <w:tcW w:w="4280" w:type="dxa"/>
            <w:tcBorders>
              <w:top w:val="nil"/>
              <w:left w:val="nil"/>
              <w:bottom w:val="single" w:sz="4" w:space="0" w:color="A6A6A6"/>
              <w:right w:val="single" w:sz="4" w:space="0" w:color="A6A6A6"/>
            </w:tcBorders>
            <w:noWrap/>
            <w:vAlign w:val="center"/>
            <w:hideMark/>
          </w:tcPr>
          <w:p w14:paraId="3E19EA90" w14:textId="77777777" w:rsidR="00416D67" w:rsidRPr="00416D67" w:rsidRDefault="00416D67" w:rsidP="00416D67">
            <w:pPr>
              <w:rPr>
                <w:color w:val="000000"/>
                <w:sz w:val="14"/>
                <w:szCs w:val="14"/>
              </w:rPr>
            </w:pPr>
            <w:r w:rsidRPr="00416D67">
              <w:rPr>
                <w:color w:val="000000"/>
                <w:sz w:val="14"/>
                <w:szCs w:val="14"/>
              </w:rPr>
              <w:t>OPĆINSKI NAČELNIK</w:t>
            </w:r>
          </w:p>
        </w:tc>
        <w:tc>
          <w:tcPr>
            <w:tcW w:w="1698" w:type="dxa"/>
            <w:tcBorders>
              <w:top w:val="nil"/>
              <w:left w:val="nil"/>
              <w:bottom w:val="single" w:sz="4" w:space="0" w:color="A6A6A6"/>
              <w:right w:val="single" w:sz="4" w:space="0" w:color="A6A6A6"/>
            </w:tcBorders>
            <w:noWrap/>
            <w:vAlign w:val="center"/>
            <w:hideMark/>
          </w:tcPr>
          <w:p w14:paraId="03487CE5" w14:textId="77777777" w:rsidR="00416D67" w:rsidRPr="00416D67" w:rsidRDefault="00416D67" w:rsidP="00416D67">
            <w:pPr>
              <w:jc w:val="right"/>
              <w:rPr>
                <w:color w:val="000000"/>
                <w:sz w:val="14"/>
                <w:szCs w:val="14"/>
              </w:rPr>
            </w:pPr>
            <w:r w:rsidRPr="00416D67">
              <w:rPr>
                <w:color w:val="000000"/>
                <w:sz w:val="14"/>
                <w:szCs w:val="14"/>
              </w:rPr>
              <w:t>62.315,94</w:t>
            </w:r>
          </w:p>
        </w:tc>
        <w:tc>
          <w:tcPr>
            <w:tcW w:w="1640" w:type="dxa"/>
            <w:tcBorders>
              <w:top w:val="nil"/>
              <w:left w:val="nil"/>
              <w:bottom w:val="single" w:sz="4" w:space="0" w:color="A6A6A6"/>
              <w:right w:val="single" w:sz="4" w:space="0" w:color="A6A6A6"/>
            </w:tcBorders>
            <w:noWrap/>
            <w:vAlign w:val="center"/>
            <w:hideMark/>
          </w:tcPr>
          <w:p w14:paraId="0EEC03DC" w14:textId="77777777" w:rsidR="00416D67" w:rsidRPr="00416D67" w:rsidRDefault="00416D67" w:rsidP="00416D67">
            <w:pPr>
              <w:jc w:val="right"/>
              <w:rPr>
                <w:color w:val="000000"/>
                <w:sz w:val="14"/>
                <w:szCs w:val="14"/>
              </w:rPr>
            </w:pPr>
            <w:r w:rsidRPr="00416D67">
              <w:rPr>
                <w:color w:val="000000"/>
                <w:sz w:val="14"/>
                <w:szCs w:val="14"/>
              </w:rPr>
              <w:t>83.876,40</w:t>
            </w:r>
          </w:p>
        </w:tc>
        <w:tc>
          <w:tcPr>
            <w:tcW w:w="1387" w:type="dxa"/>
            <w:tcBorders>
              <w:top w:val="nil"/>
              <w:left w:val="nil"/>
              <w:bottom w:val="single" w:sz="4" w:space="0" w:color="A6A6A6"/>
              <w:right w:val="single" w:sz="4" w:space="0" w:color="A6A6A6"/>
            </w:tcBorders>
            <w:noWrap/>
            <w:vAlign w:val="center"/>
            <w:hideMark/>
          </w:tcPr>
          <w:p w14:paraId="0F5CB7EA" w14:textId="77777777" w:rsidR="00416D67" w:rsidRPr="00416D67" w:rsidRDefault="00416D67" w:rsidP="00416D67">
            <w:pPr>
              <w:jc w:val="right"/>
              <w:rPr>
                <w:color w:val="000000"/>
                <w:sz w:val="14"/>
                <w:szCs w:val="14"/>
              </w:rPr>
            </w:pPr>
            <w:r w:rsidRPr="00416D67">
              <w:rPr>
                <w:color w:val="000000"/>
                <w:sz w:val="14"/>
                <w:szCs w:val="14"/>
              </w:rPr>
              <w:t>83.876,40</w:t>
            </w:r>
          </w:p>
        </w:tc>
        <w:tc>
          <w:tcPr>
            <w:tcW w:w="1465" w:type="dxa"/>
            <w:tcBorders>
              <w:top w:val="nil"/>
              <w:left w:val="nil"/>
              <w:bottom w:val="single" w:sz="4" w:space="0" w:color="A6A6A6"/>
              <w:right w:val="single" w:sz="4" w:space="0" w:color="A6A6A6"/>
            </w:tcBorders>
            <w:noWrap/>
            <w:vAlign w:val="center"/>
            <w:hideMark/>
          </w:tcPr>
          <w:p w14:paraId="73083DD5" w14:textId="77777777" w:rsidR="00416D67" w:rsidRPr="00416D67" w:rsidRDefault="00416D67" w:rsidP="00416D67">
            <w:pPr>
              <w:jc w:val="right"/>
              <w:rPr>
                <w:color w:val="000000"/>
                <w:sz w:val="14"/>
                <w:szCs w:val="14"/>
              </w:rPr>
            </w:pPr>
            <w:r w:rsidRPr="00416D67">
              <w:rPr>
                <w:color w:val="000000"/>
                <w:sz w:val="14"/>
                <w:szCs w:val="14"/>
              </w:rPr>
              <w:t>80.161,74</w:t>
            </w:r>
          </w:p>
        </w:tc>
        <w:tc>
          <w:tcPr>
            <w:tcW w:w="1205" w:type="dxa"/>
            <w:tcBorders>
              <w:top w:val="nil"/>
              <w:left w:val="nil"/>
              <w:bottom w:val="single" w:sz="4" w:space="0" w:color="A6A6A6"/>
              <w:right w:val="single" w:sz="4" w:space="0" w:color="A6A6A6"/>
            </w:tcBorders>
            <w:noWrap/>
            <w:vAlign w:val="center"/>
            <w:hideMark/>
          </w:tcPr>
          <w:p w14:paraId="1E390C91" w14:textId="77777777" w:rsidR="00416D67" w:rsidRPr="00416D67" w:rsidRDefault="00416D67" w:rsidP="00416D67">
            <w:pPr>
              <w:jc w:val="right"/>
              <w:rPr>
                <w:color w:val="000000"/>
                <w:sz w:val="14"/>
                <w:szCs w:val="14"/>
              </w:rPr>
            </w:pPr>
            <w:r w:rsidRPr="00416D67">
              <w:rPr>
                <w:color w:val="000000"/>
                <w:sz w:val="14"/>
                <w:szCs w:val="14"/>
              </w:rPr>
              <w:t>128,64%</w:t>
            </w:r>
          </w:p>
        </w:tc>
        <w:tc>
          <w:tcPr>
            <w:tcW w:w="1053" w:type="dxa"/>
            <w:tcBorders>
              <w:top w:val="nil"/>
              <w:left w:val="nil"/>
              <w:bottom w:val="single" w:sz="4" w:space="0" w:color="A6A6A6"/>
              <w:right w:val="single" w:sz="4" w:space="0" w:color="A6A6A6"/>
            </w:tcBorders>
            <w:noWrap/>
            <w:vAlign w:val="center"/>
            <w:hideMark/>
          </w:tcPr>
          <w:p w14:paraId="0DA3D7A4" w14:textId="77777777" w:rsidR="00416D67" w:rsidRPr="00416D67" w:rsidRDefault="00416D67" w:rsidP="00416D67">
            <w:pPr>
              <w:jc w:val="right"/>
              <w:rPr>
                <w:color w:val="000000"/>
                <w:sz w:val="14"/>
                <w:szCs w:val="14"/>
              </w:rPr>
            </w:pPr>
            <w:r w:rsidRPr="00416D67">
              <w:rPr>
                <w:color w:val="000000"/>
                <w:sz w:val="14"/>
                <w:szCs w:val="14"/>
              </w:rPr>
              <w:t>96,29%</w:t>
            </w:r>
          </w:p>
        </w:tc>
      </w:tr>
      <w:tr w:rsidR="00416D67" w:rsidRPr="00416D67" w14:paraId="4F0E8477" w14:textId="77777777" w:rsidTr="00BB1392">
        <w:trPr>
          <w:trHeight w:val="540"/>
        </w:trPr>
        <w:tc>
          <w:tcPr>
            <w:tcW w:w="866" w:type="dxa"/>
            <w:tcBorders>
              <w:top w:val="nil"/>
              <w:left w:val="single" w:sz="4" w:space="0" w:color="A6A6A6"/>
              <w:bottom w:val="single" w:sz="4" w:space="0" w:color="A6A6A6"/>
              <w:right w:val="single" w:sz="4" w:space="0" w:color="A6A6A6"/>
            </w:tcBorders>
            <w:shd w:val="clear" w:color="000000" w:fill="BFBFBF"/>
            <w:noWrap/>
            <w:vAlign w:val="center"/>
            <w:hideMark/>
          </w:tcPr>
          <w:p w14:paraId="174884D1" w14:textId="77777777" w:rsidR="00416D67" w:rsidRPr="00416D67" w:rsidRDefault="00416D67" w:rsidP="00416D67">
            <w:pPr>
              <w:rPr>
                <w:b/>
                <w:bCs/>
                <w:color w:val="000000"/>
                <w:sz w:val="14"/>
                <w:szCs w:val="14"/>
              </w:rPr>
            </w:pPr>
            <w:r w:rsidRPr="00416D67">
              <w:rPr>
                <w:b/>
                <w:bCs/>
                <w:color w:val="000000"/>
                <w:sz w:val="14"/>
                <w:szCs w:val="14"/>
              </w:rPr>
              <w:t>Razdjel</w:t>
            </w:r>
          </w:p>
        </w:tc>
        <w:tc>
          <w:tcPr>
            <w:tcW w:w="826" w:type="dxa"/>
            <w:tcBorders>
              <w:top w:val="nil"/>
              <w:left w:val="nil"/>
              <w:bottom w:val="single" w:sz="4" w:space="0" w:color="A6A6A6"/>
              <w:right w:val="single" w:sz="4" w:space="0" w:color="A6A6A6"/>
            </w:tcBorders>
            <w:shd w:val="clear" w:color="000000" w:fill="BFBFBF"/>
            <w:noWrap/>
            <w:vAlign w:val="center"/>
            <w:hideMark/>
          </w:tcPr>
          <w:p w14:paraId="541C0ADC" w14:textId="77777777" w:rsidR="00416D67" w:rsidRPr="00416D67" w:rsidRDefault="00416D67" w:rsidP="00416D67">
            <w:pPr>
              <w:rPr>
                <w:b/>
                <w:bCs/>
                <w:color w:val="000000"/>
                <w:sz w:val="14"/>
                <w:szCs w:val="14"/>
              </w:rPr>
            </w:pPr>
            <w:r w:rsidRPr="00416D67">
              <w:rPr>
                <w:b/>
                <w:bCs/>
                <w:color w:val="000000"/>
                <w:sz w:val="14"/>
                <w:szCs w:val="14"/>
              </w:rPr>
              <w:t>003</w:t>
            </w:r>
          </w:p>
        </w:tc>
        <w:tc>
          <w:tcPr>
            <w:tcW w:w="4280" w:type="dxa"/>
            <w:tcBorders>
              <w:top w:val="nil"/>
              <w:left w:val="nil"/>
              <w:bottom w:val="single" w:sz="4" w:space="0" w:color="A6A6A6"/>
              <w:right w:val="single" w:sz="4" w:space="0" w:color="A6A6A6"/>
            </w:tcBorders>
            <w:shd w:val="clear" w:color="000000" w:fill="BFBFBF"/>
            <w:vAlign w:val="center"/>
            <w:hideMark/>
          </w:tcPr>
          <w:p w14:paraId="52D977F5" w14:textId="77777777" w:rsidR="00416D67" w:rsidRPr="00416D67" w:rsidRDefault="00416D67" w:rsidP="00416D67">
            <w:pPr>
              <w:rPr>
                <w:b/>
                <w:bCs/>
                <w:color w:val="000000"/>
                <w:sz w:val="14"/>
                <w:szCs w:val="14"/>
              </w:rPr>
            </w:pPr>
            <w:r w:rsidRPr="00416D67">
              <w:rPr>
                <w:b/>
                <w:bCs/>
                <w:color w:val="000000"/>
                <w:sz w:val="14"/>
                <w:szCs w:val="14"/>
              </w:rPr>
              <w:t>UPRAVNI ODJEL ZA DRUŠTVENE DJELATNOSTI, GOSPODARSTVO, FINANCIJE I JAVNU NABAVU</w:t>
            </w:r>
          </w:p>
        </w:tc>
        <w:tc>
          <w:tcPr>
            <w:tcW w:w="1698" w:type="dxa"/>
            <w:tcBorders>
              <w:top w:val="nil"/>
              <w:left w:val="nil"/>
              <w:bottom w:val="single" w:sz="4" w:space="0" w:color="A6A6A6"/>
              <w:right w:val="single" w:sz="4" w:space="0" w:color="A6A6A6"/>
            </w:tcBorders>
            <w:shd w:val="clear" w:color="000000" w:fill="BFBFBF"/>
            <w:noWrap/>
            <w:vAlign w:val="center"/>
            <w:hideMark/>
          </w:tcPr>
          <w:p w14:paraId="7BDBCA44" w14:textId="77777777" w:rsidR="00416D67" w:rsidRPr="00416D67" w:rsidRDefault="00416D67" w:rsidP="00416D67">
            <w:pPr>
              <w:jc w:val="right"/>
              <w:rPr>
                <w:b/>
                <w:bCs/>
                <w:color w:val="000000"/>
                <w:sz w:val="14"/>
                <w:szCs w:val="14"/>
              </w:rPr>
            </w:pPr>
            <w:r w:rsidRPr="00416D67">
              <w:rPr>
                <w:b/>
                <w:bCs/>
                <w:color w:val="000000"/>
                <w:sz w:val="14"/>
                <w:szCs w:val="14"/>
              </w:rPr>
              <w:t>2.860.726,29</w:t>
            </w:r>
          </w:p>
        </w:tc>
        <w:tc>
          <w:tcPr>
            <w:tcW w:w="1640" w:type="dxa"/>
            <w:tcBorders>
              <w:top w:val="nil"/>
              <w:left w:val="nil"/>
              <w:bottom w:val="single" w:sz="4" w:space="0" w:color="A6A6A6"/>
              <w:right w:val="single" w:sz="4" w:space="0" w:color="A6A6A6"/>
            </w:tcBorders>
            <w:shd w:val="clear" w:color="000000" w:fill="BFBFBF"/>
            <w:noWrap/>
            <w:vAlign w:val="center"/>
            <w:hideMark/>
          </w:tcPr>
          <w:p w14:paraId="39EB91DB" w14:textId="77777777" w:rsidR="00416D67" w:rsidRPr="00416D67" w:rsidRDefault="00416D67" w:rsidP="00416D67">
            <w:pPr>
              <w:jc w:val="right"/>
              <w:rPr>
                <w:b/>
                <w:bCs/>
                <w:color w:val="000000"/>
                <w:sz w:val="14"/>
                <w:szCs w:val="14"/>
              </w:rPr>
            </w:pPr>
            <w:r w:rsidRPr="00416D67">
              <w:rPr>
                <w:b/>
                <w:bCs/>
                <w:color w:val="000000"/>
                <w:sz w:val="14"/>
                <w:szCs w:val="14"/>
              </w:rPr>
              <w:t>6.342.450,90</w:t>
            </w:r>
          </w:p>
        </w:tc>
        <w:tc>
          <w:tcPr>
            <w:tcW w:w="1387" w:type="dxa"/>
            <w:tcBorders>
              <w:top w:val="nil"/>
              <w:left w:val="nil"/>
              <w:bottom w:val="single" w:sz="4" w:space="0" w:color="A6A6A6"/>
              <w:right w:val="single" w:sz="4" w:space="0" w:color="A6A6A6"/>
            </w:tcBorders>
            <w:shd w:val="clear" w:color="000000" w:fill="BFBFBF"/>
            <w:noWrap/>
            <w:vAlign w:val="center"/>
            <w:hideMark/>
          </w:tcPr>
          <w:p w14:paraId="1D4761D7" w14:textId="77777777" w:rsidR="00416D67" w:rsidRPr="00416D67" w:rsidRDefault="00416D67" w:rsidP="00416D67">
            <w:pPr>
              <w:jc w:val="right"/>
              <w:rPr>
                <w:b/>
                <w:bCs/>
                <w:color w:val="000000"/>
                <w:sz w:val="14"/>
                <w:szCs w:val="14"/>
              </w:rPr>
            </w:pPr>
            <w:r w:rsidRPr="00416D67">
              <w:rPr>
                <w:b/>
                <w:bCs/>
                <w:color w:val="000000"/>
                <w:sz w:val="14"/>
                <w:szCs w:val="14"/>
              </w:rPr>
              <w:t>6.296.925,90</w:t>
            </w:r>
          </w:p>
        </w:tc>
        <w:tc>
          <w:tcPr>
            <w:tcW w:w="1465" w:type="dxa"/>
            <w:tcBorders>
              <w:top w:val="nil"/>
              <w:left w:val="nil"/>
              <w:bottom w:val="single" w:sz="4" w:space="0" w:color="A6A6A6"/>
              <w:right w:val="single" w:sz="4" w:space="0" w:color="A6A6A6"/>
            </w:tcBorders>
            <w:shd w:val="clear" w:color="000000" w:fill="BFBFBF"/>
            <w:noWrap/>
            <w:vAlign w:val="center"/>
            <w:hideMark/>
          </w:tcPr>
          <w:p w14:paraId="5681426E" w14:textId="77777777" w:rsidR="00416D67" w:rsidRPr="00416D67" w:rsidRDefault="00416D67" w:rsidP="00416D67">
            <w:pPr>
              <w:jc w:val="right"/>
              <w:rPr>
                <w:b/>
                <w:bCs/>
                <w:color w:val="000000"/>
                <w:sz w:val="14"/>
                <w:szCs w:val="14"/>
              </w:rPr>
            </w:pPr>
            <w:r w:rsidRPr="00416D67">
              <w:rPr>
                <w:b/>
                <w:bCs/>
                <w:color w:val="000000"/>
                <w:sz w:val="14"/>
                <w:szCs w:val="14"/>
              </w:rPr>
              <w:t>4.179.268,00</w:t>
            </w:r>
          </w:p>
        </w:tc>
        <w:tc>
          <w:tcPr>
            <w:tcW w:w="1205" w:type="dxa"/>
            <w:tcBorders>
              <w:top w:val="nil"/>
              <w:left w:val="nil"/>
              <w:bottom w:val="single" w:sz="4" w:space="0" w:color="A6A6A6"/>
              <w:right w:val="single" w:sz="4" w:space="0" w:color="A6A6A6"/>
            </w:tcBorders>
            <w:shd w:val="clear" w:color="000000" w:fill="BFBFBF"/>
            <w:noWrap/>
            <w:vAlign w:val="center"/>
            <w:hideMark/>
          </w:tcPr>
          <w:p w14:paraId="37DE612F" w14:textId="77777777" w:rsidR="00416D67" w:rsidRPr="00416D67" w:rsidRDefault="00416D67" w:rsidP="00416D67">
            <w:pPr>
              <w:jc w:val="right"/>
              <w:rPr>
                <w:b/>
                <w:bCs/>
                <w:color w:val="000000"/>
                <w:sz w:val="14"/>
                <w:szCs w:val="14"/>
              </w:rPr>
            </w:pPr>
            <w:r w:rsidRPr="00416D67">
              <w:rPr>
                <w:b/>
                <w:bCs/>
                <w:color w:val="000000"/>
                <w:sz w:val="14"/>
                <w:szCs w:val="14"/>
              </w:rPr>
              <w:t>146,09%</w:t>
            </w:r>
          </w:p>
        </w:tc>
        <w:tc>
          <w:tcPr>
            <w:tcW w:w="1053" w:type="dxa"/>
            <w:tcBorders>
              <w:top w:val="nil"/>
              <w:left w:val="nil"/>
              <w:bottom w:val="single" w:sz="4" w:space="0" w:color="A6A6A6"/>
              <w:right w:val="single" w:sz="4" w:space="0" w:color="A6A6A6"/>
            </w:tcBorders>
            <w:shd w:val="clear" w:color="000000" w:fill="BFBFBF"/>
            <w:noWrap/>
            <w:vAlign w:val="center"/>
            <w:hideMark/>
          </w:tcPr>
          <w:p w14:paraId="69431F24" w14:textId="77777777" w:rsidR="00416D67" w:rsidRPr="00416D67" w:rsidRDefault="00416D67" w:rsidP="00416D67">
            <w:pPr>
              <w:jc w:val="right"/>
              <w:rPr>
                <w:b/>
                <w:bCs/>
                <w:color w:val="000000"/>
                <w:sz w:val="14"/>
                <w:szCs w:val="14"/>
              </w:rPr>
            </w:pPr>
            <w:r w:rsidRPr="00416D67">
              <w:rPr>
                <w:b/>
                <w:bCs/>
                <w:color w:val="000000"/>
                <w:sz w:val="14"/>
                <w:szCs w:val="14"/>
              </w:rPr>
              <w:t>74,27%</w:t>
            </w:r>
          </w:p>
        </w:tc>
      </w:tr>
      <w:tr w:rsidR="00416D67" w:rsidRPr="00416D67" w14:paraId="2F52245B" w14:textId="77777777" w:rsidTr="00BB1392">
        <w:trPr>
          <w:trHeight w:val="540"/>
        </w:trPr>
        <w:tc>
          <w:tcPr>
            <w:tcW w:w="866" w:type="dxa"/>
            <w:tcBorders>
              <w:top w:val="nil"/>
              <w:left w:val="single" w:sz="4" w:space="0" w:color="A6A6A6"/>
              <w:bottom w:val="single" w:sz="4" w:space="0" w:color="A6A6A6"/>
              <w:right w:val="single" w:sz="4" w:space="0" w:color="A6A6A6"/>
            </w:tcBorders>
            <w:noWrap/>
            <w:vAlign w:val="center"/>
            <w:hideMark/>
          </w:tcPr>
          <w:p w14:paraId="7AFCA1A5" w14:textId="77777777" w:rsidR="00416D67" w:rsidRPr="00416D67" w:rsidRDefault="00416D67" w:rsidP="00416D67">
            <w:pPr>
              <w:rPr>
                <w:color w:val="000000"/>
                <w:sz w:val="14"/>
                <w:szCs w:val="14"/>
              </w:rPr>
            </w:pPr>
            <w:r w:rsidRPr="00416D67">
              <w:rPr>
                <w:color w:val="000000"/>
                <w:sz w:val="14"/>
                <w:szCs w:val="14"/>
              </w:rPr>
              <w:t>Glava</w:t>
            </w:r>
          </w:p>
        </w:tc>
        <w:tc>
          <w:tcPr>
            <w:tcW w:w="826" w:type="dxa"/>
            <w:tcBorders>
              <w:top w:val="nil"/>
              <w:left w:val="nil"/>
              <w:bottom w:val="single" w:sz="4" w:space="0" w:color="A6A6A6"/>
              <w:right w:val="single" w:sz="4" w:space="0" w:color="A6A6A6"/>
            </w:tcBorders>
            <w:noWrap/>
            <w:vAlign w:val="center"/>
            <w:hideMark/>
          </w:tcPr>
          <w:p w14:paraId="48D21DAB" w14:textId="77777777" w:rsidR="00416D67" w:rsidRPr="00416D67" w:rsidRDefault="00416D67" w:rsidP="00416D67">
            <w:pPr>
              <w:rPr>
                <w:color w:val="000000"/>
                <w:sz w:val="14"/>
                <w:szCs w:val="14"/>
              </w:rPr>
            </w:pPr>
            <w:r w:rsidRPr="00416D67">
              <w:rPr>
                <w:color w:val="000000"/>
                <w:sz w:val="14"/>
                <w:szCs w:val="14"/>
              </w:rPr>
              <w:t>003 01</w:t>
            </w:r>
          </w:p>
        </w:tc>
        <w:tc>
          <w:tcPr>
            <w:tcW w:w="4280" w:type="dxa"/>
            <w:tcBorders>
              <w:top w:val="nil"/>
              <w:left w:val="nil"/>
              <w:bottom w:val="single" w:sz="4" w:space="0" w:color="A6A6A6"/>
              <w:right w:val="single" w:sz="4" w:space="0" w:color="A6A6A6"/>
            </w:tcBorders>
            <w:vAlign w:val="center"/>
            <w:hideMark/>
          </w:tcPr>
          <w:p w14:paraId="3FC90429" w14:textId="77777777" w:rsidR="00416D67" w:rsidRPr="00416D67" w:rsidRDefault="00416D67" w:rsidP="00416D67">
            <w:pPr>
              <w:rPr>
                <w:color w:val="000000"/>
                <w:sz w:val="14"/>
                <w:szCs w:val="14"/>
              </w:rPr>
            </w:pPr>
            <w:r w:rsidRPr="00416D67">
              <w:rPr>
                <w:color w:val="000000"/>
                <w:sz w:val="14"/>
                <w:szCs w:val="14"/>
              </w:rPr>
              <w:t>UPRAVNI ODJEL ZA DRUŠTVENE DJELATNOSTI, GOSPODARSTVO, FINANCIJE I JAVNU NABAVU</w:t>
            </w:r>
          </w:p>
        </w:tc>
        <w:tc>
          <w:tcPr>
            <w:tcW w:w="1698" w:type="dxa"/>
            <w:tcBorders>
              <w:top w:val="nil"/>
              <w:left w:val="nil"/>
              <w:bottom w:val="single" w:sz="4" w:space="0" w:color="A6A6A6"/>
              <w:right w:val="single" w:sz="4" w:space="0" w:color="A6A6A6"/>
            </w:tcBorders>
            <w:noWrap/>
            <w:vAlign w:val="center"/>
            <w:hideMark/>
          </w:tcPr>
          <w:p w14:paraId="1DB166F9" w14:textId="77777777" w:rsidR="00416D67" w:rsidRPr="00416D67" w:rsidRDefault="00416D67" w:rsidP="00416D67">
            <w:pPr>
              <w:jc w:val="right"/>
              <w:rPr>
                <w:color w:val="000000"/>
                <w:sz w:val="14"/>
                <w:szCs w:val="14"/>
              </w:rPr>
            </w:pPr>
            <w:r w:rsidRPr="00416D67">
              <w:rPr>
                <w:color w:val="000000"/>
                <w:sz w:val="14"/>
                <w:szCs w:val="14"/>
              </w:rPr>
              <w:t>2.217.375,61</w:t>
            </w:r>
          </w:p>
        </w:tc>
        <w:tc>
          <w:tcPr>
            <w:tcW w:w="1640" w:type="dxa"/>
            <w:tcBorders>
              <w:top w:val="nil"/>
              <w:left w:val="nil"/>
              <w:bottom w:val="single" w:sz="4" w:space="0" w:color="A6A6A6"/>
              <w:right w:val="single" w:sz="4" w:space="0" w:color="A6A6A6"/>
            </w:tcBorders>
            <w:noWrap/>
            <w:vAlign w:val="center"/>
            <w:hideMark/>
          </w:tcPr>
          <w:p w14:paraId="39C81C46" w14:textId="77777777" w:rsidR="00416D67" w:rsidRPr="00416D67" w:rsidRDefault="00416D67" w:rsidP="00416D67">
            <w:pPr>
              <w:jc w:val="right"/>
              <w:rPr>
                <w:color w:val="000000"/>
                <w:sz w:val="14"/>
                <w:szCs w:val="14"/>
              </w:rPr>
            </w:pPr>
            <w:r w:rsidRPr="00416D67">
              <w:rPr>
                <w:color w:val="000000"/>
                <w:sz w:val="14"/>
                <w:szCs w:val="14"/>
              </w:rPr>
              <w:t>5.423.150,90</w:t>
            </w:r>
          </w:p>
        </w:tc>
        <w:tc>
          <w:tcPr>
            <w:tcW w:w="1387" w:type="dxa"/>
            <w:tcBorders>
              <w:top w:val="nil"/>
              <w:left w:val="nil"/>
              <w:bottom w:val="single" w:sz="4" w:space="0" w:color="A6A6A6"/>
              <w:right w:val="single" w:sz="4" w:space="0" w:color="A6A6A6"/>
            </w:tcBorders>
            <w:noWrap/>
            <w:vAlign w:val="center"/>
            <w:hideMark/>
          </w:tcPr>
          <w:p w14:paraId="4CF17DA6" w14:textId="77777777" w:rsidR="00416D67" w:rsidRPr="00416D67" w:rsidRDefault="00416D67" w:rsidP="00416D67">
            <w:pPr>
              <w:jc w:val="right"/>
              <w:rPr>
                <w:color w:val="000000"/>
                <w:sz w:val="14"/>
                <w:szCs w:val="14"/>
              </w:rPr>
            </w:pPr>
            <w:r w:rsidRPr="00416D67">
              <w:rPr>
                <w:color w:val="000000"/>
                <w:sz w:val="14"/>
                <w:szCs w:val="14"/>
              </w:rPr>
              <w:t>5.377.625,90</w:t>
            </w:r>
          </w:p>
        </w:tc>
        <w:tc>
          <w:tcPr>
            <w:tcW w:w="1465" w:type="dxa"/>
            <w:tcBorders>
              <w:top w:val="nil"/>
              <w:left w:val="nil"/>
              <w:bottom w:val="single" w:sz="4" w:space="0" w:color="A6A6A6"/>
              <w:right w:val="single" w:sz="4" w:space="0" w:color="A6A6A6"/>
            </w:tcBorders>
            <w:noWrap/>
            <w:vAlign w:val="center"/>
            <w:hideMark/>
          </w:tcPr>
          <w:p w14:paraId="676E2970" w14:textId="77777777" w:rsidR="00416D67" w:rsidRPr="00416D67" w:rsidRDefault="00416D67" w:rsidP="00416D67">
            <w:pPr>
              <w:jc w:val="right"/>
              <w:rPr>
                <w:color w:val="000000"/>
                <w:sz w:val="14"/>
                <w:szCs w:val="14"/>
              </w:rPr>
            </w:pPr>
            <w:r w:rsidRPr="00416D67">
              <w:rPr>
                <w:color w:val="000000"/>
                <w:sz w:val="14"/>
                <w:szCs w:val="14"/>
              </w:rPr>
              <w:t>3.320.200,08</w:t>
            </w:r>
          </w:p>
        </w:tc>
        <w:tc>
          <w:tcPr>
            <w:tcW w:w="1205" w:type="dxa"/>
            <w:tcBorders>
              <w:top w:val="nil"/>
              <w:left w:val="nil"/>
              <w:bottom w:val="single" w:sz="4" w:space="0" w:color="A6A6A6"/>
              <w:right w:val="single" w:sz="4" w:space="0" w:color="A6A6A6"/>
            </w:tcBorders>
            <w:noWrap/>
            <w:vAlign w:val="center"/>
            <w:hideMark/>
          </w:tcPr>
          <w:p w14:paraId="08388941" w14:textId="77777777" w:rsidR="00416D67" w:rsidRPr="00416D67" w:rsidRDefault="00416D67" w:rsidP="00416D67">
            <w:pPr>
              <w:jc w:val="right"/>
              <w:rPr>
                <w:color w:val="000000"/>
                <w:sz w:val="14"/>
                <w:szCs w:val="14"/>
              </w:rPr>
            </w:pPr>
            <w:r w:rsidRPr="00416D67">
              <w:rPr>
                <w:color w:val="000000"/>
                <w:sz w:val="14"/>
                <w:szCs w:val="14"/>
              </w:rPr>
              <w:t>149,74%</w:t>
            </w:r>
          </w:p>
        </w:tc>
        <w:tc>
          <w:tcPr>
            <w:tcW w:w="1053" w:type="dxa"/>
            <w:tcBorders>
              <w:top w:val="nil"/>
              <w:left w:val="nil"/>
              <w:bottom w:val="single" w:sz="4" w:space="0" w:color="A6A6A6"/>
              <w:right w:val="single" w:sz="4" w:space="0" w:color="A6A6A6"/>
            </w:tcBorders>
            <w:noWrap/>
            <w:vAlign w:val="center"/>
            <w:hideMark/>
          </w:tcPr>
          <w:p w14:paraId="7BF634BD" w14:textId="77777777" w:rsidR="00416D67" w:rsidRPr="00416D67" w:rsidRDefault="00416D67" w:rsidP="00416D67">
            <w:pPr>
              <w:jc w:val="right"/>
              <w:rPr>
                <w:color w:val="000000"/>
                <w:sz w:val="14"/>
                <w:szCs w:val="14"/>
              </w:rPr>
            </w:pPr>
            <w:r w:rsidRPr="00416D67">
              <w:rPr>
                <w:color w:val="000000"/>
                <w:sz w:val="14"/>
                <w:szCs w:val="14"/>
              </w:rPr>
              <w:t>69,81%</w:t>
            </w:r>
          </w:p>
        </w:tc>
      </w:tr>
      <w:tr w:rsidR="00416D67" w:rsidRPr="00416D67" w14:paraId="196F9D46" w14:textId="77777777" w:rsidTr="00BB1392">
        <w:trPr>
          <w:trHeight w:val="540"/>
        </w:trPr>
        <w:tc>
          <w:tcPr>
            <w:tcW w:w="866" w:type="dxa"/>
            <w:tcBorders>
              <w:top w:val="nil"/>
              <w:left w:val="single" w:sz="4" w:space="0" w:color="A6A6A6"/>
              <w:bottom w:val="single" w:sz="4" w:space="0" w:color="A6A6A6"/>
              <w:right w:val="single" w:sz="4" w:space="0" w:color="A6A6A6"/>
            </w:tcBorders>
            <w:vAlign w:val="center"/>
            <w:hideMark/>
          </w:tcPr>
          <w:p w14:paraId="7D498DE6" w14:textId="77777777" w:rsidR="00416D67" w:rsidRPr="00416D67" w:rsidRDefault="00416D67" w:rsidP="00416D67">
            <w:pPr>
              <w:rPr>
                <w:color w:val="000000"/>
                <w:sz w:val="14"/>
                <w:szCs w:val="14"/>
              </w:rPr>
            </w:pPr>
            <w:r w:rsidRPr="00416D67">
              <w:rPr>
                <w:color w:val="000000"/>
                <w:sz w:val="14"/>
                <w:szCs w:val="14"/>
              </w:rPr>
              <w:t xml:space="preserve">Glava </w:t>
            </w:r>
          </w:p>
        </w:tc>
        <w:tc>
          <w:tcPr>
            <w:tcW w:w="826" w:type="dxa"/>
            <w:tcBorders>
              <w:top w:val="nil"/>
              <w:left w:val="nil"/>
              <w:bottom w:val="single" w:sz="4" w:space="0" w:color="A6A6A6"/>
              <w:right w:val="single" w:sz="4" w:space="0" w:color="A6A6A6"/>
            </w:tcBorders>
            <w:noWrap/>
            <w:vAlign w:val="center"/>
            <w:hideMark/>
          </w:tcPr>
          <w:p w14:paraId="09D59E67" w14:textId="77777777" w:rsidR="00416D67" w:rsidRPr="00416D67" w:rsidRDefault="00416D67" w:rsidP="00416D67">
            <w:pPr>
              <w:rPr>
                <w:color w:val="000000"/>
                <w:sz w:val="14"/>
                <w:szCs w:val="14"/>
              </w:rPr>
            </w:pPr>
            <w:r w:rsidRPr="00416D67">
              <w:rPr>
                <w:color w:val="000000"/>
                <w:sz w:val="14"/>
                <w:szCs w:val="14"/>
              </w:rPr>
              <w:t xml:space="preserve">003 02 </w:t>
            </w:r>
          </w:p>
        </w:tc>
        <w:tc>
          <w:tcPr>
            <w:tcW w:w="4280" w:type="dxa"/>
            <w:tcBorders>
              <w:top w:val="nil"/>
              <w:left w:val="nil"/>
              <w:bottom w:val="single" w:sz="4" w:space="0" w:color="A6A6A6"/>
              <w:right w:val="single" w:sz="4" w:space="0" w:color="A6A6A6"/>
            </w:tcBorders>
            <w:vAlign w:val="center"/>
            <w:hideMark/>
          </w:tcPr>
          <w:p w14:paraId="632A93FB" w14:textId="77777777" w:rsidR="00416D67" w:rsidRPr="00416D67" w:rsidRDefault="00416D67" w:rsidP="00416D67">
            <w:pPr>
              <w:rPr>
                <w:color w:val="000000"/>
                <w:sz w:val="14"/>
                <w:szCs w:val="14"/>
              </w:rPr>
            </w:pPr>
            <w:r w:rsidRPr="00416D67">
              <w:rPr>
                <w:color w:val="000000"/>
                <w:sz w:val="14"/>
                <w:szCs w:val="14"/>
              </w:rPr>
              <w:t>35597 PRORAČUNSKI KORISNIK DJEČJI VRTIĆ VRTULJAK MARČANA</w:t>
            </w:r>
          </w:p>
        </w:tc>
        <w:tc>
          <w:tcPr>
            <w:tcW w:w="1698" w:type="dxa"/>
            <w:tcBorders>
              <w:top w:val="nil"/>
              <w:left w:val="nil"/>
              <w:bottom w:val="single" w:sz="4" w:space="0" w:color="A6A6A6"/>
              <w:right w:val="single" w:sz="4" w:space="0" w:color="A6A6A6"/>
            </w:tcBorders>
            <w:noWrap/>
            <w:vAlign w:val="center"/>
            <w:hideMark/>
          </w:tcPr>
          <w:p w14:paraId="737BF7B8" w14:textId="77777777" w:rsidR="00416D67" w:rsidRPr="00416D67" w:rsidRDefault="00416D67" w:rsidP="00416D67">
            <w:pPr>
              <w:jc w:val="right"/>
              <w:rPr>
                <w:color w:val="000000"/>
                <w:sz w:val="14"/>
                <w:szCs w:val="14"/>
              </w:rPr>
            </w:pPr>
            <w:r w:rsidRPr="00416D67">
              <w:rPr>
                <w:color w:val="000000"/>
                <w:sz w:val="14"/>
                <w:szCs w:val="14"/>
              </w:rPr>
              <w:t>643.350,68</w:t>
            </w:r>
          </w:p>
        </w:tc>
        <w:tc>
          <w:tcPr>
            <w:tcW w:w="1640" w:type="dxa"/>
            <w:tcBorders>
              <w:top w:val="nil"/>
              <w:left w:val="nil"/>
              <w:bottom w:val="single" w:sz="4" w:space="0" w:color="A6A6A6"/>
              <w:right w:val="single" w:sz="4" w:space="0" w:color="A6A6A6"/>
            </w:tcBorders>
            <w:noWrap/>
            <w:vAlign w:val="center"/>
            <w:hideMark/>
          </w:tcPr>
          <w:p w14:paraId="75DB517D" w14:textId="77777777" w:rsidR="00416D67" w:rsidRPr="00416D67" w:rsidRDefault="00416D67" w:rsidP="00416D67">
            <w:pPr>
              <w:jc w:val="right"/>
              <w:rPr>
                <w:color w:val="000000"/>
                <w:sz w:val="14"/>
                <w:szCs w:val="14"/>
              </w:rPr>
            </w:pPr>
            <w:r w:rsidRPr="00416D67">
              <w:rPr>
                <w:color w:val="000000"/>
                <w:sz w:val="14"/>
                <w:szCs w:val="14"/>
              </w:rPr>
              <w:t>919.300,00</w:t>
            </w:r>
          </w:p>
        </w:tc>
        <w:tc>
          <w:tcPr>
            <w:tcW w:w="1387" w:type="dxa"/>
            <w:tcBorders>
              <w:top w:val="nil"/>
              <w:left w:val="nil"/>
              <w:bottom w:val="single" w:sz="4" w:space="0" w:color="A6A6A6"/>
              <w:right w:val="single" w:sz="4" w:space="0" w:color="A6A6A6"/>
            </w:tcBorders>
            <w:noWrap/>
            <w:vAlign w:val="center"/>
            <w:hideMark/>
          </w:tcPr>
          <w:p w14:paraId="79D22E27" w14:textId="77777777" w:rsidR="00416D67" w:rsidRPr="00416D67" w:rsidRDefault="00416D67" w:rsidP="00416D67">
            <w:pPr>
              <w:jc w:val="right"/>
              <w:rPr>
                <w:color w:val="000000"/>
                <w:sz w:val="14"/>
                <w:szCs w:val="14"/>
              </w:rPr>
            </w:pPr>
            <w:r w:rsidRPr="00416D67">
              <w:rPr>
                <w:color w:val="000000"/>
                <w:sz w:val="14"/>
                <w:szCs w:val="14"/>
              </w:rPr>
              <w:t>919.300,00</w:t>
            </w:r>
          </w:p>
        </w:tc>
        <w:tc>
          <w:tcPr>
            <w:tcW w:w="1465" w:type="dxa"/>
            <w:tcBorders>
              <w:top w:val="nil"/>
              <w:left w:val="nil"/>
              <w:bottom w:val="single" w:sz="4" w:space="0" w:color="A6A6A6"/>
              <w:right w:val="single" w:sz="4" w:space="0" w:color="A6A6A6"/>
            </w:tcBorders>
            <w:noWrap/>
            <w:vAlign w:val="center"/>
            <w:hideMark/>
          </w:tcPr>
          <w:p w14:paraId="0F419737" w14:textId="77777777" w:rsidR="00416D67" w:rsidRPr="00416D67" w:rsidRDefault="00416D67" w:rsidP="00416D67">
            <w:pPr>
              <w:jc w:val="right"/>
              <w:rPr>
                <w:color w:val="000000"/>
                <w:sz w:val="14"/>
                <w:szCs w:val="14"/>
              </w:rPr>
            </w:pPr>
            <w:r w:rsidRPr="00416D67">
              <w:rPr>
                <w:color w:val="000000"/>
                <w:sz w:val="14"/>
                <w:szCs w:val="14"/>
              </w:rPr>
              <w:t>859.067,92</w:t>
            </w:r>
          </w:p>
        </w:tc>
        <w:tc>
          <w:tcPr>
            <w:tcW w:w="1205" w:type="dxa"/>
            <w:tcBorders>
              <w:top w:val="nil"/>
              <w:left w:val="nil"/>
              <w:bottom w:val="single" w:sz="4" w:space="0" w:color="A6A6A6"/>
              <w:right w:val="single" w:sz="4" w:space="0" w:color="A6A6A6"/>
            </w:tcBorders>
            <w:noWrap/>
            <w:vAlign w:val="center"/>
            <w:hideMark/>
          </w:tcPr>
          <w:p w14:paraId="6252D4FF" w14:textId="77777777" w:rsidR="00416D67" w:rsidRPr="00416D67" w:rsidRDefault="00416D67" w:rsidP="00416D67">
            <w:pPr>
              <w:jc w:val="right"/>
              <w:rPr>
                <w:color w:val="000000"/>
                <w:sz w:val="14"/>
                <w:szCs w:val="14"/>
              </w:rPr>
            </w:pPr>
            <w:r w:rsidRPr="00416D67">
              <w:rPr>
                <w:color w:val="000000"/>
                <w:sz w:val="14"/>
                <w:szCs w:val="14"/>
              </w:rPr>
              <w:t>138,40%</w:t>
            </w:r>
          </w:p>
        </w:tc>
        <w:tc>
          <w:tcPr>
            <w:tcW w:w="1053" w:type="dxa"/>
            <w:tcBorders>
              <w:top w:val="nil"/>
              <w:left w:val="nil"/>
              <w:bottom w:val="single" w:sz="4" w:space="0" w:color="A6A6A6"/>
              <w:right w:val="single" w:sz="4" w:space="0" w:color="A6A6A6"/>
            </w:tcBorders>
            <w:noWrap/>
            <w:vAlign w:val="center"/>
            <w:hideMark/>
          </w:tcPr>
          <w:p w14:paraId="1EC2276F" w14:textId="77777777" w:rsidR="00416D67" w:rsidRPr="00416D67" w:rsidRDefault="00416D67" w:rsidP="00416D67">
            <w:pPr>
              <w:jc w:val="right"/>
              <w:rPr>
                <w:color w:val="000000"/>
                <w:sz w:val="14"/>
                <w:szCs w:val="14"/>
              </w:rPr>
            </w:pPr>
            <w:r w:rsidRPr="00416D67">
              <w:rPr>
                <w:color w:val="000000"/>
                <w:sz w:val="14"/>
                <w:szCs w:val="14"/>
              </w:rPr>
              <w:t>95,23%</w:t>
            </w:r>
          </w:p>
        </w:tc>
      </w:tr>
      <w:tr w:rsidR="00416D67" w:rsidRPr="00416D67" w14:paraId="5794B41F" w14:textId="77777777" w:rsidTr="00BB1392">
        <w:trPr>
          <w:trHeight w:val="540"/>
        </w:trPr>
        <w:tc>
          <w:tcPr>
            <w:tcW w:w="866" w:type="dxa"/>
            <w:tcBorders>
              <w:top w:val="nil"/>
              <w:left w:val="single" w:sz="4" w:space="0" w:color="A6A6A6"/>
              <w:bottom w:val="single" w:sz="4" w:space="0" w:color="A6A6A6"/>
              <w:right w:val="single" w:sz="4" w:space="0" w:color="A6A6A6"/>
            </w:tcBorders>
            <w:shd w:val="clear" w:color="000000" w:fill="BFBFBF"/>
            <w:noWrap/>
            <w:vAlign w:val="center"/>
            <w:hideMark/>
          </w:tcPr>
          <w:p w14:paraId="69F15900" w14:textId="77777777" w:rsidR="00416D67" w:rsidRPr="00416D67" w:rsidRDefault="00416D67" w:rsidP="00416D67">
            <w:pPr>
              <w:rPr>
                <w:b/>
                <w:bCs/>
                <w:color w:val="000000"/>
                <w:sz w:val="14"/>
                <w:szCs w:val="14"/>
              </w:rPr>
            </w:pPr>
            <w:r w:rsidRPr="00416D67">
              <w:rPr>
                <w:b/>
                <w:bCs/>
                <w:color w:val="000000"/>
                <w:sz w:val="14"/>
                <w:szCs w:val="14"/>
              </w:rPr>
              <w:t>Razdjel</w:t>
            </w:r>
          </w:p>
        </w:tc>
        <w:tc>
          <w:tcPr>
            <w:tcW w:w="826" w:type="dxa"/>
            <w:tcBorders>
              <w:top w:val="nil"/>
              <w:left w:val="nil"/>
              <w:bottom w:val="single" w:sz="4" w:space="0" w:color="A6A6A6"/>
              <w:right w:val="single" w:sz="4" w:space="0" w:color="A6A6A6"/>
            </w:tcBorders>
            <w:shd w:val="clear" w:color="000000" w:fill="BFBFBF"/>
            <w:noWrap/>
            <w:vAlign w:val="center"/>
            <w:hideMark/>
          </w:tcPr>
          <w:p w14:paraId="6AF03548" w14:textId="77777777" w:rsidR="00416D67" w:rsidRPr="00416D67" w:rsidRDefault="00416D67" w:rsidP="00416D67">
            <w:pPr>
              <w:rPr>
                <w:b/>
                <w:bCs/>
                <w:color w:val="000000"/>
                <w:sz w:val="14"/>
                <w:szCs w:val="14"/>
              </w:rPr>
            </w:pPr>
            <w:r w:rsidRPr="00416D67">
              <w:rPr>
                <w:b/>
                <w:bCs/>
                <w:color w:val="000000"/>
                <w:sz w:val="14"/>
                <w:szCs w:val="14"/>
              </w:rPr>
              <w:t>004</w:t>
            </w:r>
          </w:p>
        </w:tc>
        <w:tc>
          <w:tcPr>
            <w:tcW w:w="4280" w:type="dxa"/>
            <w:tcBorders>
              <w:top w:val="nil"/>
              <w:left w:val="nil"/>
              <w:bottom w:val="single" w:sz="4" w:space="0" w:color="A6A6A6"/>
              <w:right w:val="single" w:sz="4" w:space="0" w:color="A6A6A6"/>
            </w:tcBorders>
            <w:shd w:val="clear" w:color="000000" w:fill="BFBFBF"/>
            <w:vAlign w:val="center"/>
            <w:hideMark/>
          </w:tcPr>
          <w:p w14:paraId="1C38F4A8" w14:textId="77777777" w:rsidR="00416D67" w:rsidRPr="00416D67" w:rsidRDefault="00416D67" w:rsidP="00416D67">
            <w:pPr>
              <w:rPr>
                <w:b/>
                <w:bCs/>
                <w:color w:val="000000"/>
                <w:sz w:val="14"/>
                <w:szCs w:val="14"/>
              </w:rPr>
            </w:pPr>
            <w:r w:rsidRPr="00416D67">
              <w:rPr>
                <w:b/>
                <w:bCs/>
                <w:color w:val="000000"/>
                <w:sz w:val="14"/>
                <w:szCs w:val="14"/>
              </w:rPr>
              <w:t>UPRAVNI ODJEL ZA PROSTORNO PLANIRANJE, ZAŠTITU OKOLIŠA, KOMUNALNO GOSPODARSTVO I IZGRADNJU</w:t>
            </w:r>
          </w:p>
        </w:tc>
        <w:tc>
          <w:tcPr>
            <w:tcW w:w="1698" w:type="dxa"/>
            <w:tcBorders>
              <w:top w:val="nil"/>
              <w:left w:val="nil"/>
              <w:bottom w:val="single" w:sz="4" w:space="0" w:color="A6A6A6"/>
              <w:right w:val="single" w:sz="4" w:space="0" w:color="A6A6A6"/>
            </w:tcBorders>
            <w:shd w:val="clear" w:color="000000" w:fill="BFBFBF"/>
            <w:noWrap/>
            <w:vAlign w:val="center"/>
            <w:hideMark/>
          </w:tcPr>
          <w:p w14:paraId="500EA147" w14:textId="77777777" w:rsidR="00416D67" w:rsidRPr="00416D67" w:rsidRDefault="00416D67" w:rsidP="00416D67">
            <w:pPr>
              <w:jc w:val="right"/>
              <w:rPr>
                <w:b/>
                <w:bCs/>
                <w:color w:val="000000"/>
                <w:sz w:val="14"/>
                <w:szCs w:val="14"/>
              </w:rPr>
            </w:pPr>
            <w:r w:rsidRPr="00416D67">
              <w:rPr>
                <w:b/>
                <w:bCs/>
                <w:color w:val="000000"/>
                <w:sz w:val="14"/>
                <w:szCs w:val="14"/>
              </w:rPr>
              <w:t>2.356.909,24</w:t>
            </w:r>
          </w:p>
        </w:tc>
        <w:tc>
          <w:tcPr>
            <w:tcW w:w="1640" w:type="dxa"/>
            <w:tcBorders>
              <w:top w:val="nil"/>
              <w:left w:val="nil"/>
              <w:bottom w:val="single" w:sz="4" w:space="0" w:color="A6A6A6"/>
              <w:right w:val="single" w:sz="4" w:space="0" w:color="A6A6A6"/>
            </w:tcBorders>
            <w:shd w:val="clear" w:color="000000" w:fill="BFBFBF"/>
            <w:noWrap/>
            <w:vAlign w:val="center"/>
            <w:hideMark/>
          </w:tcPr>
          <w:p w14:paraId="5C4E0F3C" w14:textId="77777777" w:rsidR="00416D67" w:rsidRPr="00416D67" w:rsidRDefault="00416D67" w:rsidP="00416D67">
            <w:pPr>
              <w:jc w:val="right"/>
              <w:rPr>
                <w:b/>
                <w:bCs/>
                <w:color w:val="000000"/>
                <w:sz w:val="14"/>
                <w:szCs w:val="14"/>
              </w:rPr>
            </w:pPr>
            <w:r w:rsidRPr="00416D67">
              <w:rPr>
                <w:b/>
                <w:bCs/>
                <w:color w:val="000000"/>
                <w:sz w:val="14"/>
                <w:szCs w:val="14"/>
              </w:rPr>
              <w:t>2.635.012,70</w:t>
            </w:r>
          </w:p>
        </w:tc>
        <w:tc>
          <w:tcPr>
            <w:tcW w:w="1387" w:type="dxa"/>
            <w:tcBorders>
              <w:top w:val="nil"/>
              <w:left w:val="nil"/>
              <w:bottom w:val="single" w:sz="4" w:space="0" w:color="A6A6A6"/>
              <w:right w:val="single" w:sz="4" w:space="0" w:color="A6A6A6"/>
            </w:tcBorders>
            <w:shd w:val="clear" w:color="000000" w:fill="BFBFBF"/>
            <w:noWrap/>
            <w:vAlign w:val="center"/>
            <w:hideMark/>
          </w:tcPr>
          <w:p w14:paraId="39AB66F6" w14:textId="77777777" w:rsidR="00416D67" w:rsidRPr="00416D67" w:rsidRDefault="00416D67" w:rsidP="00416D67">
            <w:pPr>
              <w:jc w:val="right"/>
              <w:rPr>
                <w:b/>
                <w:bCs/>
                <w:color w:val="000000"/>
                <w:sz w:val="14"/>
                <w:szCs w:val="14"/>
              </w:rPr>
            </w:pPr>
            <w:r w:rsidRPr="00416D67">
              <w:rPr>
                <w:b/>
                <w:bCs/>
                <w:color w:val="000000"/>
                <w:sz w:val="14"/>
                <w:szCs w:val="14"/>
              </w:rPr>
              <w:t>2.680.537,70</w:t>
            </w:r>
          </w:p>
        </w:tc>
        <w:tc>
          <w:tcPr>
            <w:tcW w:w="1465" w:type="dxa"/>
            <w:tcBorders>
              <w:top w:val="nil"/>
              <w:left w:val="nil"/>
              <w:bottom w:val="single" w:sz="4" w:space="0" w:color="A6A6A6"/>
              <w:right w:val="single" w:sz="4" w:space="0" w:color="A6A6A6"/>
            </w:tcBorders>
            <w:shd w:val="clear" w:color="000000" w:fill="BFBFBF"/>
            <w:noWrap/>
            <w:vAlign w:val="center"/>
            <w:hideMark/>
          </w:tcPr>
          <w:p w14:paraId="7F99AFFF" w14:textId="77777777" w:rsidR="00416D67" w:rsidRPr="00416D67" w:rsidRDefault="00416D67" w:rsidP="00416D67">
            <w:pPr>
              <w:jc w:val="right"/>
              <w:rPr>
                <w:b/>
                <w:bCs/>
                <w:color w:val="000000"/>
                <w:sz w:val="14"/>
                <w:szCs w:val="14"/>
              </w:rPr>
            </w:pPr>
            <w:r w:rsidRPr="00416D67">
              <w:rPr>
                <w:b/>
                <w:bCs/>
                <w:color w:val="000000"/>
                <w:sz w:val="14"/>
                <w:szCs w:val="14"/>
              </w:rPr>
              <w:t>2.239.567,51</w:t>
            </w:r>
          </w:p>
        </w:tc>
        <w:tc>
          <w:tcPr>
            <w:tcW w:w="1205" w:type="dxa"/>
            <w:tcBorders>
              <w:top w:val="nil"/>
              <w:left w:val="nil"/>
              <w:bottom w:val="single" w:sz="4" w:space="0" w:color="A6A6A6"/>
              <w:right w:val="single" w:sz="4" w:space="0" w:color="A6A6A6"/>
            </w:tcBorders>
            <w:shd w:val="clear" w:color="000000" w:fill="BFBFBF"/>
            <w:noWrap/>
            <w:vAlign w:val="center"/>
            <w:hideMark/>
          </w:tcPr>
          <w:p w14:paraId="4601D886" w14:textId="77777777" w:rsidR="00416D67" w:rsidRPr="00416D67" w:rsidRDefault="00416D67" w:rsidP="00416D67">
            <w:pPr>
              <w:jc w:val="right"/>
              <w:rPr>
                <w:b/>
                <w:bCs/>
                <w:color w:val="000000"/>
                <w:sz w:val="14"/>
                <w:szCs w:val="14"/>
              </w:rPr>
            </w:pPr>
            <w:r w:rsidRPr="00416D67">
              <w:rPr>
                <w:b/>
                <w:bCs/>
                <w:color w:val="000000"/>
                <w:sz w:val="14"/>
                <w:szCs w:val="14"/>
              </w:rPr>
              <w:t>180,24%</w:t>
            </w:r>
          </w:p>
        </w:tc>
        <w:tc>
          <w:tcPr>
            <w:tcW w:w="1053" w:type="dxa"/>
            <w:tcBorders>
              <w:top w:val="nil"/>
              <w:left w:val="nil"/>
              <w:bottom w:val="single" w:sz="4" w:space="0" w:color="A6A6A6"/>
              <w:right w:val="single" w:sz="4" w:space="0" w:color="A6A6A6"/>
            </w:tcBorders>
            <w:shd w:val="clear" w:color="000000" w:fill="BFBFBF"/>
            <w:noWrap/>
            <w:vAlign w:val="center"/>
            <w:hideMark/>
          </w:tcPr>
          <w:p w14:paraId="4FDC7581" w14:textId="77777777" w:rsidR="00416D67" w:rsidRPr="00416D67" w:rsidRDefault="00416D67" w:rsidP="00416D67">
            <w:pPr>
              <w:jc w:val="right"/>
              <w:rPr>
                <w:b/>
                <w:bCs/>
                <w:color w:val="000000"/>
                <w:sz w:val="14"/>
                <w:szCs w:val="14"/>
              </w:rPr>
            </w:pPr>
            <w:r w:rsidRPr="00416D67">
              <w:rPr>
                <w:b/>
                <w:bCs/>
                <w:color w:val="000000"/>
                <w:sz w:val="14"/>
                <w:szCs w:val="14"/>
              </w:rPr>
              <w:t>82,82%</w:t>
            </w:r>
          </w:p>
        </w:tc>
      </w:tr>
      <w:tr w:rsidR="00416D67" w:rsidRPr="00416D67" w14:paraId="731CBB19" w14:textId="77777777" w:rsidTr="00BB1392">
        <w:trPr>
          <w:trHeight w:val="540"/>
        </w:trPr>
        <w:tc>
          <w:tcPr>
            <w:tcW w:w="866" w:type="dxa"/>
            <w:tcBorders>
              <w:top w:val="nil"/>
              <w:left w:val="single" w:sz="4" w:space="0" w:color="A6A6A6"/>
              <w:bottom w:val="single" w:sz="4" w:space="0" w:color="A6A6A6"/>
              <w:right w:val="single" w:sz="4" w:space="0" w:color="A6A6A6"/>
            </w:tcBorders>
            <w:noWrap/>
            <w:vAlign w:val="center"/>
            <w:hideMark/>
          </w:tcPr>
          <w:p w14:paraId="7ECEF66E" w14:textId="77777777" w:rsidR="00416D67" w:rsidRPr="00416D67" w:rsidRDefault="00416D67" w:rsidP="00416D67">
            <w:pPr>
              <w:rPr>
                <w:color w:val="000000"/>
                <w:sz w:val="14"/>
                <w:szCs w:val="14"/>
              </w:rPr>
            </w:pPr>
            <w:r w:rsidRPr="00416D67">
              <w:rPr>
                <w:color w:val="000000"/>
                <w:sz w:val="14"/>
                <w:szCs w:val="14"/>
              </w:rPr>
              <w:t>Glava</w:t>
            </w:r>
          </w:p>
        </w:tc>
        <w:tc>
          <w:tcPr>
            <w:tcW w:w="826" w:type="dxa"/>
            <w:tcBorders>
              <w:top w:val="nil"/>
              <w:left w:val="nil"/>
              <w:bottom w:val="single" w:sz="4" w:space="0" w:color="A6A6A6"/>
              <w:right w:val="single" w:sz="4" w:space="0" w:color="A6A6A6"/>
            </w:tcBorders>
            <w:noWrap/>
            <w:vAlign w:val="center"/>
            <w:hideMark/>
          </w:tcPr>
          <w:p w14:paraId="64D0CCC0" w14:textId="77777777" w:rsidR="00416D67" w:rsidRPr="00416D67" w:rsidRDefault="00416D67" w:rsidP="00416D67">
            <w:pPr>
              <w:rPr>
                <w:color w:val="000000"/>
                <w:sz w:val="14"/>
                <w:szCs w:val="14"/>
              </w:rPr>
            </w:pPr>
            <w:r w:rsidRPr="00416D67">
              <w:rPr>
                <w:color w:val="000000"/>
                <w:sz w:val="14"/>
                <w:szCs w:val="14"/>
              </w:rPr>
              <w:t>004  01</w:t>
            </w:r>
          </w:p>
        </w:tc>
        <w:tc>
          <w:tcPr>
            <w:tcW w:w="4280" w:type="dxa"/>
            <w:tcBorders>
              <w:top w:val="nil"/>
              <w:left w:val="nil"/>
              <w:bottom w:val="single" w:sz="4" w:space="0" w:color="A6A6A6"/>
              <w:right w:val="single" w:sz="4" w:space="0" w:color="A6A6A6"/>
            </w:tcBorders>
            <w:vAlign w:val="center"/>
            <w:hideMark/>
          </w:tcPr>
          <w:p w14:paraId="394BC614" w14:textId="77777777" w:rsidR="00416D67" w:rsidRPr="00416D67" w:rsidRDefault="00416D67" w:rsidP="00416D67">
            <w:pPr>
              <w:rPr>
                <w:color w:val="000000"/>
                <w:sz w:val="14"/>
                <w:szCs w:val="14"/>
              </w:rPr>
            </w:pPr>
            <w:r w:rsidRPr="00416D67">
              <w:rPr>
                <w:color w:val="000000"/>
                <w:sz w:val="14"/>
                <w:szCs w:val="14"/>
              </w:rPr>
              <w:t>UPRAVNI ODJEL ZA PROSTORNO PLANIRANJE, ZAŠTITU OKOLIŠA, KOMUNALNO GOSPODARSTVO I IZGRADNJU</w:t>
            </w:r>
          </w:p>
        </w:tc>
        <w:tc>
          <w:tcPr>
            <w:tcW w:w="1698" w:type="dxa"/>
            <w:tcBorders>
              <w:top w:val="nil"/>
              <w:left w:val="nil"/>
              <w:bottom w:val="single" w:sz="4" w:space="0" w:color="A6A6A6"/>
              <w:right w:val="single" w:sz="4" w:space="0" w:color="A6A6A6"/>
            </w:tcBorders>
            <w:noWrap/>
            <w:vAlign w:val="center"/>
            <w:hideMark/>
          </w:tcPr>
          <w:p w14:paraId="2AFACF6C" w14:textId="77777777" w:rsidR="00416D67" w:rsidRPr="00416D67" w:rsidRDefault="00416D67" w:rsidP="00416D67">
            <w:pPr>
              <w:jc w:val="right"/>
              <w:rPr>
                <w:color w:val="000000"/>
                <w:sz w:val="14"/>
                <w:szCs w:val="14"/>
              </w:rPr>
            </w:pPr>
            <w:r w:rsidRPr="00416D67">
              <w:rPr>
                <w:color w:val="000000"/>
                <w:sz w:val="14"/>
                <w:szCs w:val="14"/>
              </w:rPr>
              <w:t>2.356.909,24</w:t>
            </w:r>
          </w:p>
        </w:tc>
        <w:tc>
          <w:tcPr>
            <w:tcW w:w="1640" w:type="dxa"/>
            <w:tcBorders>
              <w:top w:val="nil"/>
              <w:left w:val="nil"/>
              <w:bottom w:val="single" w:sz="4" w:space="0" w:color="A6A6A6"/>
              <w:right w:val="single" w:sz="4" w:space="0" w:color="A6A6A6"/>
            </w:tcBorders>
            <w:noWrap/>
            <w:vAlign w:val="center"/>
            <w:hideMark/>
          </w:tcPr>
          <w:p w14:paraId="72F43A1F" w14:textId="77777777" w:rsidR="00416D67" w:rsidRPr="00416D67" w:rsidRDefault="00416D67" w:rsidP="00416D67">
            <w:pPr>
              <w:jc w:val="right"/>
              <w:rPr>
                <w:color w:val="000000"/>
                <w:sz w:val="14"/>
                <w:szCs w:val="14"/>
              </w:rPr>
            </w:pPr>
            <w:r w:rsidRPr="00416D67">
              <w:rPr>
                <w:color w:val="000000"/>
                <w:sz w:val="14"/>
                <w:szCs w:val="14"/>
              </w:rPr>
              <w:t>2.635.012,70</w:t>
            </w:r>
          </w:p>
        </w:tc>
        <w:tc>
          <w:tcPr>
            <w:tcW w:w="1387" w:type="dxa"/>
            <w:tcBorders>
              <w:top w:val="nil"/>
              <w:left w:val="nil"/>
              <w:bottom w:val="single" w:sz="4" w:space="0" w:color="A6A6A6"/>
              <w:right w:val="single" w:sz="4" w:space="0" w:color="A6A6A6"/>
            </w:tcBorders>
            <w:noWrap/>
            <w:vAlign w:val="center"/>
            <w:hideMark/>
          </w:tcPr>
          <w:p w14:paraId="1E66B9F0" w14:textId="77777777" w:rsidR="00416D67" w:rsidRPr="00416D67" w:rsidRDefault="00416D67" w:rsidP="00416D67">
            <w:pPr>
              <w:jc w:val="right"/>
              <w:rPr>
                <w:color w:val="000000"/>
                <w:sz w:val="14"/>
                <w:szCs w:val="14"/>
              </w:rPr>
            </w:pPr>
            <w:r w:rsidRPr="00416D67">
              <w:rPr>
                <w:color w:val="000000"/>
                <w:sz w:val="14"/>
                <w:szCs w:val="14"/>
              </w:rPr>
              <w:t>2.680.537,70</w:t>
            </w:r>
          </w:p>
        </w:tc>
        <w:tc>
          <w:tcPr>
            <w:tcW w:w="1465" w:type="dxa"/>
            <w:tcBorders>
              <w:top w:val="nil"/>
              <w:left w:val="nil"/>
              <w:bottom w:val="single" w:sz="4" w:space="0" w:color="A6A6A6"/>
              <w:right w:val="single" w:sz="4" w:space="0" w:color="A6A6A6"/>
            </w:tcBorders>
            <w:noWrap/>
            <w:vAlign w:val="center"/>
            <w:hideMark/>
          </w:tcPr>
          <w:p w14:paraId="65F7FDA2" w14:textId="77777777" w:rsidR="00416D67" w:rsidRPr="00416D67" w:rsidRDefault="00416D67" w:rsidP="00416D67">
            <w:pPr>
              <w:jc w:val="right"/>
              <w:rPr>
                <w:color w:val="000000"/>
                <w:sz w:val="14"/>
                <w:szCs w:val="14"/>
              </w:rPr>
            </w:pPr>
            <w:r w:rsidRPr="00416D67">
              <w:rPr>
                <w:color w:val="000000"/>
                <w:sz w:val="14"/>
                <w:szCs w:val="14"/>
              </w:rPr>
              <w:t>2.239.567,51</w:t>
            </w:r>
          </w:p>
        </w:tc>
        <w:tc>
          <w:tcPr>
            <w:tcW w:w="1205" w:type="dxa"/>
            <w:tcBorders>
              <w:top w:val="nil"/>
              <w:left w:val="nil"/>
              <w:bottom w:val="single" w:sz="4" w:space="0" w:color="A6A6A6"/>
              <w:right w:val="single" w:sz="4" w:space="0" w:color="A6A6A6"/>
            </w:tcBorders>
            <w:noWrap/>
            <w:vAlign w:val="center"/>
            <w:hideMark/>
          </w:tcPr>
          <w:p w14:paraId="75CA1AB2" w14:textId="77777777" w:rsidR="00416D67" w:rsidRPr="00416D67" w:rsidRDefault="00416D67" w:rsidP="00416D67">
            <w:pPr>
              <w:jc w:val="right"/>
              <w:rPr>
                <w:color w:val="000000"/>
                <w:sz w:val="14"/>
                <w:szCs w:val="14"/>
              </w:rPr>
            </w:pPr>
            <w:r w:rsidRPr="00416D67">
              <w:rPr>
                <w:color w:val="000000"/>
                <w:sz w:val="14"/>
                <w:szCs w:val="14"/>
              </w:rPr>
              <w:t>180,24%</w:t>
            </w:r>
          </w:p>
        </w:tc>
        <w:tc>
          <w:tcPr>
            <w:tcW w:w="1053" w:type="dxa"/>
            <w:tcBorders>
              <w:top w:val="nil"/>
              <w:left w:val="nil"/>
              <w:bottom w:val="single" w:sz="4" w:space="0" w:color="A6A6A6"/>
              <w:right w:val="single" w:sz="4" w:space="0" w:color="A6A6A6"/>
            </w:tcBorders>
            <w:noWrap/>
            <w:vAlign w:val="center"/>
            <w:hideMark/>
          </w:tcPr>
          <w:p w14:paraId="656F1F9D" w14:textId="77777777" w:rsidR="00416D67" w:rsidRPr="00416D67" w:rsidRDefault="00416D67" w:rsidP="00416D67">
            <w:pPr>
              <w:jc w:val="right"/>
              <w:rPr>
                <w:color w:val="000000"/>
                <w:sz w:val="14"/>
                <w:szCs w:val="14"/>
              </w:rPr>
            </w:pPr>
            <w:r w:rsidRPr="00416D67">
              <w:rPr>
                <w:color w:val="000000"/>
                <w:sz w:val="14"/>
                <w:szCs w:val="14"/>
              </w:rPr>
              <w:t>82,82%</w:t>
            </w:r>
          </w:p>
        </w:tc>
      </w:tr>
    </w:tbl>
    <w:p w14:paraId="3042B1F5" w14:textId="77777777" w:rsidR="00416D67" w:rsidRPr="00416D67" w:rsidRDefault="00416D67" w:rsidP="00416D67">
      <w:pPr>
        <w:jc w:val="both"/>
        <w:sectPr w:rsidR="00416D67" w:rsidRPr="00416D67" w:rsidSect="00416D67">
          <w:pgSz w:w="16838" w:h="11906" w:orient="landscape"/>
          <w:pgMar w:top="1418" w:right="1418" w:bottom="1418" w:left="1418" w:header="709" w:footer="709" w:gutter="0"/>
          <w:cols w:space="708"/>
          <w:docGrid w:linePitch="360"/>
        </w:sectPr>
      </w:pPr>
    </w:p>
    <w:p w14:paraId="09B1D1DC" w14:textId="77777777" w:rsidR="00416D67" w:rsidRPr="00416D67" w:rsidRDefault="00416D67" w:rsidP="00416D67">
      <w:pPr>
        <w:jc w:val="both"/>
        <w:rPr>
          <w:b/>
        </w:rPr>
      </w:pPr>
      <w:r w:rsidRPr="00416D67">
        <w:rPr>
          <w:b/>
        </w:rPr>
        <w:lastRenderedPageBreak/>
        <w:t>Izvršenje po programskoj klasifikaciji</w:t>
      </w:r>
    </w:p>
    <w:p w14:paraId="05CC8DD6" w14:textId="77777777" w:rsidR="00416D67" w:rsidRPr="00416D67" w:rsidRDefault="00416D67" w:rsidP="00416D67">
      <w:pPr>
        <w:jc w:val="both"/>
      </w:pPr>
    </w:p>
    <w:tbl>
      <w:tblPr>
        <w:tblW w:w="12920" w:type="dxa"/>
        <w:tblInd w:w="93" w:type="dxa"/>
        <w:tblLook w:val="04A0" w:firstRow="1" w:lastRow="0" w:firstColumn="1" w:lastColumn="0" w:noHBand="0" w:noVBand="1"/>
      </w:tblPr>
      <w:tblGrid>
        <w:gridCol w:w="785"/>
        <w:gridCol w:w="8106"/>
        <w:gridCol w:w="1095"/>
        <w:gridCol w:w="1070"/>
        <w:gridCol w:w="1095"/>
        <w:gridCol w:w="918"/>
      </w:tblGrid>
      <w:tr w:rsidR="00416D67" w:rsidRPr="00416D67" w14:paraId="2330F46E" w14:textId="77777777" w:rsidTr="00BB1392">
        <w:trPr>
          <w:trHeight w:val="28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136A04F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Organizacijska klasifikacija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54D3060"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07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D45B900"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6D724F1"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9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6B119A1"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2025/2024.           (3/2)</w:t>
            </w:r>
          </w:p>
        </w:tc>
      </w:tr>
      <w:tr w:rsidR="00416D67" w:rsidRPr="00416D67" w14:paraId="449C500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281DE99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Izvori</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1E981B15"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4C53AF72"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417E98CF"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30B9025C" w14:textId="77777777" w:rsidR="00416D67" w:rsidRPr="00416D67" w:rsidRDefault="00416D67" w:rsidP="00416D67">
            <w:pPr>
              <w:rPr>
                <w:rFonts w:ascii="Arial" w:hAnsi="Arial" w:cs="Arial"/>
                <w:sz w:val="14"/>
                <w:szCs w:val="14"/>
              </w:rPr>
            </w:pPr>
          </w:p>
        </w:tc>
      </w:tr>
      <w:tr w:rsidR="00416D67" w:rsidRPr="00416D67" w14:paraId="2954B87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000000"/>
            </w:tcBorders>
            <w:shd w:val="clear" w:color="000000" w:fill="D9D9D9"/>
            <w:hideMark/>
          </w:tcPr>
          <w:p w14:paraId="3BB5DBE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Projekt/Aktivnost</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4AC206D5"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108CF206"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0A2D7F17"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0E713D98" w14:textId="77777777" w:rsidR="00416D67" w:rsidRPr="00416D67" w:rsidRDefault="00416D67" w:rsidP="00416D67">
            <w:pPr>
              <w:rPr>
                <w:rFonts w:ascii="Arial" w:hAnsi="Arial" w:cs="Arial"/>
                <w:sz w:val="14"/>
                <w:szCs w:val="14"/>
              </w:rPr>
            </w:pPr>
          </w:p>
        </w:tc>
      </w:tr>
      <w:tr w:rsidR="00416D67" w:rsidRPr="00416D67" w14:paraId="0B058F6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3234F18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VRSTA RASHODA I IZDATAKA</w:t>
            </w:r>
          </w:p>
        </w:tc>
        <w:tc>
          <w:tcPr>
            <w:tcW w:w="1095" w:type="dxa"/>
            <w:tcBorders>
              <w:top w:val="single" w:sz="4" w:space="0" w:color="auto"/>
              <w:left w:val="nil"/>
              <w:bottom w:val="single" w:sz="4" w:space="0" w:color="auto"/>
              <w:right w:val="single" w:sz="4" w:space="0" w:color="auto"/>
            </w:tcBorders>
            <w:shd w:val="clear" w:color="000000" w:fill="D9D9D9"/>
            <w:noWrap/>
            <w:vAlign w:val="bottom"/>
            <w:hideMark/>
          </w:tcPr>
          <w:p w14:paraId="34221159" w14:textId="77777777" w:rsidR="00416D67" w:rsidRPr="00416D67" w:rsidRDefault="00416D67" w:rsidP="00416D67">
            <w:pPr>
              <w:jc w:val="center"/>
              <w:rPr>
                <w:rFonts w:ascii="Arial" w:hAnsi="Arial" w:cs="Arial"/>
                <w:b/>
                <w:bCs/>
                <w:sz w:val="14"/>
                <w:szCs w:val="14"/>
              </w:rPr>
            </w:pPr>
            <w:r w:rsidRPr="00416D67">
              <w:rPr>
                <w:rFonts w:ascii="Arial" w:hAnsi="Arial" w:cs="Arial"/>
                <w:b/>
                <w:bCs/>
                <w:sz w:val="14"/>
                <w:szCs w:val="14"/>
              </w:rPr>
              <w:t>1</w:t>
            </w:r>
          </w:p>
        </w:tc>
        <w:tc>
          <w:tcPr>
            <w:tcW w:w="1070" w:type="dxa"/>
            <w:tcBorders>
              <w:top w:val="single" w:sz="4" w:space="0" w:color="auto"/>
              <w:left w:val="nil"/>
              <w:bottom w:val="single" w:sz="4" w:space="0" w:color="auto"/>
              <w:right w:val="single" w:sz="4" w:space="0" w:color="auto"/>
            </w:tcBorders>
            <w:shd w:val="clear" w:color="000000" w:fill="D9D9D9"/>
            <w:noWrap/>
            <w:vAlign w:val="bottom"/>
            <w:hideMark/>
          </w:tcPr>
          <w:p w14:paraId="1A00463F" w14:textId="77777777" w:rsidR="00416D67" w:rsidRPr="00416D67" w:rsidRDefault="00416D67" w:rsidP="00416D67">
            <w:pPr>
              <w:jc w:val="center"/>
              <w:rPr>
                <w:rFonts w:ascii="Arial" w:hAnsi="Arial" w:cs="Arial"/>
                <w:b/>
                <w:bCs/>
                <w:sz w:val="14"/>
                <w:szCs w:val="14"/>
              </w:rPr>
            </w:pPr>
            <w:r w:rsidRPr="00416D67">
              <w:rPr>
                <w:rFonts w:ascii="Arial" w:hAnsi="Arial" w:cs="Arial"/>
                <w:b/>
                <w:bCs/>
                <w:sz w:val="14"/>
                <w:szCs w:val="14"/>
              </w:rPr>
              <w:t>2</w:t>
            </w:r>
          </w:p>
        </w:tc>
        <w:tc>
          <w:tcPr>
            <w:tcW w:w="1095" w:type="dxa"/>
            <w:tcBorders>
              <w:top w:val="single" w:sz="4" w:space="0" w:color="auto"/>
              <w:left w:val="nil"/>
              <w:bottom w:val="single" w:sz="4" w:space="0" w:color="auto"/>
              <w:right w:val="single" w:sz="4" w:space="0" w:color="auto"/>
            </w:tcBorders>
            <w:shd w:val="clear" w:color="000000" w:fill="D9D9D9"/>
            <w:noWrap/>
            <w:vAlign w:val="bottom"/>
            <w:hideMark/>
          </w:tcPr>
          <w:p w14:paraId="17939A3C" w14:textId="77777777" w:rsidR="00416D67" w:rsidRPr="00416D67" w:rsidRDefault="00416D67" w:rsidP="00416D67">
            <w:pPr>
              <w:jc w:val="center"/>
              <w:rPr>
                <w:rFonts w:ascii="Arial" w:hAnsi="Arial" w:cs="Arial"/>
                <w:b/>
                <w:bCs/>
                <w:sz w:val="14"/>
                <w:szCs w:val="14"/>
              </w:rPr>
            </w:pPr>
            <w:r w:rsidRPr="00416D67">
              <w:rPr>
                <w:rFonts w:ascii="Arial" w:hAnsi="Arial" w:cs="Arial"/>
                <w:b/>
                <w:bCs/>
                <w:sz w:val="14"/>
                <w:szCs w:val="14"/>
              </w:rPr>
              <w:t>3</w:t>
            </w:r>
          </w:p>
        </w:tc>
        <w:tc>
          <w:tcPr>
            <w:tcW w:w="918" w:type="dxa"/>
            <w:tcBorders>
              <w:top w:val="single" w:sz="4" w:space="0" w:color="auto"/>
              <w:left w:val="nil"/>
              <w:bottom w:val="single" w:sz="4" w:space="0" w:color="auto"/>
              <w:right w:val="single" w:sz="4" w:space="0" w:color="auto"/>
            </w:tcBorders>
            <w:shd w:val="clear" w:color="000000" w:fill="D9D9D9"/>
            <w:noWrap/>
            <w:vAlign w:val="bottom"/>
            <w:hideMark/>
          </w:tcPr>
          <w:p w14:paraId="14909DE1" w14:textId="77777777" w:rsidR="00416D67" w:rsidRPr="00416D67" w:rsidRDefault="00416D67" w:rsidP="00416D67">
            <w:pPr>
              <w:jc w:val="center"/>
              <w:rPr>
                <w:rFonts w:ascii="Arial" w:hAnsi="Arial" w:cs="Arial"/>
                <w:b/>
                <w:bCs/>
                <w:sz w:val="14"/>
                <w:szCs w:val="14"/>
              </w:rPr>
            </w:pPr>
            <w:r w:rsidRPr="00416D67">
              <w:rPr>
                <w:rFonts w:ascii="Arial" w:hAnsi="Arial" w:cs="Arial"/>
                <w:b/>
                <w:bCs/>
                <w:sz w:val="14"/>
                <w:szCs w:val="14"/>
              </w:rPr>
              <w:t>4</w:t>
            </w:r>
          </w:p>
        </w:tc>
      </w:tr>
      <w:tr w:rsidR="00416D67" w:rsidRPr="00416D67" w14:paraId="68C789AF"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F5BA4B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UKUPNO RASHODI I IZDATCI</w:t>
            </w:r>
          </w:p>
        </w:tc>
        <w:tc>
          <w:tcPr>
            <w:tcW w:w="1095" w:type="dxa"/>
            <w:tcBorders>
              <w:top w:val="single" w:sz="4" w:space="0" w:color="auto"/>
              <w:left w:val="nil"/>
              <w:bottom w:val="single" w:sz="4" w:space="0" w:color="auto"/>
              <w:right w:val="single" w:sz="4" w:space="0" w:color="auto"/>
            </w:tcBorders>
            <w:shd w:val="clear" w:color="000000" w:fill="C0C0C0"/>
            <w:noWrap/>
            <w:vAlign w:val="bottom"/>
            <w:hideMark/>
          </w:tcPr>
          <w:p w14:paraId="29CA8D5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9.163.800,00</w:t>
            </w:r>
          </w:p>
        </w:tc>
        <w:tc>
          <w:tcPr>
            <w:tcW w:w="1070" w:type="dxa"/>
            <w:tcBorders>
              <w:top w:val="single" w:sz="4" w:space="0" w:color="auto"/>
              <w:left w:val="nil"/>
              <w:bottom w:val="single" w:sz="4" w:space="0" w:color="auto"/>
              <w:right w:val="single" w:sz="4" w:space="0" w:color="auto"/>
            </w:tcBorders>
            <w:shd w:val="clear" w:color="000000" w:fill="C0C0C0"/>
            <w:noWrap/>
            <w:vAlign w:val="bottom"/>
            <w:hideMark/>
          </w:tcPr>
          <w:p w14:paraId="5A9E324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9.163.800,00</w:t>
            </w:r>
          </w:p>
        </w:tc>
        <w:tc>
          <w:tcPr>
            <w:tcW w:w="1095" w:type="dxa"/>
            <w:tcBorders>
              <w:top w:val="single" w:sz="4" w:space="0" w:color="auto"/>
              <w:left w:val="nil"/>
              <w:bottom w:val="single" w:sz="4" w:space="0" w:color="auto"/>
              <w:right w:val="single" w:sz="4" w:space="0" w:color="auto"/>
            </w:tcBorders>
            <w:shd w:val="clear" w:color="000000" w:fill="C0C0C0"/>
            <w:noWrap/>
            <w:vAlign w:val="bottom"/>
            <w:hideMark/>
          </w:tcPr>
          <w:p w14:paraId="01FBB38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6.587.292,79</w:t>
            </w:r>
          </w:p>
        </w:tc>
        <w:tc>
          <w:tcPr>
            <w:tcW w:w="918" w:type="dxa"/>
            <w:tcBorders>
              <w:top w:val="single" w:sz="4" w:space="0" w:color="auto"/>
              <w:left w:val="nil"/>
              <w:bottom w:val="single" w:sz="4" w:space="0" w:color="auto"/>
              <w:right w:val="single" w:sz="4" w:space="0" w:color="auto"/>
            </w:tcBorders>
            <w:shd w:val="clear" w:color="000000" w:fill="C0C0C0"/>
            <w:noWrap/>
            <w:vAlign w:val="bottom"/>
            <w:hideMark/>
          </w:tcPr>
          <w:p w14:paraId="3023CEF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71,88%</w:t>
            </w:r>
          </w:p>
        </w:tc>
      </w:tr>
      <w:tr w:rsidR="00416D67" w:rsidRPr="00416D67" w14:paraId="5C66D79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9F9F90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RAZDJEL 001 PREDSTAVNIČKO TIJELO, IZVRŠNO TIJELO I MJESNA SAMOUPRAVA</w:t>
            </w:r>
          </w:p>
        </w:tc>
        <w:tc>
          <w:tcPr>
            <w:tcW w:w="1095" w:type="dxa"/>
            <w:tcBorders>
              <w:top w:val="single" w:sz="4" w:space="0" w:color="auto"/>
              <w:left w:val="nil"/>
              <w:bottom w:val="single" w:sz="4" w:space="0" w:color="auto"/>
              <w:right w:val="single" w:sz="4" w:space="0" w:color="auto"/>
            </w:tcBorders>
            <w:shd w:val="clear" w:color="000000" w:fill="9999FF"/>
            <w:noWrap/>
            <w:vAlign w:val="bottom"/>
            <w:hideMark/>
          </w:tcPr>
          <w:p w14:paraId="15D293E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186.336,40</w:t>
            </w:r>
          </w:p>
        </w:tc>
        <w:tc>
          <w:tcPr>
            <w:tcW w:w="1070" w:type="dxa"/>
            <w:tcBorders>
              <w:top w:val="single" w:sz="4" w:space="0" w:color="auto"/>
              <w:left w:val="nil"/>
              <w:bottom w:val="single" w:sz="4" w:space="0" w:color="auto"/>
              <w:right w:val="single" w:sz="4" w:space="0" w:color="auto"/>
            </w:tcBorders>
            <w:shd w:val="clear" w:color="000000" w:fill="9999FF"/>
            <w:noWrap/>
            <w:vAlign w:val="bottom"/>
            <w:hideMark/>
          </w:tcPr>
          <w:p w14:paraId="4A81A88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186.336,40</w:t>
            </w:r>
          </w:p>
        </w:tc>
        <w:tc>
          <w:tcPr>
            <w:tcW w:w="1095" w:type="dxa"/>
            <w:tcBorders>
              <w:top w:val="single" w:sz="4" w:space="0" w:color="auto"/>
              <w:left w:val="nil"/>
              <w:bottom w:val="single" w:sz="4" w:space="0" w:color="auto"/>
              <w:right w:val="single" w:sz="4" w:space="0" w:color="auto"/>
            </w:tcBorders>
            <w:shd w:val="clear" w:color="000000" w:fill="9999FF"/>
            <w:noWrap/>
            <w:vAlign w:val="bottom"/>
            <w:hideMark/>
          </w:tcPr>
          <w:p w14:paraId="6B2B8DD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168.457,28</w:t>
            </w:r>
          </w:p>
        </w:tc>
        <w:tc>
          <w:tcPr>
            <w:tcW w:w="918" w:type="dxa"/>
            <w:tcBorders>
              <w:top w:val="single" w:sz="4" w:space="0" w:color="auto"/>
              <w:left w:val="nil"/>
              <w:bottom w:val="single" w:sz="4" w:space="0" w:color="auto"/>
              <w:right w:val="single" w:sz="4" w:space="0" w:color="auto"/>
            </w:tcBorders>
            <w:shd w:val="clear" w:color="000000" w:fill="9999FF"/>
            <w:noWrap/>
            <w:vAlign w:val="bottom"/>
            <w:hideMark/>
          </w:tcPr>
          <w:p w14:paraId="00EE98C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90,40%</w:t>
            </w:r>
          </w:p>
        </w:tc>
      </w:tr>
      <w:tr w:rsidR="00416D67" w:rsidRPr="00416D67" w14:paraId="13351DD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0698D8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GLAVA 00101 OPĆINSKO VIJEĆE I MJESNA SAMOUPRAVA</w:t>
            </w:r>
          </w:p>
        </w:tc>
        <w:tc>
          <w:tcPr>
            <w:tcW w:w="1095" w:type="dxa"/>
            <w:tcBorders>
              <w:top w:val="single" w:sz="4" w:space="0" w:color="auto"/>
              <w:left w:val="nil"/>
              <w:bottom w:val="single" w:sz="4" w:space="0" w:color="auto"/>
              <w:right w:val="single" w:sz="4" w:space="0" w:color="auto"/>
            </w:tcBorders>
            <w:shd w:val="clear" w:color="000000" w:fill="9999FF"/>
            <w:noWrap/>
            <w:vAlign w:val="bottom"/>
            <w:hideMark/>
          </w:tcPr>
          <w:p w14:paraId="1C6758E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102.460,00</w:t>
            </w:r>
          </w:p>
        </w:tc>
        <w:tc>
          <w:tcPr>
            <w:tcW w:w="1070" w:type="dxa"/>
            <w:tcBorders>
              <w:top w:val="single" w:sz="4" w:space="0" w:color="auto"/>
              <w:left w:val="nil"/>
              <w:bottom w:val="single" w:sz="4" w:space="0" w:color="auto"/>
              <w:right w:val="single" w:sz="4" w:space="0" w:color="auto"/>
            </w:tcBorders>
            <w:shd w:val="clear" w:color="000000" w:fill="9999FF"/>
            <w:noWrap/>
            <w:vAlign w:val="bottom"/>
            <w:hideMark/>
          </w:tcPr>
          <w:p w14:paraId="43CA35E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102.460,00</w:t>
            </w:r>
          </w:p>
        </w:tc>
        <w:tc>
          <w:tcPr>
            <w:tcW w:w="1095" w:type="dxa"/>
            <w:tcBorders>
              <w:top w:val="single" w:sz="4" w:space="0" w:color="auto"/>
              <w:left w:val="nil"/>
              <w:bottom w:val="single" w:sz="4" w:space="0" w:color="auto"/>
              <w:right w:val="single" w:sz="4" w:space="0" w:color="auto"/>
            </w:tcBorders>
            <w:shd w:val="clear" w:color="000000" w:fill="9999FF"/>
            <w:noWrap/>
            <w:vAlign w:val="bottom"/>
            <w:hideMark/>
          </w:tcPr>
          <w:p w14:paraId="3F831AF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88.295,54</w:t>
            </w:r>
          </w:p>
        </w:tc>
        <w:tc>
          <w:tcPr>
            <w:tcW w:w="918" w:type="dxa"/>
            <w:tcBorders>
              <w:top w:val="single" w:sz="4" w:space="0" w:color="auto"/>
              <w:left w:val="nil"/>
              <w:bottom w:val="single" w:sz="4" w:space="0" w:color="auto"/>
              <w:right w:val="single" w:sz="4" w:space="0" w:color="auto"/>
            </w:tcBorders>
            <w:shd w:val="clear" w:color="000000" w:fill="9999FF"/>
            <w:noWrap/>
            <w:vAlign w:val="bottom"/>
            <w:hideMark/>
          </w:tcPr>
          <w:p w14:paraId="23AF329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86,18%</w:t>
            </w:r>
          </w:p>
        </w:tc>
      </w:tr>
      <w:tr w:rsidR="00416D67" w:rsidRPr="00416D67" w14:paraId="2EEC17D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C7213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D521FD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91.900,00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29C1B1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91.900,00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9C87D6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72.010,54</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B80954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78,36%</w:t>
            </w:r>
          </w:p>
        </w:tc>
      </w:tr>
      <w:tr w:rsidR="00416D67" w:rsidRPr="00416D67" w14:paraId="1D099FF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5C6D4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ED8F72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91.900,00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48ECCD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91.900,00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55531F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72.010,54</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06BA79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78,36%</w:t>
            </w:r>
          </w:p>
        </w:tc>
      </w:tr>
      <w:tr w:rsidR="00416D67" w:rsidRPr="00416D67" w14:paraId="021E329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54B1C4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 Pomoći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D889D3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10.560,00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D0352F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10.560,00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393AD3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16.285,00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3691A2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154,21%</w:t>
            </w:r>
          </w:p>
        </w:tc>
      </w:tr>
      <w:tr w:rsidR="00416D67" w:rsidRPr="00416D67" w14:paraId="6D30A84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86FF6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5.1.1 Pomoći Istarska županija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500EFA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10.560,00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FF5E2D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10.560,00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70BDC1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16.285,00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D067E8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154,21%</w:t>
            </w:r>
          </w:p>
        </w:tc>
      </w:tr>
      <w:tr w:rsidR="00416D67" w:rsidRPr="00416D67" w14:paraId="46BCDAE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7EB5991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1000</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17BE0E3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Program: Provedba izbora</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7133791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46.445,00</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5EB95AE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46.445,00</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07E0E0A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46.022,89</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5916475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99,09%</w:t>
            </w:r>
          </w:p>
        </w:tc>
      </w:tr>
      <w:tr w:rsidR="00416D67" w:rsidRPr="00416D67" w14:paraId="50B5586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626D67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2AFF5BF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Materijalni troškovi provedbe izbora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17700E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9.485,00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6D6B257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9.485,00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288335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9.433,65</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7E279CB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99,46%</w:t>
            </w:r>
          </w:p>
        </w:tc>
      </w:tr>
      <w:tr w:rsidR="00416D67" w:rsidRPr="00416D67" w14:paraId="3C0DFA3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80D3B90"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EB2DC7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9.485,00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EC1140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9.485,00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029427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9.433,65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9E8338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99,46%</w:t>
            </w:r>
          </w:p>
        </w:tc>
      </w:tr>
      <w:tr w:rsidR="00416D67" w:rsidRPr="00416D67" w14:paraId="7B4BA38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F44FBF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4828FA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9.485,00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FCE464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9.485,00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76BADC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9.433,65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8F6489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99,46%</w:t>
            </w:r>
          </w:p>
        </w:tc>
      </w:tr>
      <w:tr w:rsidR="00416D67" w:rsidRPr="00416D67" w14:paraId="2B6C252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FCCF6E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1529418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6AC2CB2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9.485,00</w:t>
            </w:r>
          </w:p>
        </w:tc>
        <w:tc>
          <w:tcPr>
            <w:tcW w:w="1070" w:type="dxa"/>
            <w:tcBorders>
              <w:top w:val="single" w:sz="4" w:space="0" w:color="auto"/>
              <w:left w:val="nil"/>
              <w:bottom w:val="single" w:sz="4" w:space="0" w:color="auto"/>
              <w:right w:val="single" w:sz="4" w:space="0" w:color="auto"/>
            </w:tcBorders>
            <w:noWrap/>
            <w:vAlign w:val="bottom"/>
            <w:hideMark/>
          </w:tcPr>
          <w:p w14:paraId="4DF96AF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9.485,00</w:t>
            </w:r>
          </w:p>
        </w:tc>
        <w:tc>
          <w:tcPr>
            <w:tcW w:w="1095" w:type="dxa"/>
            <w:tcBorders>
              <w:top w:val="single" w:sz="4" w:space="0" w:color="auto"/>
              <w:left w:val="nil"/>
              <w:bottom w:val="single" w:sz="4" w:space="0" w:color="auto"/>
              <w:right w:val="single" w:sz="4" w:space="0" w:color="auto"/>
            </w:tcBorders>
            <w:noWrap/>
            <w:vAlign w:val="bottom"/>
            <w:hideMark/>
          </w:tcPr>
          <w:p w14:paraId="74897BF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9.433,65</w:t>
            </w:r>
          </w:p>
        </w:tc>
        <w:tc>
          <w:tcPr>
            <w:tcW w:w="918" w:type="dxa"/>
            <w:tcBorders>
              <w:top w:val="single" w:sz="4" w:space="0" w:color="auto"/>
              <w:left w:val="nil"/>
              <w:bottom w:val="single" w:sz="4" w:space="0" w:color="auto"/>
              <w:right w:val="single" w:sz="4" w:space="0" w:color="auto"/>
            </w:tcBorders>
            <w:noWrap/>
            <w:vAlign w:val="bottom"/>
            <w:hideMark/>
          </w:tcPr>
          <w:p w14:paraId="5965A4B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99,46%</w:t>
            </w:r>
          </w:p>
        </w:tc>
      </w:tr>
      <w:tr w:rsidR="00416D67" w:rsidRPr="00416D67" w14:paraId="58CEEB7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ED9C62B" w14:textId="77777777" w:rsidR="00416D67" w:rsidRPr="00416D67" w:rsidRDefault="00416D67" w:rsidP="00416D67">
            <w:pPr>
              <w:rPr>
                <w:rFonts w:ascii="Arial" w:hAnsi="Arial" w:cs="Arial"/>
                <w:sz w:val="14"/>
                <w:szCs w:val="14"/>
              </w:rPr>
            </w:pPr>
            <w:r w:rsidRPr="00416D67">
              <w:rPr>
                <w:rFonts w:ascii="Arial" w:hAnsi="Arial" w:cs="Arial"/>
                <w:sz w:val="14"/>
                <w:szCs w:val="14"/>
              </w:rPr>
              <w:t>3221</w:t>
            </w:r>
          </w:p>
        </w:tc>
        <w:tc>
          <w:tcPr>
            <w:tcW w:w="8106" w:type="dxa"/>
            <w:tcBorders>
              <w:top w:val="single" w:sz="4" w:space="0" w:color="auto"/>
              <w:left w:val="nil"/>
              <w:bottom w:val="single" w:sz="4" w:space="0" w:color="auto"/>
              <w:right w:val="single" w:sz="4" w:space="0" w:color="auto"/>
            </w:tcBorders>
            <w:noWrap/>
            <w:vAlign w:val="bottom"/>
            <w:hideMark/>
          </w:tcPr>
          <w:p w14:paraId="339455A2" w14:textId="77777777" w:rsidR="00416D67" w:rsidRPr="00416D67" w:rsidRDefault="00416D67" w:rsidP="00416D67">
            <w:pPr>
              <w:rPr>
                <w:rFonts w:ascii="Arial" w:hAnsi="Arial" w:cs="Arial"/>
                <w:sz w:val="14"/>
                <w:szCs w:val="14"/>
              </w:rPr>
            </w:pPr>
            <w:r w:rsidRPr="00416D67">
              <w:rPr>
                <w:rFonts w:ascii="Arial" w:hAnsi="Arial" w:cs="Arial"/>
                <w:sz w:val="14"/>
                <w:szCs w:val="14"/>
              </w:rPr>
              <w:t>Uredski materijal i ostali materijalni rashodi</w:t>
            </w:r>
          </w:p>
        </w:tc>
        <w:tc>
          <w:tcPr>
            <w:tcW w:w="1095" w:type="dxa"/>
            <w:tcBorders>
              <w:top w:val="single" w:sz="4" w:space="0" w:color="auto"/>
              <w:left w:val="nil"/>
              <w:bottom w:val="single" w:sz="4" w:space="0" w:color="auto"/>
              <w:right w:val="single" w:sz="4" w:space="0" w:color="auto"/>
            </w:tcBorders>
            <w:noWrap/>
            <w:vAlign w:val="bottom"/>
            <w:hideMark/>
          </w:tcPr>
          <w:p w14:paraId="5CA604F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81A2F4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F94C10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804,15</w:t>
            </w:r>
          </w:p>
        </w:tc>
        <w:tc>
          <w:tcPr>
            <w:tcW w:w="918" w:type="dxa"/>
            <w:tcBorders>
              <w:top w:val="single" w:sz="4" w:space="0" w:color="auto"/>
              <w:left w:val="nil"/>
              <w:bottom w:val="single" w:sz="4" w:space="0" w:color="auto"/>
              <w:right w:val="single" w:sz="4" w:space="0" w:color="auto"/>
            </w:tcBorders>
            <w:noWrap/>
            <w:vAlign w:val="bottom"/>
            <w:hideMark/>
          </w:tcPr>
          <w:p w14:paraId="18BE54F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EAADEA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52B01C1" w14:textId="77777777" w:rsidR="00416D67" w:rsidRPr="00416D67" w:rsidRDefault="00416D67" w:rsidP="00416D67">
            <w:pPr>
              <w:rPr>
                <w:rFonts w:ascii="Arial" w:hAnsi="Arial" w:cs="Arial"/>
                <w:sz w:val="14"/>
                <w:szCs w:val="14"/>
              </w:rPr>
            </w:pPr>
            <w:r w:rsidRPr="00416D67">
              <w:rPr>
                <w:rFonts w:ascii="Arial" w:hAnsi="Arial" w:cs="Arial"/>
                <w:sz w:val="14"/>
                <w:szCs w:val="14"/>
              </w:rPr>
              <w:t>3233</w:t>
            </w:r>
          </w:p>
        </w:tc>
        <w:tc>
          <w:tcPr>
            <w:tcW w:w="8106" w:type="dxa"/>
            <w:tcBorders>
              <w:top w:val="single" w:sz="4" w:space="0" w:color="auto"/>
              <w:left w:val="nil"/>
              <w:bottom w:val="single" w:sz="4" w:space="0" w:color="auto"/>
              <w:right w:val="single" w:sz="4" w:space="0" w:color="auto"/>
            </w:tcBorders>
            <w:noWrap/>
            <w:vAlign w:val="bottom"/>
            <w:hideMark/>
          </w:tcPr>
          <w:p w14:paraId="2DEF0954" w14:textId="77777777" w:rsidR="00416D67" w:rsidRPr="00416D67" w:rsidRDefault="00416D67" w:rsidP="00416D67">
            <w:pPr>
              <w:rPr>
                <w:rFonts w:ascii="Arial" w:hAnsi="Arial" w:cs="Arial"/>
                <w:sz w:val="14"/>
                <w:szCs w:val="14"/>
              </w:rPr>
            </w:pPr>
            <w:r w:rsidRPr="00416D67">
              <w:rPr>
                <w:rFonts w:ascii="Arial" w:hAnsi="Arial" w:cs="Arial"/>
                <w:sz w:val="14"/>
                <w:szCs w:val="14"/>
              </w:rPr>
              <w:t>Usluge promidžbe i informiranja</w:t>
            </w:r>
          </w:p>
        </w:tc>
        <w:tc>
          <w:tcPr>
            <w:tcW w:w="1095" w:type="dxa"/>
            <w:tcBorders>
              <w:top w:val="single" w:sz="4" w:space="0" w:color="auto"/>
              <w:left w:val="nil"/>
              <w:bottom w:val="single" w:sz="4" w:space="0" w:color="auto"/>
              <w:right w:val="single" w:sz="4" w:space="0" w:color="auto"/>
            </w:tcBorders>
            <w:noWrap/>
            <w:vAlign w:val="bottom"/>
            <w:hideMark/>
          </w:tcPr>
          <w:p w14:paraId="4645A88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95FABD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650650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7.872,10</w:t>
            </w:r>
          </w:p>
        </w:tc>
        <w:tc>
          <w:tcPr>
            <w:tcW w:w="918" w:type="dxa"/>
            <w:tcBorders>
              <w:top w:val="single" w:sz="4" w:space="0" w:color="auto"/>
              <w:left w:val="nil"/>
              <w:bottom w:val="single" w:sz="4" w:space="0" w:color="auto"/>
              <w:right w:val="single" w:sz="4" w:space="0" w:color="auto"/>
            </w:tcBorders>
            <w:noWrap/>
            <w:vAlign w:val="bottom"/>
            <w:hideMark/>
          </w:tcPr>
          <w:p w14:paraId="35404BD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BB4EF1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C2BD107" w14:textId="77777777" w:rsidR="00416D67" w:rsidRPr="00416D67" w:rsidRDefault="00416D67" w:rsidP="00416D67">
            <w:pPr>
              <w:rPr>
                <w:rFonts w:ascii="Arial" w:hAnsi="Arial" w:cs="Arial"/>
                <w:sz w:val="14"/>
                <w:szCs w:val="14"/>
              </w:rPr>
            </w:pPr>
            <w:r w:rsidRPr="00416D67">
              <w:rPr>
                <w:rFonts w:ascii="Arial" w:hAnsi="Arial" w:cs="Arial"/>
                <w:sz w:val="14"/>
                <w:szCs w:val="14"/>
              </w:rPr>
              <w:t>3293</w:t>
            </w:r>
          </w:p>
        </w:tc>
        <w:tc>
          <w:tcPr>
            <w:tcW w:w="8106" w:type="dxa"/>
            <w:tcBorders>
              <w:top w:val="single" w:sz="4" w:space="0" w:color="auto"/>
              <w:left w:val="nil"/>
              <w:bottom w:val="single" w:sz="4" w:space="0" w:color="auto"/>
              <w:right w:val="single" w:sz="4" w:space="0" w:color="auto"/>
            </w:tcBorders>
            <w:noWrap/>
            <w:vAlign w:val="bottom"/>
            <w:hideMark/>
          </w:tcPr>
          <w:p w14:paraId="37FEF434" w14:textId="77777777" w:rsidR="00416D67" w:rsidRPr="00416D67" w:rsidRDefault="00416D67" w:rsidP="00416D67">
            <w:pPr>
              <w:rPr>
                <w:rFonts w:ascii="Arial" w:hAnsi="Arial" w:cs="Arial"/>
                <w:sz w:val="14"/>
                <w:szCs w:val="14"/>
              </w:rPr>
            </w:pPr>
            <w:r w:rsidRPr="00416D67">
              <w:rPr>
                <w:rFonts w:ascii="Arial" w:hAnsi="Arial" w:cs="Arial"/>
                <w:sz w:val="14"/>
                <w:szCs w:val="14"/>
              </w:rPr>
              <w:t>Reprezentacija</w:t>
            </w:r>
          </w:p>
        </w:tc>
        <w:tc>
          <w:tcPr>
            <w:tcW w:w="1095" w:type="dxa"/>
            <w:tcBorders>
              <w:top w:val="single" w:sz="4" w:space="0" w:color="auto"/>
              <w:left w:val="nil"/>
              <w:bottom w:val="single" w:sz="4" w:space="0" w:color="auto"/>
              <w:right w:val="single" w:sz="4" w:space="0" w:color="auto"/>
            </w:tcBorders>
            <w:noWrap/>
            <w:vAlign w:val="bottom"/>
            <w:hideMark/>
          </w:tcPr>
          <w:p w14:paraId="4AEB2FB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B91EAC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7E98F3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757,40</w:t>
            </w:r>
          </w:p>
        </w:tc>
        <w:tc>
          <w:tcPr>
            <w:tcW w:w="918" w:type="dxa"/>
            <w:tcBorders>
              <w:top w:val="single" w:sz="4" w:space="0" w:color="auto"/>
              <w:left w:val="nil"/>
              <w:bottom w:val="single" w:sz="4" w:space="0" w:color="auto"/>
              <w:right w:val="single" w:sz="4" w:space="0" w:color="auto"/>
            </w:tcBorders>
            <w:noWrap/>
            <w:vAlign w:val="bottom"/>
            <w:hideMark/>
          </w:tcPr>
          <w:p w14:paraId="06281B8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3769AB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746535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A100002</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5FF95EE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Naknade troškova izbornog povjerenstva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CBB3D8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32.760,00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3633596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32.760,00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AFA833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32.692,74</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2789906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99,79%</w:t>
            </w:r>
          </w:p>
        </w:tc>
      </w:tr>
      <w:tr w:rsidR="00416D67" w:rsidRPr="00416D67" w14:paraId="20A1B26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81A0E4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AA2DC0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22.200,00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4DF429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22.200,00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40AA37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16.407,74</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72D51A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73,91%</w:t>
            </w:r>
          </w:p>
        </w:tc>
      </w:tr>
      <w:tr w:rsidR="00416D67" w:rsidRPr="00416D67" w14:paraId="14133E0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4611A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921082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22.200,00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342354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22.200,00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E03BE4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16.407,74</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0A7E54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73,91%</w:t>
            </w:r>
          </w:p>
        </w:tc>
      </w:tr>
      <w:tr w:rsidR="00416D67" w:rsidRPr="00416D67" w14:paraId="24693F4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13EF0E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26AC926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4579540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22.200,00</w:t>
            </w:r>
          </w:p>
        </w:tc>
        <w:tc>
          <w:tcPr>
            <w:tcW w:w="1070" w:type="dxa"/>
            <w:tcBorders>
              <w:top w:val="single" w:sz="4" w:space="0" w:color="auto"/>
              <w:left w:val="nil"/>
              <w:bottom w:val="single" w:sz="4" w:space="0" w:color="auto"/>
              <w:right w:val="single" w:sz="4" w:space="0" w:color="auto"/>
            </w:tcBorders>
            <w:noWrap/>
            <w:vAlign w:val="bottom"/>
            <w:hideMark/>
          </w:tcPr>
          <w:p w14:paraId="5A989B5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22.200,00</w:t>
            </w:r>
          </w:p>
        </w:tc>
        <w:tc>
          <w:tcPr>
            <w:tcW w:w="1095" w:type="dxa"/>
            <w:tcBorders>
              <w:top w:val="single" w:sz="4" w:space="0" w:color="auto"/>
              <w:left w:val="nil"/>
              <w:bottom w:val="single" w:sz="4" w:space="0" w:color="auto"/>
              <w:right w:val="single" w:sz="4" w:space="0" w:color="auto"/>
            </w:tcBorders>
            <w:noWrap/>
            <w:vAlign w:val="bottom"/>
            <w:hideMark/>
          </w:tcPr>
          <w:p w14:paraId="2B8CC89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16.407,74</w:t>
            </w:r>
          </w:p>
        </w:tc>
        <w:tc>
          <w:tcPr>
            <w:tcW w:w="918" w:type="dxa"/>
            <w:tcBorders>
              <w:top w:val="single" w:sz="4" w:space="0" w:color="auto"/>
              <w:left w:val="nil"/>
              <w:bottom w:val="single" w:sz="4" w:space="0" w:color="auto"/>
              <w:right w:val="single" w:sz="4" w:space="0" w:color="auto"/>
            </w:tcBorders>
            <w:noWrap/>
            <w:vAlign w:val="bottom"/>
            <w:hideMark/>
          </w:tcPr>
          <w:p w14:paraId="52F88DE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73,91%</w:t>
            </w:r>
          </w:p>
        </w:tc>
      </w:tr>
      <w:tr w:rsidR="00416D67" w:rsidRPr="00416D67" w14:paraId="4D2A266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4AD1E2B" w14:textId="77777777" w:rsidR="00416D67" w:rsidRPr="00416D67" w:rsidRDefault="00416D67" w:rsidP="00416D67">
            <w:pPr>
              <w:rPr>
                <w:rFonts w:ascii="Arial" w:hAnsi="Arial" w:cs="Arial"/>
                <w:sz w:val="14"/>
                <w:szCs w:val="14"/>
              </w:rPr>
            </w:pPr>
            <w:r w:rsidRPr="00416D67">
              <w:rPr>
                <w:rFonts w:ascii="Arial" w:hAnsi="Arial" w:cs="Arial"/>
                <w:sz w:val="14"/>
                <w:szCs w:val="14"/>
              </w:rPr>
              <w:t>3291</w:t>
            </w:r>
          </w:p>
        </w:tc>
        <w:tc>
          <w:tcPr>
            <w:tcW w:w="8106" w:type="dxa"/>
            <w:tcBorders>
              <w:top w:val="single" w:sz="4" w:space="0" w:color="auto"/>
              <w:left w:val="nil"/>
              <w:bottom w:val="single" w:sz="4" w:space="0" w:color="auto"/>
              <w:right w:val="single" w:sz="4" w:space="0" w:color="auto"/>
            </w:tcBorders>
            <w:noWrap/>
            <w:vAlign w:val="bottom"/>
            <w:hideMark/>
          </w:tcPr>
          <w:p w14:paraId="306B4B3D" w14:textId="77777777" w:rsidR="00416D67" w:rsidRPr="00416D67" w:rsidRDefault="00416D67" w:rsidP="00416D67">
            <w:pPr>
              <w:rPr>
                <w:rFonts w:ascii="Arial" w:hAnsi="Arial" w:cs="Arial"/>
                <w:sz w:val="14"/>
                <w:szCs w:val="14"/>
              </w:rPr>
            </w:pPr>
            <w:r w:rsidRPr="00416D67">
              <w:rPr>
                <w:rFonts w:ascii="Arial" w:hAnsi="Arial" w:cs="Arial"/>
                <w:sz w:val="14"/>
                <w:szCs w:val="14"/>
              </w:rPr>
              <w:t>Naknade za rad predstavničkih i izvršnih tijela, povjerenstava i slično</w:t>
            </w:r>
          </w:p>
        </w:tc>
        <w:tc>
          <w:tcPr>
            <w:tcW w:w="1095" w:type="dxa"/>
            <w:tcBorders>
              <w:top w:val="single" w:sz="4" w:space="0" w:color="auto"/>
              <w:left w:val="nil"/>
              <w:bottom w:val="single" w:sz="4" w:space="0" w:color="auto"/>
              <w:right w:val="single" w:sz="4" w:space="0" w:color="auto"/>
            </w:tcBorders>
            <w:noWrap/>
            <w:vAlign w:val="bottom"/>
            <w:hideMark/>
          </w:tcPr>
          <w:p w14:paraId="1F32212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12DAAC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FFD928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16.407,74</w:t>
            </w:r>
          </w:p>
        </w:tc>
        <w:tc>
          <w:tcPr>
            <w:tcW w:w="918" w:type="dxa"/>
            <w:tcBorders>
              <w:top w:val="single" w:sz="4" w:space="0" w:color="auto"/>
              <w:left w:val="nil"/>
              <w:bottom w:val="single" w:sz="4" w:space="0" w:color="auto"/>
              <w:right w:val="single" w:sz="4" w:space="0" w:color="auto"/>
            </w:tcBorders>
            <w:noWrap/>
            <w:vAlign w:val="bottom"/>
            <w:hideMark/>
          </w:tcPr>
          <w:p w14:paraId="2DEBE12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987F98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51134C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 Pomoći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023C3C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10.560,00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71AE70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10.560,00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E1D34A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16.285,00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178FCD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154,21%</w:t>
            </w:r>
          </w:p>
        </w:tc>
      </w:tr>
      <w:tr w:rsidR="00416D67" w:rsidRPr="00416D67" w14:paraId="7BB0303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07D7A5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5.1.1 Pomoći Istarska županija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8CAC14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10.560,00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565409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10.560,00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86C55D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16.285,00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F27248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154,21%</w:t>
            </w:r>
          </w:p>
        </w:tc>
      </w:tr>
      <w:tr w:rsidR="00416D67" w:rsidRPr="00416D67" w14:paraId="74DA3D7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135C50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76D3A54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3078A6E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10.560,00</w:t>
            </w:r>
          </w:p>
        </w:tc>
        <w:tc>
          <w:tcPr>
            <w:tcW w:w="1070" w:type="dxa"/>
            <w:tcBorders>
              <w:top w:val="single" w:sz="4" w:space="0" w:color="auto"/>
              <w:left w:val="nil"/>
              <w:bottom w:val="single" w:sz="4" w:space="0" w:color="auto"/>
              <w:right w:val="single" w:sz="4" w:space="0" w:color="auto"/>
            </w:tcBorders>
            <w:noWrap/>
            <w:vAlign w:val="bottom"/>
            <w:hideMark/>
          </w:tcPr>
          <w:p w14:paraId="1FA7CD8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10.560,00</w:t>
            </w:r>
          </w:p>
        </w:tc>
        <w:tc>
          <w:tcPr>
            <w:tcW w:w="1095" w:type="dxa"/>
            <w:tcBorders>
              <w:top w:val="single" w:sz="4" w:space="0" w:color="auto"/>
              <w:left w:val="nil"/>
              <w:bottom w:val="single" w:sz="4" w:space="0" w:color="auto"/>
              <w:right w:val="single" w:sz="4" w:space="0" w:color="auto"/>
            </w:tcBorders>
            <w:noWrap/>
            <w:vAlign w:val="bottom"/>
            <w:hideMark/>
          </w:tcPr>
          <w:p w14:paraId="038567B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16.285,00</w:t>
            </w:r>
          </w:p>
        </w:tc>
        <w:tc>
          <w:tcPr>
            <w:tcW w:w="918" w:type="dxa"/>
            <w:tcBorders>
              <w:top w:val="single" w:sz="4" w:space="0" w:color="auto"/>
              <w:left w:val="nil"/>
              <w:bottom w:val="single" w:sz="4" w:space="0" w:color="auto"/>
              <w:right w:val="single" w:sz="4" w:space="0" w:color="auto"/>
            </w:tcBorders>
            <w:noWrap/>
            <w:vAlign w:val="bottom"/>
            <w:hideMark/>
          </w:tcPr>
          <w:p w14:paraId="2FE810D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154,21%</w:t>
            </w:r>
          </w:p>
        </w:tc>
      </w:tr>
      <w:tr w:rsidR="00416D67" w:rsidRPr="00416D67" w14:paraId="718A209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3754E74" w14:textId="77777777" w:rsidR="00416D67" w:rsidRPr="00416D67" w:rsidRDefault="00416D67" w:rsidP="00416D67">
            <w:pPr>
              <w:rPr>
                <w:rFonts w:ascii="Arial" w:hAnsi="Arial" w:cs="Arial"/>
                <w:sz w:val="14"/>
                <w:szCs w:val="14"/>
              </w:rPr>
            </w:pPr>
            <w:r w:rsidRPr="00416D67">
              <w:rPr>
                <w:rFonts w:ascii="Arial" w:hAnsi="Arial" w:cs="Arial"/>
                <w:sz w:val="14"/>
                <w:szCs w:val="14"/>
              </w:rPr>
              <w:t>3291</w:t>
            </w:r>
          </w:p>
        </w:tc>
        <w:tc>
          <w:tcPr>
            <w:tcW w:w="8106" w:type="dxa"/>
            <w:tcBorders>
              <w:top w:val="single" w:sz="4" w:space="0" w:color="auto"/>
              <w:left w:val="nil"/>
              <w:bottom w:val="single" w:sz="4" w:space="0" w:color="auto"/>
              <w:right w:val="single" w:sz="4" w:space="0" w:color="auto"/>
            </w:tcBorders>
            <w:noWrap/>
            <w:vAlign w:val="bottom"/>
            <w:hideMark/>
          </w:tcPr>
          <w:p w14:paraId="764FAFF3" w14:textId="77777777" w:rsidR="00416D67" w:rsidRPr="00416D67" w:rsidRDefault="00416D67" w:rsidP="00416D67">
            <w:pPr>
              <w:rPr>
                <w:rFonts w:ascii="Arial" w:hAnsi="Arial" w:cs="Arial"/>
                <w:sz w:val="14"/>
                <w:szCs w:val="14"/>
              </w:rPr>
            </w:pPr>
            <w:r w:rsidRPr="00416D67">
              <w:rPr>
                <w:rFonts w:ascii="Arial" w:hAnsi="Arial" w:cs="Arial"/>
                <w:sz w:val="14"/>
                <w:szCs w:val="14"/>
              </w:rPr>
              <w:t>Naknade za rad predstavničkih i izvršnih tijela, povjerenstava i slično</w:t>
            </w:r>
          </w:p>
        </w:tc>
        <w:tc>
          <w:tcPr>
            <w:tcW w:w="1095" w:type="dxa"/>
            <w:tcBorders>
              <w:top w:val="single" w:sz="4" w:space="0" w:color="auto"/>
              <w:left w:val="nil"/>
              <w:bottom w:val="single" w:sz="4" w:space="0" w:color="auto"/>
              <w:right w:val="single" w:sz="4" w:space="0" w:color="auto"/>
            </w:tcBorders>
            <w:noWrap/>
            <w:vAlign w:val="bottom"/>
            <w:hideMark/>
          </w:tcPr>
          <w:p w14:paraId="6A1DE83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861CE2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B2EC85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16.285,00</w:t>
            </w:r>
          </w:p>
        </w:tc>
        <w:tc>
          <w:tcPr>
            <w:tcW w:w="918" w:type="dxa"/>
            <w:tcBorders>
              <w:top w:val="single" w:sz="4" w:space="0" w:color="auto"/>
              <w:left w:val="nil"/>
              <w:bottom w:val="single" w:sz="4" w:space="0" w:color="auto"/>
              <w:right w:val="single" w:sz="4" w:space="0" w:color="auto"/>
            </w:tcBorders>
            <w:noWrap/>
            <w:vAlign w:val="bottom"/>
            <w:hideMark/>
          </w:tcPr>
          <w:p w14:paraId="4CC9B74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C0B20D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B1171A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A100003</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47433A3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Naknada troškova izborne promidžbe za Općinsko vijeće</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91C27B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482B8C7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9B9737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1.192,27</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6A90B20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99,36%</w:t>
            </w:r>
          </w:p>
        </w:tc>
      </w:tr>
      <w:tr w:rsidR="00416D67" w:rsidRPr="00416D67" w14:paraId="3D5C029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F7D7EE"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C23C10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2B0A47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DA19C2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1.192,27</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BEF7B5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99,36%</w:t>
            </w:r>
          </w:p>
        </w:tc>
      </w:tr>
      <w:tr w:rsidR="00416D67" w:rsidRPr="00416D67" w14:paraId="2899067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DDD0F7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4A7E8B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897275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9CE233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1.192,27</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42A5F5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99,36%</w:t>
            </w:r>
          </w:p>
        </w:tc>
      </w:tr>
      <w:tr w:rsidR="00416D67" w:rsidRPr="00416D67" w14:paraId="6A1F006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19AE0D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7DB0ACD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7DE37CE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1.200,00</w:t>
            </w:r>
          </w:p>
        </w:tc>
        <w:tc>
          <w:tcPr>
            <w:tcW w:w="1070" w:type="dxa"/>
            <w:tcBorders>
              <w:top w:val="single" w:sz="4" w:space="0" w:color="auto"/>
              <w:left w:val="nil"/>
              <w:bottom w:val="single" w:sz="4" w:space="0" w:color="auto"/>
              <w:right w:val="single" w:sz="4" w:space="0" w:color="auto"/>
            </w:tcBorders>
            <w:noWrap/>
            <w:vAlign w:val="bottom"/>
            <w:hideMark/>
          </w:tcPr>
          <w:p w14:paraId="1B3CCBF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1.200,00</w:t>
            </w:r>
          </w:p>
        </w:tc>
        <w:tc>
          <w:tcPr>
            <w:tcW w:w="1095" w:type="dxa"/>
            <w:tcBorders>
              <w:top w:val="single" w:sz="4" w:space="0" w:color="auto"/>
              <w:left w:val="nil"/>
              <w:bottom w:val="single" w:sz="4" w:space="0" w:color="auto"/>
              <w:right w:val="single" w:sz="4" w:space="0" w:color="auto"/>
            </w:tcBorders>
            <w:noWrap/>
            <w:vAlign w:val="bottom"/>
            <w:hideMark/>
          </w:tcPr>
          <w:p w14:paraId="0668C4C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1.192,27</w:t>
            </w:r>
          </w:p>
        </w:tc>
        <w:tc>
          <w:tcPr>
            <w:tcW w:w="918" w:type="dxa"/>
            <w:tcBorders>
              <w:top w:val="single" w:sz="4" w:space="0" w:color="auto"/>
              <w:left w:val="nil"/>
              <w:bottom w:val="single" w:sz="4" w:space="0" w:color="auto"/>
              <w:right w:val="single" w:sz="4" w:space="0" w:color="auto"/>
            </w:tcBorders>
            <w:noWrap/>
            <w:vAlign w:val="bottom"/>
            <w:hideMark/>
          </w:tcPr>
          <w:p w14:paraId="7C51D32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99,36%</w:t>
            </w:r>
          </w:p>
        </w:tc>
      </w:tr>
      <w:tr w:rsidR="00416D67" w:rsidRPr="00416D67" w14:paraId="40C4DEF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25F128F" w14:textId="77777777" w:rsidR="00416D67" w:rsidRPr="00416D67" w:rsidRDefault="00416D67" w:rsidP="00416D67">
            <w:pPr>
              <w:rPr>
                <w:rFonts w:ascii="Arial" w:hAnsi="Arial" w:cs="Arial"/>
                <w:sz w:val="14"/>
                <w:szCs w:val="14"/>
              </w:rPr>
            </w:pPr>
            <w:r w:rsidRPr="00416D67">
              <w:rPr>
                <w:rFonts w:ascii="Arial" w:hAnsi="Arial" w:cs="Arial"/>
                <w:sz w:val="14"/>
                <w:szCs w:val="14"/>
              </w:rPr>
              <w:t>3811</w:t>
            </w:r>
          </w:p>
        </w:tc>
        <w:tc>
          <w:tcPr>
            <w:tcW w:w="8106" w:type="dxa"/>
            <w:tcBorders>
              <w:top w:val="single" w:sz="4" w:space="0" w:color="auto"/>
              <w:left w:val="nil"/>
              <w:bottom w:val="single" w:sz="4" w:space="0" w:color="auto"/>
              <w:right w:val="single" w:sz="4" w:space="0" w:color="auto"/>
            </w:tcBorders>
            <w:noWrap/>
            <w:vAlign w:val="bottom"/>
            <w:hideMark/>
          </w:tcPr>
          <w:p w14:paraId="5457D90E" w14:textId="77777777" w:rsidR="00416D67" w:rsidRPr="00416D67" w:rsidRDefault="00416D67" w:rsidP="00416D67">
            <w:pPr>
              <w:rPr>
                <w:rFonts w:ascii="Arial" w:hAnsi="Arial" w:cs="Arial"/>
                <w:sz w:val="14"/>
                <w:szCs w:val="14"/>
              </w:rPr>
            </w:pPr>
            <w:r w:rsidRPr="00416D67">
              <w:rPr>
                <w:rFonts w:ascii="Arial" w:hAnsi="Arial" w:cs="Arial"/>
                <w:sz w:val="14"/>
                <w:szCs w:val="14"/>
              </w:rPr>
              <w:t>Tekuće donacije u novcu</w:t>
            </w:r>
          </w:p>
        </w:tc>
        <w:tc>
          <w:tcPr>
            <w:tcW w:w="1095" w:type="dxa"/>
            <w:tcBorders>
              <w:top w:val="single" w:sz="4" w:space="0" w:color="auto"/>
              <w:left w:val="nil"/>
              <w:bottom w:val="single" w:sz="4" w:space="0" w:color="auto"/>
              <w:right w:val="single" w:sz="4" w:space="0" w:color="auto"/>
            </w:tcBorders>
            <w:noWrap/>
            <w:vAlign w:val="bottom"/>
            <w:hideMark/>
          </w:tcPr>
          <w:p w14:paraId="492ED78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250E85D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932883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1.192,27</w:t>
            </w:r>
          </w:p>
        </w:tc>
        <w:tc>
          <w:tcPr>
            <w:tcW w:w="918" w:type="dxa"/>
            <w:tcBorders>
              <w:top w:val="single" w:sz="4" w:space="0" w:color="auto"/>
              <w:left w:val="nil"/>
              <w:bottom w:val="single" w:sz="4" w:space="0" w:color="auto"/>
              <w:right w:val="single" w:sz="4" w:space="0" w:color="auto"/>
            </w:tcBorders>
            <w:noWrap/>
            <w:vAlign w:val="bottom"/>
            <w:hideMark/>
          </w:tcPr>
          <w:p w14:paraId="62A0756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46B515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BA973F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A100004</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0ED23E8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Naknada troškova izborne promidžbe za općinskog Načelnika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2B536D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6D062E6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12FCE4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2.704,23</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4209937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90,14%</w:t>
            </w:r>
          </w:p>
        </w:tc>
      </w:tr>
      <w:tr w:rsidR="00416D67" w:rsidRPr="00416D67" w14:paraId="38AE8A2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41C3BE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A335A8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F248A5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7DC064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2.704,23</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EE956A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90,14%</w:t>
            </w:r>
          </w:p>
        </w:tc>
      </w:tr>
      <w:tr w:rsidR="00416D67" w:rsidRPr="00416D67" w14:paraId="02A240F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AF7D90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14EDFD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9ED978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ADA721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2.704,23</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9573BE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90,14%</w:t>
            </w:r>
          </w:p>
        </w:tc>
      </w:tr>
      <w:tr w:rsidR="00416D67" w:rsidRPr="00416D67" w14:paraId="7309870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5A3567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0637F98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2C6D988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3.000,00</w:t>
            </w:r>
          </w:p>
        </w:tc>
        <w:tc>
          <w:tcPr>
            <w:tcW w:w="1070" w:type="dxa"/>
            <w:tcBorders>
              <w:top w:val="single" w:sz="4" w:space="0" w:color="auto"/>
              <w:left w:val="nil"/>
              <w:bottom w:val="single" w:sz="4" w:space="0" w:color="auto"/>
              <w:right w:val="single" w:sz="4" w:space="0" w:color="auto"/>
            </w:tcBorders>
            <w:noWrap/>
            <w:vAlign w:val="bottom"/>
            <w:hideMark/>
          </w:tcPr>
          <w:p w14:paraId="038121A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3.000,00</w:t>
            </w:r>
          </w:p>
        </w:tc>
        <w:tc>
          <w:tcPr>
            <w:tcW w:w="1095" w:type="dxa"/>
            <w:tcBorders>
              <w:top w:val="single" w:sz="4" w:space="0" w:color="auto"/>
              <w:left w:val="nil"/>
              <w:bottom w:val="single" w:sz="4" w:space="0" w:color="auto"/>
              <w:right w:val="single" w:sz="4" w:space="0" w:color="auto"/>
            </w:tcBorders>
            <w:noWrap/>
            <w:vAlign w:val="bottom"/>
            <w:hideMark/>
          </w:tcPr>
          <w:p w14:paraId="0BF4B66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2.704,23</w:t>
            </w:r>
          </w:p>
        </w:tc>
        <w:tc>
          <w:tcPr>
            <w:tcW w:w="918" w:type="dxa"/>
            <w:tcBorders>
              <w:top w:val="single" w:sz="4" w:space="0" w:color="auto"/>
              <w:left w:val="nil"/>
              <w:bottom w:val="single" w:sz="4" w:space="0" w:color="auto"/>
              <w:right w:val="single" w:sz="4" w:space="0" w:color="auto"/>
            </w:tcBorders>
            <w:noWrap/>
            <w:vAlign w:val="bottom"/>
            <w:hideMark/>
          </w:tcPr>
          <w:p w14:paraId="4606196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90,14%</w:t>
            </w:r>
          </w:p>
        </w:tc>
      </w:tr>
      <w:tr w:rsidR="00416D67" w:rsidRPr="00416D67" w14:paraId="72E742E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F8D954B" w14:textId="77777777" w:rsidR="00416D67" w:rsidRPr="00416D67" w:rsidRDefault="00416D67" w:rsidP="00416D67">
            <w:pPr>
              <w:rPr>
                <w:rFonts w:ascii="Arial" w:hAnsi="Arial" w:cs="Arial"/>
                <w:sz w:val="14"/>
                <w:szCs w:val="14"/>
              </w:rPr>
            </w:pPr>
            <w:r w:rsidRPr="00416D67">
              <w:rPr>
                <w:rFonts w:ascii="Arial" w:hAnsi="Arial" w:cs="Arial"/>
                <w:sz w:val="14"/>
                <w:szCs w:val="14"/>
              </w:rPr>
              <w:t>3811</w:t>
            </w:r>
          </w:p>
        </w:tc>
        <w:tc>
          <w:tcPr>
            <w:tcW w:w="8106" w:type="dxa"/>
            <w:tcBorders>
              <w:top w:val="single" w:sz="4" w:space="0" w:color="auto"/>
              <w:left w:val="nil"/>
              <w:bottom w:val="single" w:sz="4" w:space="0" w:color="auto"/>
              <w:right w:val="single" w:sz="4" w:space="0" w:color="auto"/>
            </w:tcBorders>
            <w:noWrap/>
            <w:vAlign w:val="bottom"/>
            <w:hideMark/>
          </w:tcPr>
          <w:p w14:paraId="05A54D5E" w14:textId="77777777" w:rsidR="00416D67" w:rsidRPr="00416D67" w:rsidRDefault="00416D67" w:rsidP="00416D67">
            <w:pPr>
              <w:rPr>
                <w:rFonts w:ascii="Arial" w:hAnsi="Arial" w:cs="Arial"/>
                <w:sz w:val="14"/>
                <w:szCs w:val="14"/>
              </w:rPr>
            </w:pPr>
            <w:r w:rsidRPr="00416D67">
              <w:rPr>
                <w:rFonts w:ascii="Arial" w:hAnsi="Arial" w:cs="Arial"/>
                <w:sz w:val="14"/>
                <w:szCs w:val="14"/>
              </w:rPr>
              <w:t>Tekuće donacije u novcu</w:t>
            </w:r>
          </w:p>
        </w:tc>
        <w:tc>
          <w:tcPr>
            <w:tcW w:w="1095" w:type="dxa"/>
            <w:tcBorders>
              <w:top w:val="single" w:sz="4" w:space="0" w:color="auto"/>
              <w:left w:val="nil"/>
              <w:bottom w:val="single" w:sz="4" w:space="0" w:color="auto"/>
              <w:right w:val="single" w:sz="4" w:space="0" w:color="auto"/>
            </w:tcBorders>
            <w:noWrap/>
            <w:vAlign w:val="bottom"/>
            <w:hideMark/>
          </w:tcPr>
          <w:p w14:paraId="3195D0F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B7D4D1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1037D9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2.704,23</w:t>
            </w:r>
          </w:p>
        </w:tc>
        <w:tc>
          <w:tcPr>
            <w:tcW w:w="918" w:type="dxa"/>
            <w:tcBorders>
              <w:top w:val="single" w:sz="4" w:space="0" w:color="auto"/>
              <w:left w:val="nil"/>
              <w:bottom w:val="single" w:sz="4" w:space="0" w:color="auto"/>
              <w:right w:val="single" w:sz="4" w:space="0" w:color="auto"/>
            </w:tcBorders>
            <w:noWrap/>
            <w:vAlign w:val="bottom"/>
            <w:hideMark/>
          </w:tcPr>
          <w:p w14:paraId="2DF6DF7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173D588" w14:textId="77777777" w:rsidTr="00BB1392">
        <w:trPr>
          <w:trHeight w:val="28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2CFD6E2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Organizacijska klasifikacija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176D16A"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07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64C98CA"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38E4997"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9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4A9CEEA"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2025/2024.           (3/2)</w:t>
            </w:r>
          </w:p>
        </w:tc>
      </w:tr>
      <w:tr w:rsidR="00416D67" w:rsidRPr="00416D67" w14:paraId="3F5FD07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23D372D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Izvori</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01E85614"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493AFFCD"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777440B3"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41E31314" w14:textId="77777777" w:rsidR="00416D67" w:rsidRPr="00416D67" w:rsidRDefault="00416D67" w:rsidP="00416D67">
            <w:pPr>
              <w:rPr>
                <w:rFonts w:ascii="Arial" w:hAnsi="Arial" w:cs="Arial"/>
                <w:sz w:val="14"/>
                <w:szCs w:val="14"/>
              </w:rPr>
            </w:pPr>
          </w:p>
        </w:tc>
      </w:tr>
      <w:tr w:rsidR="00416D67" w:rsidRPr="00416D67" w14:paraId="49F55C8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000000"/>
            </w:tcBorders>
            <w:shd w:val="clear" w:color="000000" w:fill="D9D9D9"/>
            <w:hideMark/>
          </w:tcPr>
          <w:p w14:paraId="59CC414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lastRenderedPageBreak/>
              <w:t>Projekt/Aktivnost</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0BF17D3E"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4A5E6055"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21A2682F"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6E839B9A" w14:textId="77777777" w:rsidR="00416D67" w:rsidRPr="00416D67" w:rsidRDefault="00416D67" w:rsidP="00416D67">
            <w:pPr>
              <w:rPr>
                <w:rFonts w:ascii="Arial" w:hAnsi="Arial" w:cs="Arial"/>
                <w:sz w:val="14"/>
                <w:szCs w:val="14"/>
              </w:rPr>
            </w:pPr>
          </w:p>
        </w:tc>
      </w:tr>
      <w:tr w:rsidR="00416D67" w:rsidRPr="00416D67" w14:paraId="095ACC4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4EC85E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VRSTA RASHODA I IZDATAKA</w:t>
            </w:r>
          </w:p>
        </w:tc>
        <w:tc>
          <w:tcPr>
            <w:tcW w:w="1095" w:type="dxa"/>
            <w:tcBorders>
              <w:top w:val="single" w:sz="4" w:space="0" w:color="auto"/>
              <w:left w:val="nil"/>
              <w:bottom w:val="single" w:sz="4" w:space="0" w:color="auto"/>
              <w:right w:val="single" w:sz="4" w:space="0" w:color="auto"/>
            </w:tcBorders>
            <w:shd w:val="clear" w:color="000000" w:fill="D9D9D9"/>
            <w:noWrap/>
            <w:vAlign w:val="bottom"/>
            <w:hideMark/>
          </w:tcPr>
          <w:p w14:paraId="60DAED33" w14:textId="77777777" w:rsidR="00416D67" w:rsidRPr="00416D67" w:rsidRDefault="00416D67" w:rsidP="00416D67">
            <w:pPr>
              <w:jc w:val="center"/>
              <w:rPr>
                <w:rFonts w:ascii="Arial" w:hAnsi="Arial" w:cs="Arial"/>
                <w:b/>
                <w:bCs/>
                <w:sz w:val="14"/>
                <w:szCs w:val="14"/>
              </w:rPr>
            </w:pPr>
            <w:r w:rsidRPr="00416D67">
              <w:rPr>
                <w:rFonts w:ascii="Arial" w:hAnsi="Arial" w:cs="Arial"/>
                <w:b/>
                <w:bCs/>
                <w:sz w:val="14"/>
                <w:szCs w:val="14"/>
              </w:rPr>
              <w:t>1</w:t>
            </w:r>
          </w:p>
        </w:tc>
        <w:tc>
          <w:tcPr>
            <w:tcW w:w="1070" w:type="dxa"/>
            <w:tcBorders>
              <w:top w:val="single" w:sz="4" w:space="0" w:color="auto"/>
              <w:left w:val="nil"/>
              <w:bottom w:val="single" w:sz="4" w:space="0" w:color="auto"/>
              <w:right w:val="single" w:sz="4" w:space="0" w:color="auto"/>
            </w:tcBorders>
            <w:shd w:val="clear" w:color="000000" w:fill="D9D9D9"/>
            <w:noWrap/>
            <w:vAlign w:val="bottom"/>
            <w:hideMark/>
          </w:tcPr>
          <w:p w14:paraId="49CAB364" w14:textId="77777777" w:rsidR="00416D67" w:rsidRPr="00416D67" w:rsidRDefault="00416D67" w:rsidP="00416D67">
            <w:pPr>
              <w:jc w:val="center"/>
              <w:rPr>
                <w:rFonts w:ascii="Arial" w:hAnsi="Arial" w:cs="Arial"/>
                <w:b/>
                <w:bCs/>
                <w:sz w:val="14"/>
                <w:szCs w:val="14"/>
              </w:rPr>
            </w:pPr>
            <w:r w:rsidRPr="00416D67">
              <w:rPr>
                <w:rFonts w:ascii="Arial" w:hAnsi="Arial" w:cs="Arial"/>
                <w:b/>
                <w:bCs/>
                <w:sz w:val="14"/>
                <w:szCs w:val="14"/>
              </w:rPr>
              <w:t>2</w:t>
            </w:r>
          </w:p>
        </w:tc>
        <w:tc>
          <w:tcPr>
            <w:tcW w:w="1095" w:type="dxa"/>
            <w:tcBorders>
              <w:top w:val="single" w:sz="4" w:space="0" w:color="auto"/>
              <w:left w:val="nil"/>
              <w:bottom w:val="single" w:sz="4" w:space="0" w:color="auto"/>
              <w:right w:val="single" w:sz="4" w:space="0" w:color="auto"/>
            </w:tcBorders>
            <w:shd w:val="clear" w:color="000000" w:fill="D9D9D9"/>
            <w:noWrap/>
            <w:vAlign w:val="bottom"/>
            <w:hideMark/>
          </w:tcPr>
          <w:p w14:paraId="0050D275" w14:textId="77777777" w:rsidR="00416D67" w:rsidRPr="00416D67" w:rsidRDefault="00416D67" w:rsidP="00416D67">
            <w:pPr>
              <w:jc w:val="center"/>
              <w:rPr>
                <w:rFonts w:ascii="Arial" w:hAnsi="Arial" w:cs="Arial"/>
                <w:b/>
                <w:bCs/>
                <w:sz w:val="14"/>
                <w:szCs w:val="14"/>
              </w:rPr>
            </w:pPr>
            <w:r w:rsidRPr="00416D67">
              <w:rPr>
                <w:rFonts w:ascii="Arial" w:hAnsi="Arial" w:cs="Arial"/>
                <w:b/>
                <w:bCs/>
                <w:sz w:val="14"/>
                <w:szCs w:val="14"/>
              </w:rPr>
              <w:t>3</w:t>
            </w:r>
          </w:p>
        </w:tc>
        <w:tc>
          <w:tcPr>
            <w:tcW w:w="918" w:type="dxa"/>
            <w:tcBorders>
              <w:top w:val="single" w:sz="4" w:space="0" w:color="auto"/>
              <w:left w:val="nil"/>
              <w:bottom w:val="single" w:sz="4" w:space="0" w:color="auto"/>
              <w:right w:val="single" w:sz="4" w:space="0" w:color="auto"/>
            </w:tcBorders>
            <w:shd w:val="clear" w:color="000000" w:fill="D9D9D9"/>
            <w:noWrap/>
            <w:vAlign w:val="bottom"/>
            <w:hideMark/>
          </w:tcPr>
          <w:p w14:paraId="37A67ECA" w14:textId="77777777" w:rsidR="00416D67" w:rsidRPr="00416D67" w:rsidRDefault="00416D67" w:rsidP="00416D67">
            <w:pPr>
              <w:jc w:val="center"/>
              <w:rPr>
                <w:rFonts w:ascii="Arial" w:hAnsi="Arial" w:cs="Arial"/>
                <w:b/>
                <w:bCs/>
                <w:sz w:val="14"/>
                <w:szCs w:val="14"/>
              </w:rPr>
            </w:pPr>
            <w:r w:rsidRPr="00416D67">
              <w:rPr>
                <w:rFonts w:ascii="Arial" w:hAnsi="Arial" w:cs="Arial"/>
                <w:b/>
                <w:bCs/>
                <w:sz w:val="14"/>
                <w:szCs w:val="14"/>
              </w:rPr>
              <w:t>4</w:t>
            </w:r>
          </w:p>
        </w:tc>
      </w:tr>
      <w:tr w:rsidR="00416D67" w:rsidRPr="00416D67" w14:paraId="13895F4F"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7B5B66D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UKUPNO RASHODI I IZDATCI</w:t>
            </w:r>
          </w:p>
        </w:tc>
        <w:tc>
          <w:tcPr>
            <w:tcW w:w="1095" w:type="dxa"/>
            <w:tcBorders>
              <w:top w:val="single" w:sz="4" w:space="0" w:color="auto"/>
              <w:left w:val="nil"/>
              <w:bottom w:val="single" w:sz="4" w:space="0" w:color="auto"/>
              <w:right w:val="single" w:sz="4" w:space="0" w:color="auto"/>
            </w:tcBorders>
            <w:shd w:val="clear" w:color="000000" w:fill="C0C0C0"/>
            <w:noWrap/>
            <w:vAlign w:val="bottom"/>
            <w:hideMark/>
          </w:tcPr>
          <w:p w14:paraId="7C84C53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9.163.800,00</w:t>
            </w:r>
          </w:p>
        </w:tc>
        <w:tc>
          <w:tcPr>
            <w:tcW w:w="1070" w:type="dxa"/>
            <w:tcBorders>
              <w:top w:val="single" w:sz="4" w:space="0" w:color="auto"/>
              <w:left w:val="nil"/>
              <w:bottom w:val="single" w:sz="4" w:space="0" w:color="auto"/>
              <w:right w:val="single" w:sz="4" w:space="0" w:color="auto"/>
            </w:tcBorders>
            <w:shd w:val="clear" w:color="000000" w:fill="C0C0C0"/>
            <w:noWrap/>
            <w:vAlign w:val="bottom"/>
            <w:hideMark/>
          </w:tcPr>
          <w:p w14:paraId="0C8E553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9.163.800,00</w:t>
            </w:r>
          </w:p>
        </w:tc>
        <w:tc>
          <w:tcPr>
            <w:tcW w:w="1095" w:type="dxa"/>
            <w:tcBorders>
              <w:top w:val="single" w:sz="4" w:space="0" w:color="auto"/>
              <w:left w:val="nil"/>
              <w:bottom w:val="single" w:sz="4" w:space="0" w:color="auto"/>
              <w:right w:val="single" w:sz="4" w:space="0" w:color="auto"/>
            </w:tcBorders>
            <w:shd w:val="clear" w:color="000000" w:fill="C0C0C0"/>
            <w:noWrap/>
            <w:vAlign w:val="bottom"/>
            <w:hideMark/>
          </w:tcPr>
          <w:p w14:paraId="4B67625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6.587.292,79</w:t>
            </w:r>
          </w:p>
        </w:tc>
        <w:tc>
          <w:tcPr>
            <w:tcW w:w="918" w:type="dxa"/>
            <w:tcBorders>
              <w:top w:val="single" w:sz="4" w:space="0" w:color="auto"/>
              <w:left w:val="nil"/>
              <w:bottom w:val="single" w:sz="4" w:space="0" w:color="auto"/>
              <w:right w:val="single" w:sz="4" w:space="0" w:color="auto"/>
            </w:tcBorders>
            <w:shd w:val="clear" w:color="000000" w:fill="C0C0C0"/>
            <w:noWrap/>
            <w:vAlign w:val="bottom"/>
            <w:hideMark/>
          </w:tcPr>
          <w:p w14:paraId="583565A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71,88%</w:t>
            </w:r>
          </w:p>
        </w:tc>
      </w:tr>
      <w:tr w:rsidR="00416D67" w:rsidRPr="00416D67" w14:paraId="0819A89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181A108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1001</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3AF9A33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Program: Redovna djelatnost predstavničkog tijela</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15F6BB4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53.360,00</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357BBE9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53.360,00</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674C070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42.272,65</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6AB6F67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79,22%</w:t>
            </w:r>
          </w:p>
        </w:tc>
      </w:tr>
      <w:tr w:rsidR="00416D67" w:rsidRPr="00416D67" w14:paraId="47FEFC0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B658AA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61846AA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Aktivnost: Naknade </w:t>
            </w:r>
            <w:proofErr w:type="spellStart"/>
            <w:r w:rsidRPr="00416D67">
              <w:rPr>
                <w:rFonts w:ascii="Arial" w:hAnsi="Arial" w:cs="Arial"/>
                <w:b/>
                <w:bCs/>
                <w:sz w:val="14"/>
                <w:szCs w:val="14"/>
              </w:rPr>
              <w:t>troškva</w:t>
            </w:r>
            <w:proofErr w:type="spellEnd"/>
            <w:r w:rsidRPr="00416D67">
              <w:rPr>
                <w:rFonts w:ascii="Arial" w:hAnsi="Arial" w:cs="Arial"/>
                <w:b/>
                <w:bCs/>
                <w:sz w:val="14"/>
                <w:szCs w:val="14"/>
              </w:rPr>
              <w:t xml:space="preserve"> vijećnicima i članovima radnih tijela Općinskog vijeća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FFB6D0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19.500,00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5B930E9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19.500,00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3A2CD2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12.337,27</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07A45FE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63,27%</w:t>
            </w:r>
          </w:p>
        </w:tc>
      </w:tr>
      <w:tr w:rsidR="00416D67" w:rsidRPr="00416D67" w14:paraId="62C2180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C166DD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3814CF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19.500,00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2717FF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19.500,00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747B67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12.337,27</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530F8B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63,27%</w:t>
            </w:r>
          </w:p>
        </w:tc>
      </w:tr>
      <w:tr w:rsidR="00416D67" w:rsidRPr="00416D67" w14:paraId="1C02CD6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B20FAC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B4127D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19.500,00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DA1450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19.500,00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EE12D8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12.337,27</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F9C58A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63,27%</w:t>
            </w:r>
          </w:p>
        </w:tc>
      </w:tr>
      <w:tr w:rsidR="00416D67" w:rsidRPr="00416D67" w14:paraId="6D48F0A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28D9E4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7DFD47A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78B1DCC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19.500,00</w:t>
            </w:r>
          </w:p>
        </w:tc>
        <w:tc>
          <w:tcPr>
            <w:tcW w:w="1070" w:type="dxa"/>
            <w:tcBorders>
              <w:top w:val="single" w:sz="4" w:space="0" w:color="auto"/>
              <w:left w:val="nil"/>
              <w:bottom w:val="single" w:sz="4" w:space="0" w:color="auto"/>
              <w:right w:val="single" w:sz="4" w:space="0" w:color="auto"/>
            </w:tcBorders>
            <w:noWrap/>
            <w:vAlign w:val="bottom"/>
            <w:hideMark/>
          </w:tcPr>
          <w:p w14:paraId="5A6FB0B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19.500,00</w:t>
            </w:r>
          </w:p>
        </w:tc>
        <w:tc>
          <w:tcPr>
            <w:tcW w:w="1095" w:type="dxa"/>
            <w:tcBorders>
              <w:top w:val="single" w:sz="4" w:space="0" w:color="auto"/>
              <w:left w:val="nil"/>
              <w:bottom w:val="single" w:sz="4" w:space="0" w:color="auto"/>
              <w:right w:val="single" w:sz="4" w:space="0" w:color="auto"/>
            </w:tcBorders>
            <w:noWrap/>
            <w:vAlign w:val="bottom"/>
            <w:hideMark/>
          </w:tcPr>
          <w:p w14:paraId="09DAF7A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12.337,27</w:t>
            </w:r>
          </w:p>
        </w:tc>
        <w:tc>
          <w:tcPr>
            <w:tcW w:w="918" w:type="dxa"/>
            <w:tcBorders>
              <w:top w:val="single" w:sz="4" w:space="0" w:color="auto"/>
              <w:left w:val="nil"/>
              <w:bottom w:val="single" w:sz="4" w:space="0" w:color="auto"/>
              <w:right w:val="single" w:sz="4" w:space="0" w:color="auto"/>
            </w:tcBorders>
            <w:noWrap/>
            <w:vAlign w:val="bottom"/>
            <w:hideMark/>
          </w:tcPr>
          <w:p w14:paraId="305CA59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63,27%</w:t>
            </w:r>
          </w:p>
        </w:tc>
      </w:tr>
      <w:tr w:rsidR="00416D67" w:rsidRPr="00416D67" w14:paraId="61A6CD5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24571B1" w14:textId="77777777" w:rsidR="00416D67" w:rsidRPr="00416D67" w:rsidRDefault="00416D67" w:rsidP="00416D67">
            <w:pPr>
              <w:rPr>
                <w:rFonts w:ascii="Arial" w:hAnsi="Arial" w:cs="Arial"/>
                <w:sz w:val="14"/>
                <w:szCs w:val="14"/>
              </w:rPr>
            </w:pPr>
            <w:r w:rsidRPr="00416D67">
              <w:rPr>
                <w:rFonts w:ascii="Arial" w:hAnsi="Arial" w:cs="Arial"/>
                <w:sz w:val="14"/>
                <w:szCs w:val="14"/>
              </w:rPr>
              <w:t>3291</w:t>
            </w:r>
          </w:p>
        </w:tc>
        <w:tc>
          <w:tcPr>
            <w:tcW w:w="8106" w:type="dxa"/>
            <w:tcBorders>
              <w:top w:val="single" w:sz="4" w:space="0" w:color="auto"/>
              <w:left w:val="nil"/>
              <w:bottom w:val="single" w:sz="4" w:space="0" w:color="auto"/>
              <w:right w:val="single" w:sz="4" w:space="0" w:color="auto"/>
            </w:tcBorders>
            <w:noWrap/>
            <w:vAlign w:val="bottom"/>
            <w:hideMark/>
          </w:tcPr>
          <w:p w14:paraId="5D275529" w14:textId="77777777" w:rsidR="00416D67" w:rsidRPr="00416D67" w:rsidRDefault="00416D67" w:rsidP="00416D67">
            <w:pPr>
              <w:rPr>
                <w:rFonts w:ascii="Arial" w:hAnsi="Arial" w:cs="Arial"/>
                <w:sz w:val="14"/>
                <w:szCs w:val="14"/>
              </w:rPr>
            </w:pPr>
            <w:r w:rsidRPr="00416D67">
              <w:rPr>
                <w:rFonts w:ascii="Arial" w:hAnsi="Arial" w:cs="Arial"/>
                <w:sz w:val="14"/>
                <w:szCs w:val="14"/>
              </w:rPr>
              <w:t>Naknade za rad predstavničkih i izvršnih tijela, povjerenstava i slično</w:t>
            </w:r>
          </w:p>
        </w:tc>
        <w:tc>
          <w:tcPr>
            <w:tcW w:w="1095" w:type="dxa"/>
            <w:tcBorders>
              <w:top w:val="single" w:sz="4" w:space="0" w:color="auto"/>
              <w:left w:val="nil"/>
              <w:bottom w:val="single" w:sz="4" w:space="0" w:color="auto"/>
              <w:right w:val="single" w:sz="4" w:space="0" w:color="auto"/>
            </w:tcBorders>
            <w:noWrap/>
            <w:vAlign w:val="bottom"/>
            <w:hideMark/>
          </w:tcPr>
          <w:p w14:paraId="48FAF92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F34752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A7E3C6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12.337,27</w:t>
            </w:r>
          </w:p>
        </w:tc>
        <w:tc>
          <w:tcPr>
            <w:tcW w:w="918" w:type="dxa"/>
            <w:tcBorders>
              <w:top w:val="single" w:sz="4" w:space="0" w:color="auto"/>
              <w:left w:val="nil"/>
              <w:bottom w:val="single" w:sz="4" w:space="0" w:color="auto"/>
              <w:right w:val="single" w:sz="4" w:space="0" w:color="auto"/>
            </w:tcBorders>
            <w:noWrap/>
            <w:vAlign w:val="bottom"/>
            <w:hideMark/>
          </w:tcPr>
          <w:p w14:paraId="57E0AF0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98B790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7209F3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A100002</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19887FD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Obilježavanje dana Općine</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49DD8F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9.560,00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56993E7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9.560,00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FFF3B8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9.555,65</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0D9C203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99,95%</w:t>
            </w:r>
          </w:p>
        </w:tc>
      </w:tr>
      <w:tr w:rsidR="00416D67" w:rsidRPr="00416D67" w14:paraId="3A1FCA8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6ADCB3E"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45AE5F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9.560,00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E35D3E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9.560,00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210341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9.555,65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2AA4B8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99,95%</w:t>
            </w:r>
          </w:p>
        </w:tc>
      </w:tr>
      <w:tr w:rsidR="00416D67" w:rsidRPr="00416D67" w14:paraId="01F8FE3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0A9E3D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09611B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9.560,00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8332B5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9.560,00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E12A4D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9.555,65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C4A85B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99,95%</w:t>
            </w:r>
          </w:p>
        </w:tc>
      </w:tr>
      <w:tr w:rsidR="00416D67" w:rsidRPr="00416D67" w14:paraId="0AFB9AE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83CA4E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598ED22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57207D9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9.560,00</w:t>
            </w:r>
          </w:p>
        </w:tc>
        <w:tc>
          <w:tcPr>
            <w:tcW w:w="1070" w:type="dxa"/>
            <w:tcBorders>
              <w:top w:val="single" w:sz="4" w:space="0" w:color="auto"/>
              <w:left w:val="nil"/>
              <w:bottom w:val="single" w:sz="4" w:space="0" w:color="auto"/>
              <w:right w:val="single" w:sz="4" w:space="0" w:color="auto"/>
            </w:tcBorders>
            <w:noWrap/>
            <w:vAlign w:val="bottom"/>
            <w:hideMark/>
          </w:tcPr>
          <w:p w14:paraId="147F649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9.560,00</w:t>
            </w:r>
          </w:p>
        </w:tc>
        <w:tc>
          <w:tcPr>
            <w:tcW w:w="1095" w:type="dxa"/>
            <w:tcBorders>
              <w:top w:val="single" w:sz="4" w:space="0" w:color="auto"/>
              <w:left w:val="nil"/>
              <w:bottom w:val="single" w:sz="4" w:space="0" w:color="auto"/>
              <w:right w:val="single" w:sz="4" w:space="0" w:color="auto"/>
            </w:tcBorders>
            <w:noWrap/>
            <w:vAlign w:val="bottom"/>
            <w:hideMark/>
          </w:tcPr>
          <w:p w14:paraId="764216E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9.555,65</w:t>
            </w:r>
          </w:p>
        </w:tc>
        <w:tc>
          <w:tcPr>
            <w:tcW w:w="918" w:type="dxa"/>
            <w:tcBorders>
              <w:top w:val="single" w:sz="4" w:space="0" w:color="auto"/>
              <w:left w:val="nil"/>
              <w:bottom w:val="single" w:sz="4" w:space="0" w:color="auto"/>
              <w:right w:val="single" w:sz="4" w:space="0" w:color="auto"/>
            </w:tcBorders>
            <w:noWrap/>
            <w:vAlign w:val="bottom"/>
            <w:hideMark/>
          </w:tcPr>
          <w:p w14:paraId="6075319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99,95%</w:t>
            </w:r>
          </w:p>
        </w:tc>
      </w:tr>
      <w:tr w:rsidR="00416D67" w:rsidRPr="00416D67" w14:paraId="592F2BB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172B38F" w14:textId="77777777" w:rsidR="00416D67" w:rsidRPr="00416D67" w:rsidRDefault="00416D67" w:rsidP="00416D67">
            <w:pPr>
              <w:rPr>
                <w:rFonts w:ascii="Arial" w:hAnsi="Arial" w:cs="Arial"/>
                <w:sz w:val="14"/>
                <w:szCs w:val="14"/>
              </w:rPr>
            </w:pPr>
            <w:r w:rsidRPr="00416D67">
              <w:rPr>
                <w:rFonts w:ascii="Arial" w:hAnsi="Arial" w:cs="Arial"/>
                <w:sz w:val="14"/>
                <w:szCs w:val="14"/>
              </w:rPr>
              <w:t>3293</w:t>
            </w:r>
          </w:p>
        </w:tc>
        <w:tc>
          <w:tcPr>
            <w:tcW w:w="8106" w:type="dxa"/>
            <w:tcBorders>
              <w:top w:val="single" w:sz="4" w:space="0" w:color="auto"/>
              <w:left w:val="nil"/>
              <w:bottom w:val="single" w:sz="4" w:space="0" w:color="auto"/>
              <w:right w:val="single" w:sz="4" w:space="0" w:color="auto"/>
            </w:tcBorders>
            <w:noWrap/>
            <w:vAlign w:val="bottom"/>
            <w:hideMark/>
          </w:tcPr>
          <w:p w14:paraId="585F69C3" w14:textId="77777777" w:rsidR="00416D67" w:rsidRPr="00416D67" w:rsidRDefault="00416D67" w:rsidP="00416D67">
            <w:pPr>
              <w:rPr>
                <w:rFonts w:ascii="Arial" w:hAnsi="Arial" w:cs="Arial"/>
                <w:sz w:val="14"/>
                <w:szCs w:val="14"/>
              </w:rPr>
            </w:pPr>
            <w:r w:rsidRPr="00416D67">
              <w:rPr>
                <w:rFonts w:ascii="Arial" w:hAnsi="Arial" w:cs="Arial"/>
                <w:sz w:val="14"/>
                <w:szCs w:val="14"/>
              </w:rPr>
              <w:t>Reprezentacija</w:t>
            </w:r>
          </w:p>
        </w:tc>
        <w:tc>
          <w:tcPr>
            <w:tcW w:w="1095" w:type="dxa"/>
            <w:tcBorders>
              <w:top w:val="single" w:sz="4" w:space="0" w:color="auto"/>
              <w:left w:val="nil"/>
              <w:bottom w:val="single" w:sz="4" w:space="0" w:color="auto"/>
              <w:right w:val="single" w:sz="4" w:space="0" w:color="auto"/>
            </w:tcBorders>
            <w:noWrap/>
            <w:vAlign w:val="bottom"/>
            <w:hideMark/>
          </w:tcPr>
          <w:p w14:paraId="5F693E9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39253F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FACC86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9.555,65</w:t>
            </w:r>
          </w:p>
        </w:tc>
        <w:tc>
          <w:tcPr>
            <w:tcW w:w="918" w:type="dxa"/>
            <w:tcBorders>
              <w:top w:val="single" w:sz="4" w:space="0" w:color="auto"/>
              <w:left w:val="nil"/>
              <w:bottom w:val="single" w:sz="4" w:space="0" w:color="auto"/>
              <w:right w:val="single" w:sz="4" w:space="0" w:color="auto"/>
            </w:tcBorders>
            <w:noWrap/>
            <w:vAlign w:val="bottom"/>
            <w:hideMark/>
          </w:tcPr>
          <w:p w14:paraId="229214A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47750E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1AC547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A100003</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4B31E67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Reprezentacija - prijemni i uzvratni posjeti</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462959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6512454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8F7C8A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6.978,79</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24DA443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99,70%</w:t>
            </w:r>
          </w:p>
        </w:tc>
      </w:tr>
      <w:tr w:rsidR="00416D67" w:rsidRPr="00416D67" w14:paraId="104B929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68DD0E"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1F5421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8F47A2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5FF7DF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6.978,79</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5913FD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99,70%</w:t>
            </w:r>
          </w:p>
        </w:tc>
      </w:tr>
      <w:tr w:rsidR="00416D67" w:rsidRPr="00416D67" w14:paraId="566ED8D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E43A97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4C9D2D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DAA3EF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73DB6A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6.978,79</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594543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99,70%</w:t>
            </w:r>
          </w:p>
        </w:tc>
      </w:tr>
      <w:tr w:rsidR="00416D67" w:rsidRPr="00416D67" w14:paraId="7AEEE9D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582298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1D80872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66CC90F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7.000,00</w:t>
            </w:r>
          </w:p>
        </w:tc>
        <w:tc>
          <w:tcPr>
            <w:tcW w:w="1070" w:type="dxa"/>
            <w:tcBorders>
              <w:top w:val="single" w:sz="4" w:space="0" w:color="auto"/>
              <w:left w:val="nil"/>
              <w:bottom w:val="single" w:sz="4" w:space="0" w:color="auto"/>
              <w:right w:val="single" w:sz="4" w:space="0" w:color="auto"/>
            </w:tcBorders>
            <w:noWrap/>
            <w:vAlign w:val="bottom"/>
            <w:hideMark/>
          </w:tcPr>
          <w:p w14:paraId="50E34D3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7.000,00</w:t>
            </w:r>
          </w:p>
        </w:tc>
        <w:tc>
          <w:tcPr>
            <w:tcW w:w="1095" w:type="dxa"/>
            <w:tcBorders>
              <w:top w:val="single" w:sz="4" w:space="0" w:color="auto"/>
              <w:left w:val="nil"/>
              <w:bottom w:val="single" w:sz="4" w:space="0" w:color="auto"/>
              <w:right w:val="single" w:sz="4" w:space="0" w:color="auto"/>
            </w:tcBorders>
            <w:noWrap/>
            <w:vAlign w:val="bottom"/>
            <w:hideMark/>
          </w:tcPr>
          <w:p w14:paraId="3B163B3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6.978,79</w:t>
            </w:r>
          </w:p>
        </w:tc>
        <w:tc>
          <w:tcPr>
            <w:tcW w:w="918" w:type="dxa"/>
            <w:tcBorders>
              <w:top w:val="single" w:sz="4" w:space="0" w:color="auto"/>
              <w:left w:val="nil"/>
              <w:bottom w:val="single" w:sz="4" w:space="0" w:color="auto"/>
              <w:right w:val="single" w:sz="4" w:space="0" w:color="auto"/>
            </w:tcBorders>
            <w:noWrap/>
            <w:vAlign w:val="bottom"/>
            <w:hideMark/>
          </w:tcPr>
          <w:p w14:paraId="5EEB10C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99,70%</w:t>
            </w:r>
          </w:p>
        </w:tc>
      </w:tr>
      <w:tr w:rsidR="00416D67" w:rsidRPr="00416D67" w14:paraId="1329D61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A8EF278" w14:textId="77777777" w:rsidR="00416D67" w:rsidRPr="00416D67" w:rsidRDefault="00416D67" w:rsidP="00416D67">
            <w:pPr>
              <w:rPr>
                <w:rFonts w:ascii="Arial" w:hAnsi="Arial" w:cs="Arial"/>
                <w:sz w:val="14"/>
                <w:szCs w:val="14"/>
              </w:rPr>
            </w:pPr>
            <w:r w:rsidRPr="00416D67">
              <w:rPr>
                <w:rFonts w:ascii="Arial" w:hAnsi="Arial" w:cs="Arial"/>
                <w:sz w:val="14"/>
                <w:szCs w:val="14"/>
              </w:rPr>
              <w:t>3293</w:t>
            </w:r>
          </w:p>
        </w:tc>
        <w:tc>
          <w:tcPr>
            <w:tcW w:w="8106" w:type="dxa"/>
            <w:tcBorders>
              <w:top w:val="single" w:sz="4" w:space="0" w:color="auto"/>
              <w:left w:val="nil"/>
              <w:bottom w:val="single" w:sz="4" w:space="0" w:color="auto"/>
              <w:right w:val="single" w:sz="4" w:space="0" w:color="auto"/>
            </w:tcBorders>
            <w:noWrap/>
            <w:vAlign w:val="bottom"/>
            <w:hideMark/>
          </w:tcPr>
          <w:p w14:paraId="18F8B326" w14:textId="77777777" w:rsidR="00416D67" w:rsidRPr="00416D67" w:rsidRDefault="00416D67" w:rsidP="00416D67">
            <w:pPr>
              <w:rPr>
                <w:rFonts w:ascii="Arial" w:hAnsi="Arial" w:cs="Arial"/>
                <w:sz w:val="14"/>
                <w:szCs w:val="14"/>
              </w:rPr>
            </w:pPr>
            <w:r w:rsidRPr="00416D67">
              <w:rPr>
                <w:rFonts w:ascii="Arial" w:hAnsi="Arial" w:cs="Arial"/>
                <w:sz w:val="14"/>
                <w:szCs w:val="14"/>
              </w:rPr>
              <w:t>Reprezentacija</w:t>
            </w:r>
          </w:p>
        </w:tc>
        <w:tc>
          <w:tcPr>
            <w:tcW w:w="1095" w:type="dxa"/>
            <w:tcBorders>
              <w:top w:val="single" w:sz="4" w:space="0" w:color="auto"/>
              <w:left w:val="nil"/>
              <w:bottom w:val="single" w:sz="4" w:space="0" w:color="auto"/>
              <w:right w:val="single" w:sz="4" w:space="0" w:color="auto"/>
            </w:tcBorders>
            <w:noWrap/>
            <w:vAlign w:val="bottom"/>
            <w:hideMark/>
          </w:tcPr>
          <w:p w14:paraId="17FD6C3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02CF7F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8314F8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6.978,79</w:t>
            </w:r>
          </w:p>
        </w:tc>
        <w:tc>
          <w:tcPr>
            <w:tcW w:w="918" w:type="dxa"/>
            <w:tcBorders>
              <w:top w:val="single" w:sz="4" w:space="0" w:color="auto"/>
              <w:left w:val="nil"/>
              <w:bottom w:val="single" w:sz="4" w:space="0" w:color="auto"/>
              <w:right w:val="single" w:sz="4" w:space="0" w:color="auto"/>
            </w:tcBorders>
            <w:noWrap/>
            <w:vAlign w:val="bottom"/>
            <w:hideMark/>
          </w:tcPr>
          <w:p w14:paraId="66C448C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C92C07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707D0C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A100004</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11E05B2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Rashodi protokola Predsjednika Općinskog vijeća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7149A6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1C73B7E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E63275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1.905,05</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5CE9B35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95,25%</w:t>
            </w:r>
          </w:p>
        </w:tc>
      </w:tr>
      <w:tr w:rsidR="00416D67" w:rsidRPr="00416D67" w14:paraId="3C9596B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4ED77B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517221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384A30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26E297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1.905,05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73A8F3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95,25%</w:t>
            </w:r>
          </w:p>
        </w:tc>
      </w:tr>
      <w:tr w:rsidR="00416D67" w:rsidRPr="00416D67" w14:paraId="469B172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1C39A8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80B57A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62D6C4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79F500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1.905,05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5CF23B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95,25%</w:t>
            </w:r>
          </w:p>
        </w:tc>
      </w:tr>
      <w:tr w:rsidR="00416D67" w:rsidRPr="00416D67" w14:paraId="3609BF1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6D2FE1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2769AB0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1BD388C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w:t>
            </w:r>
          </w:p>
        </w:tc>
        <w:tc>
          <w:tcPr>
            <w:tcW w:w="1070" w:type="dxa"/>
            <w:tcBorders>
              <w:top w:val="single" w:sz="4" w:space="0" w:color="auto"/>
              <w:left w:val="nil"/>
              <w:bottom w:val="single" w:sz="4" w:space="0" w:color="auto"/>
              <w:right w:val="single" w:sz="4" w:space="0" w:color="auto"/>
            </w:tcBorders>
            <w:noWrap/>
            <w:vAlign w:val="bottom"/>
            <w:hideMark/>
          </w:tcPr>
          <w:p w14:paraId="1D342F7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w:t>
            </w:r>
          </w:p>
        </w:tc>
        <w:tc>
          <w:tcPr>
            <w:tcW w:w="1095" w:type="dxa"/>
            <w:tcBorders>
              <w:top w:val="single" w:sz="4" w:space="0" w:color="auto"/>
              <w:left w:val="nil"/>
              <w:bottom w:val="single" w:sz="4" w:space="0" w:color="auto"/>
              <w:right w:val="single" w:sz="4" w:space="0" w:color="auto"/>
            </w:tcBorders>
            <w:noWrap/>
            <w:vAlign w:val="bottom"/>
            <w:hideMark/>
          </w:tcPr>
          <w:p w14:paraId="760CA50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1.905,05</w:t>
            </w:r>
          </w:p>
        </w:tc>
        <w:tc>
          <w:tcPr>
            <w:tcW w:w="918" w:type="dxa"/>
            <w:tcBorders>
              <w:top w:val="single" w:sz="4" w:space="0" w:color="auto"/>
              <w:left w:val="nil"/>
              <w:bottom w:val="single" w:sz="4" w:space="0" w:color="auto"/>
              <w:right w:val="single" w:sz="4" w:space="0" w:color="auto"/>
            </w:tcBorders>
            <w:noWrap/>
            <w:vAlign w:val="bottom"/>
            <w:hideMark/>
          </w:tcPr>
          <w:p w14:paraId="5E246A2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95,25%</w:t>
            </w:r>
          </w:p>
        </w:tc>
      </w:tr>
      <w:tr w:rsidR="00416D67" w:rsidRPr="00416D67" w14:paraId="12AA2AB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EF4125F" w14:textId="77777777" w:rsidR="00416D67" w:rsidRPr="00416D67" w:rsidRDefault="00416D67" w:rsidP="00416D67">
            <w:pPr>
              <w:rPr>
                <w:rFonts w:ascii="Arial" w:hAnsi="Arial" w:cs="Arial"/>
                <w:sz w:val="14"/>
                <w:szCs w:val="14"/>
              </w:rPr>
            </w:pPr>
            <w:r w:rsidRPr="00416D67">
              <w:rPr>
                <w:rFonts w:ascii="Arial" w:hAnsi="Arial" w:cs="Arial"/>
                <w:sz w:val="14"/>
                <w:szCs w:val="14"/>
              </w:rPr>
              <w:t>3293</w:t>
            </w:r>
          </w:p>
        </w:tc>
        <w:tc>
          <w:tcPr>
            <w:tcW w:w="8106" w:type="dxa"/>
            <w:tcBorders>
              <w:top w:val="single" w:sz="4" w:space="0" w:color="auto"/>
              <w:left w:val="nil"/>
              <w:bottom w:val="single" w:sz="4" w:space="0" w:color="auto"/>
              <w:right w:val="single" w:sz="4" w:space="0" w:color="auto"/>
            </w:tcBorders>
            <w:noWrap/>
            <w:vAlign w:val="bottom"/>
            <w:hideMark/>
          </w:tcPr>
          <w:p w14:paraId="64719183" w14:textId="77777777" w:rsidR="00416D67" w:rsidRPr="00416D67" w:rsidRDefault="00416D67" w:rsidP="00416D67">
            <w:pPr>
              <w:rPr>
                <w:rFonts w:ascii="Arial" w:hAnsi="Arial" w:cs="Arial"/>
                <w:sz w:val="14"/>
                <w:szCs w:val="14"/>
              </w:rPr>
            </w:pPr>
            <w:r w:rsidRPr="00416D67">
              <w:rPr>
                <w:rFonts w:ascii="Arial" w:hAnsi="Arial" w:cs="Arial"/>
                <w:sz w:val="14"/>
                <w:szCs w:val="14"/>
              </w:rPr>
              <w:t>Reprezentacija</w:t>
            </w:r>
          </w:p>
        </w:tc>
        <w:tc>
          <w:tcPr>
            <w:tcW w:w="1095" w:type="dxa"/>
            <w:tcBorders>
              <w:top w:val="single" w:sz="4" w:space="0" w:color="auto"/>
              <w:left w:val="nil"/>
              <w:bottom w:val="single" w:sz="4" w:space="0" w:color="auto"/>
              <w:right w:val="single" w:sz="4" w:space="0" w:color="auto"/>
            </w:tcBorders>
            <w:noWrap/>
            <w:vAlign w:val="bottom"/>
            <w:hideMark/>
          </w:tcPr>
          <w:p w14:paraId="73E847F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11DFF3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6D3A54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1.905,05</w:t>
            </w:r>
          </w:p>
        </w:tc>
        <w:tc>
          <w:tcPr>
            <w:tcW w:w="918" w:type="dxa"/>
            <w:tcBorders>
              <w:top w:val="single" w:sz="4" w:space="0" w:color="auto"/>
              <w:left w:val="nil"/>
              <w:bottom w:val="single" w:sz="4" w:space="0" w:color="auto"/>
              <w:right w:val="single" w:sz="4" w:space="0" w:color="auto"/>
            </w:tcBorders>
            <w:noWrap/>
            <w:vAlign w:val="bottom"/>
            <w:hideMark/>
          </w:tcPr>
          <w:p w14:paraId="6078BAF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539BC5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53682A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A100005</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373F336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Rashodi protokola (</w:t>
            </w:r>
            <w:proofErr w:type="spellStart"/>
            <w:r w:rsidRPr="00416D67">
              <w:rPr>
                <w:rFonts w:ascii="Arial" w:hAnsi="Arial" w:cs="Arial"/>
                <w:b/>
                <w:bCs/>
                <w:sz w:val="14"/>
                <w:szCs w:val="14"/>
              </w:rPr>
              <w:t>cvjeće</w:t>
            </w:r>
            <w:proofErr w:type="spellEnd"/>
            <w:r w:rsidRPr="00416D67">
              <w:rPr>
                <w:rFonts w:ascii="Arial" w:hAnsi="Arial" w:cs="Arial"/>
                <w:b/>
                <w:bCs/>
                <w:sz w:val="14"/>
                <w:szCs w:val="14"/>
              </w:rPr>
              <w:t>, vijenci i sl.)</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EA313F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2141AAA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F3C537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1.749,71</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785A8F5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69,99%</w:t>
            </w:r>
          </w:p>
        </w:tc>
      </w:tr>
      <w:tr w:rsidR="00416D67" w:rsidRPr="00416D67" w14:paraId="2620A68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2FC522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4E9044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A56DF2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1BBCB9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1.749,71</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C7D187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69,99%</w:t>
            </w:r>
          </w:p>
        </w:tc>
      </w:tr>
      <w:tr w:rsidR="00416D67" w:rsidRPr="00416D67" w14:paraId="56BD7BD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DA1A1A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CC41D6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AA8AAB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3A943E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1.749,71</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F9FF66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69,99%</w:t>
            </w:r>
          </w:p>
        </w:tc>
      </w:tr>
      <w:tr w:rsidR="00416D67" w:rsidRPr="00416D67" w14:paraId="36BE9AD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E4451C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5E01158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6AA2DF2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w:t>
            </w:r>
          </w:p>
        </w:tc>
        <w:tc>
          <w:tcPr>
            <w:tcW w:w="1070" w:type="dxa"/>
            <w:tcBorders>
              <w:top w:val="single" w:sz="4" w:space="0" w:color="auto"/>
              <w:left w:val="nil"/>
              <w:bottom w:val="single" w:sz="4" w:space="0" w:color="auto"/>
              <w:right w:val="single" w:sz="4" w:space="0" w:color="auto"/>
            </w:tcBorders>
            <w:noWrap/>
            <w:vAlign w:val="bottom"/>
            <w:hideMark/>
          </w:tcPr>
          <w:p w14:paraId="0557236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w:t>
            </w:r>
          </w:p>
        </w:tc>
        <w:tc>
          <w:tcPr>
            <w:tcW w:w="1095" w:type="dxa"/>
            <w:tcBorders>
              <w:top w:val="single" w:sz="4" w:space="0" w:color="auto"/>
              <w:left w:val="nil"/>
              <w:bottom w:val="single" w:sz="4" w:space="0" w:color="auto"/>
              <w:right w:val="single" w:sz="4" w:space="0" w:color="auto"/>
            </w:tcBorders>
            <w:noWrap/>
            <w:vAlign w:val="bottom"/>
            <w:hideMark/>
          </w:tcPr>
          <w:p w14:paraId="7AF6BAA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1.749,71</w:t>
            </w:r>
          </w:p>
        </w:tc>
        <w:tc>
          <w:tcPr>
            <w:tcW w:w="918" w:type="dxa"/>
            <w:tcBorders>
              <w:top w:val="single" w:sz="4" w:space="0" w:color="auto"/>
              <w:left w:val="nil"/>
              <w:bottom w:val="single" w:sz="4" w:space="0" w:color="auto"/>
              <w:right w:val="single" w:sz="4" w:space="0" w:color="auto"/>
            </w:tcBorders>
            <w:noWrap/>
            <w:vAlign w:val="bottom"/>
            <w:hideMark/>
          </w:tcPr>
          <w:p w14:paraId="666473E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69,99%</w:t>
            </w:r>
          </w:p>
        </w:tc>
      </w:tr>
      <w:tr w:rsidR="00416D67" w:rsidRPr="00416D67" w14:paraId="334AA77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946051D" w14:textId="77777777" w:rsidR="00416D67" w:rsidRPr="00416D67" w:rsidRDefault="00416D67" w:rsidP="00416D67">
            <w:pPr>
              <w:rPr>
                <w:rFonts w:ascii="Arial" w:hAnsi="Arial" w:cs="Arial"/>
                <w:sz w:val="14"/>
                <w:szCs w:val="14"/>
              </w:rPr>
            </w:pPr>
            <w:r w:rsidRPr="00416D67">
              <w:rPr>
                <w:rFonts w:ascii="Arial" w:hAnsi="Arial" w:cs="Arial"/>
                <w:sz w:val="14"/>
                <w:szCs w:val="14"/>
              </w:rPr>
              <w:t>3299</w:t>
            </w:r>
          </w:p>
        </w:tc>
        <w:tc>
          <w:tcPr>
            <w:tcW w:w="8106" w:type="dxa"/>
            <w:tcBorders>
              <w:top w:val="single" w:sz="4" w:space="0" w:color="auto"/>
              <w:left w:val="nil"/>
              <w:bottom w:val="single" w:sz="4" w:space="0" w:color="auto"/>
              <w:right w:val="single" w:sz="4" w:space="0" w:color="auto"/>
            </w:tcBorders>
            <w:noWrap/>
            <w:vAlign w:val="bottom"/>
            <w:hideMark/>
          </w:tcPr>
          <w:p w14:paraId="1E3F046D" w14:textId="77777777" w:rsidR="00416D67" w:rsidRPr="00416D67" w:rsidRDefault="00416D67" w:rsidP="00416D67">
            <w:pPr>
              <w:rPr>
                <w:rFonts w:ascii="Arial" w:hAnsi="Arial" w:cs="Arial"/>
                <w:sz w:val="14"/>
                <w:szCs w:val="14"/>
              </w:rPr>
            </w:pPr>
            <w:r w:rsidRPr="00416D67">
              <w:rPr>
                <w:rFonts w:ascii="Arial" w:hAnsi="Arial" w:cs="Arial"/>
                <w:sz w:val="14"/>
                <w:szCs w:val="14"/>
              </w:rPr>
              <w:t>Ostali nespomenuti rashodi poslovanja</w:t>
            </w:r>
          </w:p>
        </w:tc>
        <w:tc>
          <w:tcPr>
            <w:tcW w:w="1095" w:type="dxa"/>
            <w:tcBorders>
              <w:top w:val="single" w:sz="4" w:space="0" w:color="auto"/>
              <w:left w:val="nil"/>
              <w:bottom w:val="single" w:sz="4" w:space="0" w:color="auto"/>
              <w:right w:val="single" w:sz="4" w:space="0" w:color="auto"/>
            </w:tcBorders>
            <w:noWrap/>
            <w:vAlign w:val="bottom"/>
            <w:hideMark/>
          </w:tcPr>
          <w:p w14:paraId="729989B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745DDB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E57AF6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1.749,71</w:t>
            </w:r>
          </w:p>
        </w:tc>
        <w:tc>
          <w:tcPr>
            <w:tcW w:w="918" w:type="dxa"/>
            <w:tcBorders>
              <w:top w:val="single" w:sz="4" w:space="0" w:color="auto"/>
              <w:left w:val="nil"/>
              <w:bottom w:val="single" w:sz="4" w:space="0" w:color="auto"/>
              <w:right w:val="single" w:sz="4" w:space="0" w:color="auto"/>
            </w:tcBorders>
            <w:noWrap/>
            <w:vAlign w:val="bottom"/>
            <w:hideMark/>
          </w:tcPr>
          <w:p w14:paraId="24F0571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E107B9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2072EF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A100010</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78A2609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Donacije političkim strankama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85FB7E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9.800,00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5B1DE98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9.800,00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59417F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9.746,18</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3D681C3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99,45%</w:t>
            </w:r>
          </w:p>
        </w:tc>
      </w:tr>
      <w:tr w:rsidR="00416D67" w:rsidRPr="00416D67" w14:paraId="62CC8A7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96266D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F0FF9C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9.800,00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2EF3A6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9.800,00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EA0C18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9.746,18</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82D741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99,45%</w:t>
            </w:r>
          </w:p>
        </w:tc>
      </w:tr>
      <w:tr w:rsidR="00416D67" w:rsidRPr="00416D67" w14:paraId="4B718D0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E838A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6D2B84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9.800,00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CF3A86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9.800,00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A90249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9.746,18</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6D8EFB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99,45%</w:t>
            </w:r>
          </w:p>
        </w:tc>
      </w:tr>
      <w:tr w:rsidR="00416D67" w:rsidRPr="00416D67" w14:paraId="7292807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E3B68C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282F9F7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4604834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9.800,00</w:t>
            </w:r>
          </w:p>
        </w:tc>
        <w:tc>
          <w:tcPr>
            <w:tcW w:w="1070" w:type="dxa"/>
            <w:tcBorders>
              <w:top w:val="single" w:sz="4" w:space="0" w:color="auto"/>
              <w:left w:val="nil"/>
              <w:bottom w:val="single" w:sz="4" w:space="0" w:color="auto"/>
              <w:right w:val="single" w:sz="4" w:space="0" w:color="auto"/>
            </w:tcBorders>
            <w:noWrap/>
            <w:vAlign w:val="bottom"/>
            <w:hideMark/>
          </w:tcPr>
          <w:p w14:paraId="362CEA6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9.800,00</w:t>
            </w:r>
          </w:p>
        </w:tc>
        <w:tc>
          <w:tcPr>
            <w:tcW w:w="1095" w:type="dxa"/>
            <w:tcBorders>
              <w:top w:val="single" w:sz="4" w:space="0" w:color="auto"/>
              <w:left w:val="nil"/>
              <w:bottom w:val="single" w:sz="4" w:space="0" w:color="auto"/>
              <w:right w:val="single" w:sz="4" w:space="0" w:color="auto"/>
            </w:tcBorders>
            <w:noWrap/>
            <w:vAlign w:val="bottom"/>
            <w:hideMark/>
          </w:tcPr>
          <w:p w14:paraId="7428257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9.746,18</w:t>
            </w:r>
          </w:p>
        </w:tc>
        <w:tc>
          <w:tcPr>
            <w:tcW w:w="918" w:type="dxa"/>
            <w:tcBorders>
              <w:top w:val="single" w:sz="4" w:space="0" w:color="auto"/>
              <w:left w:val="nil"/>
              <w:bottom w:val="single" w:sz="4" w:space="0" w:color="auto"/>
              <w:right w:val="single" w:sz="4" w:space="0" w:color="auto"/>
            </w:tcBorders>
            <w:noWrap/>
            <w:vAlign w:val="bottom"/>
            <w:hideMark/>
          </w:tcPr>
          <w:p w14:paraId="43320FB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99,45%</w:t>
            </w:r>
          </w:p>
        </w:tc>
      </w:tr>
      <w:tr w:rsidR="00416D67" w:rsidRPr="00416D67" w14:paraId="6276F41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957B8B6" w14:textId="77777777" w:rsidR="00416D67" w:rsidRPr="00416D67" w:rsidRDefault="00416D67" w:rsidP="00416D67">
            <w:pPr>
              <w:rPr>
                <w:rFonts w:ascii="Arial" w:hAnsi="Arial" w:cs="Arial"/>
                <w:sz w:val="14"/>
                <w:szCs w:val="14"/>
              </w:rPr>
            </w:pPr>
            <w:r w:rsidRPr="00416D67">
              <w:rPr>
                <w:rFonts w:ascii="Arial" w:hAnsi="Arial" w:cs="Arial"/>
                <w:sz w:val="14"/>
                <w:szCs w:val="14"/>
              </w:rPr>
              <w:t>3811</w:t>
            </w:r>
          </w:p>
        </w:tc>
        <w:tc>
          <w:tcPr>
            <w:tcW w:w="8106" w:type="dxa"/>
            <w:tcBorders>
              <w:top w:val="single" w:sz="4" w:space="0" w:color="auto"/>
              <w:left w:val="nil"/>
              <w:bottom w:val="single" w:sz="4" w:space="0" w:color="auto"/>
              <w:right w:val="single" w:sz="4" w:space="0" w:color="auto"/>
            </w:tcBorders>
            <w:noWrap/>
            <w:vAlign w:val="bottom"/>
            <w:hideMark/>
          </w:tcPr>
          <w:p w14:paraId="355609A4" w14:textId="77777777" w:rsidR="00416D67" w:rsidRPr="00416D67" w:rsidRDefault="00416D67" w:rsidP="00416D67">
            <w:pPr>
              <w:rPr>
                <w:rFonts w:ascii="Arial" w:hAnsi="Arial" w:cs="Arial"/>
                <w:sz w:val="14"/>
                <w:szCs w:val="14"/>
              </w:rPr>
            </w:pPr>
            <w:r w:rsidRPr="00416D67">
              <w:rPr>
                <w:rFonts w:ascii="Arial" w:hAnsi="Arial" w:cs="Arial"/>
                <w:sz w:val="14"/>
                <w:szCs w:val="14"/>
              </w:rPr>
              <w:t>Tekuće donacije u novcu</w:t>
            </w:r>
          </w:p>
        </w:tc>
        <w:tc>
          <w:tcPr>
            <w:tcW w:w="1095" w:type="dxa"/>
            <w:tcBorders>
              <w:top w:val="single" w:sz="4" w:space="0" w:color="auto"/>
              <w:left w:val="nil"/>
              <w:bottom w:val="single" w:sz="4" w:space="0" w:color="auto"/>
              <w:right w:val="single" w:sz="4" w:space="0" w:color="auto"/>
            </w:tcBorders>
            <w:noWrap/>
            <w:vAlign w:val="bottom"/>
            <w:hideMark/>
          </w:tcPr>
          <w:p w14:paraId="40BCA53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201B9B4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E21D52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9.746,18</w:t>
            </w:r>
          </w:p>
        </w:tc>
        <w:tc>
          <w:tcPr>
            <w:tcW w:w="918" w:type="dxa"/>
            <w:tcBorders>
              <w:top w:val="single" w:sz="4" w:space="0" w:color="auto"/>
              <w:left w:val="nil"/>
              <w:bottom w:val="single" w:sz="4" w:space="0" w:color="auto"/>
              <w:right w:val="single" w:sz="4" w:space="0" w:color="auto"/>
            </w:tcBorders>
            <w:noWrap/>
            <w:vAlign w:val="bottom"/>
            <w:hideMark/>
          </w:tcPr>
          <w:p w14:paraId="52FA2C0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8E9F60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87FB68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A100012</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268A498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Vijeće bošnjačke nacionalne manjine</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232F2B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1796454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AED673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009ED8A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1BC7B98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2912ED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6BE8C1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710A7E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506B53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D63E15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5032D73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824D5A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825DD5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FA9DCE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28C528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C46B8F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68EBBB0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97719A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791F9F6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4D33827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3.000,00</w:t>
            </w:r>
          </w:p>
        </w:tc>
        <w:tc>
          <w:tcPr>
            <w:tcW w:w="1070" w:type="dxa"/>
            <w:tcBorders>
              <w:top w:val="single" w:sz="4" w:space="0" w:color="auto"/>
              <w:left w:val="nil"/>
              <w:bottom w:val="single" w:sz="4" w:space="0" w:color="auto"/>
              <w:right w:val="single" w:sz="4" w:space="0" w:color="auto"/>
            </w:tcBorders>
            <w:noWrap/>
            <w:vAlign w:val="bottom"/>
            <w:hideMark/>
          </w:tcPr>
          <w:p w14:paraId="4C2205A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3.000,00</w:t>
            </w:r>
          </w:p>
        </w:tc>
        <w:tc>
          <w:tcPr>
            <w:tcW w:w="1095" w:type="dxa"/>
            <w:tcBorders>
              <w:top w:val="single" w:sz="4" w:space="0" w:color="auto"/>
              <w:left w:val="nil"/>
              <w:bottom w:val="single" w:sz="4" w:space="0" w:color="auto"/>
              <w:right w:val="single" w:sz="4" w:space="0" w:color="auto"/>
            </w:tcBorders>
            <w:noWrap/>
            <w:vAlign w:val="bottom"/>
            <w:hideMark/>
          </w:tcPr>
          <w:p w14:paraId="503F7E0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2ED2D2B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36C46813" w14:textId="77777777" w:rsidTr="00BB1392">
        <w:trPr>
          <w:trHeight w:val="28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367407D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Organizacijska klasifikacija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C5D9155"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07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C9D35A2"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61F53D4"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9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ADFCCE6"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2025/2024.           (3/2)</w:t>
            </w:r>
          </w:p>
        </w:tc>
      </w:tr>
      <w:tr w:rsidR="00416D67" w:rsidRPr="00416D67" w14:paraId="4C9B7C2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27D9768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Izvori</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5CA5A3F0"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598F082D"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5F3985F4"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3CD4D927" w14:textId="77777777" w:rsidR="00416D67" w:rsidRPr="00416D67" w:rsidRDefault="00416D67" w:rsidP="00416D67">
            <w:pPr>
              <w:rPr>
                <w:rFonts w:ascii="Arial" w:hAnsi="Arial" w:cs="Arial"/>
                <w:sz w:val="14"/>
                <w:szCs w:val="14"/>
              </w:rPr>
            </w:pPr>
          </w:p>
        </w:tc>
      </w:tr>
      <w:tr w:rsidR="00416D67" w:rsidRPr="00416D67" w14:paraId="09FE010C"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000000"/>
            </w:tcBorders>
            <w:shd w:val="clear" w:color="000000" w:fill="D9D9D9"/>
            <w:hideMark/>
          </w:tcPr>
          <w:p w14:paraId="03F65C2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Projekt/Aktivnost</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1D3A0D4D"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571D013D"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0EC558D4"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43ED846C" w14:textId="77777777" w:rsidR="00416D67" w:rsidRPr="00416D67" w:rsidRDefault="00416D67" w:rsidP="00416D67">
            <w:pPr>
              <w:rPr>
                <w:rFonts w:ascii="Arial" w:hAnsi="Arial" w:cs="Arial"/>
                <w:sz w:val="14"/>
                <w:szCs w:val="14"/>
              </w:rPr>
            </w:pPr>
          </w:p>
        </w:tc>
      </w:tr>
      <w:tr w:rsidR="00416D67" w:rsidRPr="00416D67" w14:paraId="240397B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707AECB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VRSTA RASHODA I IZDATAKA</w:t>
            </w:r>
          </w:p>
        </w:tc>
        <w:tc>
          <w:tcPr>
            <w:tcW w:w="1095" w:type="dxa"/>
            <w:tcBorders>
              <w:top w:val="single" w:sz="4" w:space="0" w:color="auto"/>
              <w:left w:val="nil"/>
              <w:bottom w:val="single" w:sz="4" w:space="0" w:color="auto"/>
              <w:right w:val="single" w:sz="4" w:space="0" w:color="auto"/>
            </w:tcBorders>
            <w:shd w:val="clear" w:color="000000" w:fill="D9D9D9"/>
            <w:noWrap/>
            <w:vAlign w:val="bottom"/>
            <w:hideMark/>
          </w:tcPr>
          <w:p w14:paraId="36D833FF" w14:textId="77777777" w:rsidR="00416D67" w:rsidRPr="00416D67" w:rsidRDefault="00416D67" w:rsidP="00416D67">
            <w:pPr>
              <w:jc w:val="center"/>
              <w:rPr>
                <w:rFonts w:ascii="Arial" w:hAnsi="Arial" w:cs="Arial"/>
                <w:b/>
                <w:bCs/>
                <w:sz w:val="14"/>
                <w:szCs w:val="14"/>
              </w:rPr>
            </w:pPr>
            <w:r w:rsidRPr="00416D67">
              <w:rPr>
                <w:rFonts w:ascii="Arial" w:hAnsi="Arial" w:cs="Arial"/>
                <w:b/>
                <w:bCs/>
                <w:sz w:val="14"/>
                <w:szCs w:val="14"/>
              </w:rPr>
              <w:t>1</w:t>
            </w:r>
          </w:p>
        </w:tc>
        <w:tc>
          <w:tcPr>
            <w:tcW w:w="1070" w:type="dxa"/>
            <w:tcBorders>
              <w:top w:val="single" w:sz="4" w:space="0" w:color="auto"/>
              <w:left w:val="nil"/>
              <w:bottom w:val="single" w:sz="4" w:space="0" w:color="auto"/>
              <w:right w:val="single" w:sz="4" w:space="0" w:color="auto"/>
            </w:tcBorders>
            <w:shd w:val="clear" w:color="000000" w:fill="D9D9D9"/>
            <w:noWrap/>
            <w:vAlign w:val="bottom"/>
            <w:hideMark/>
          </w:tcPr>
          <w:p w14:paraId="1F4F9FDF" w14:textId="77777777" w:rsidR="00416D67" w:rsidRPr="00416D67" w:rsidRDefault="00416D67" w:rsidP="00416D67">
            <w:pPr>
              <w:jc w:val="center"/>
              <w:rPr>
                <w:rFonts w:ascii="Arial" w:hAnsi="Arial" w:cs="Arial"/>
                <w:b/>
                <w:bCs/>
                <w:sz w:val="14"/>
                <w:szCs w:val="14"/>
              </w:rPr>
            </w:pPr>
            <w:r w:rsidRPr="00416D67">
              <w:rPr>
                <w:rFonts w:ascii="Arial" w:hAnsi="Arial" w:cs="Arial"/>
                <w:b/>
                <w:bCs/>
                <w:sz w:val="14"/>
                <w:szCs w:val="14"/>
              </w:rPr>
              <w:t>2</w:t>
            </w:r>
          </w:p>
        </w:tc>
        <w:tc>
          <w:tcPr>
            <w:tcW w:w="1095" w:type="dxa"/>
            <w:tcBorders>
              <w:top w:val="single" w:sz="4" w:space="0" w:color="auto"/>
              <w:left w:val="nil"/>
              <w:bottom w:val="single" w:sz="4" w:space="0" w:color="auto"/>
              <w:right w:val="single" w:sz="4" w:space="0" w:color="auto"/>
            </w:tcBorders>
            <w:shd w:val="clear" w:color="000000" w:fill="D9D9D9"/>
            <w:noWrap/>
            <w:vAlign w:val="bottom"/>
            <w:hideMark/>
          </w:tcPr>
          <w:p w14:paraId="4CB4E682" w14:textId="77777777" w:rsidR="00416D67" w:rsidRPr="00416D67" w:rsidRDefault="00416D67" w:rsidP="00416D67">
            <w:pPr>
              <w:jc w:val="center"/>
              <w:rPr>
                <w:rFonts w:ascii="Arial" w:hAnsi="Arial" w:cs="Arial"/>
                <w:b/>
                <w:bCs/>
                <w:sz w:val="14"/>
                <w:szCs w:val="14"/>
              </w:rPr>
            </w:pPr>
            <w:r w:rsidRPr="00416D67">
              <w:rPr>
                <w:rFonts w:ascii="Arial" w:hAnsi="Arial" w:cs="Arial"/>
                <w:b/>
                <w:bCs/>
                <w:sz w:val="14"/>
                <w:szCs w:val="14"/>
              </w:rPr>
              <w:t>3</w:t>
            </w:r>
          </w:p>
        </w:tc>
        <w:tc>
          <w:tcPr>
            <w:tcW w:w="918" w:type="dxa"/>
            <w:tcBorders>
              <w:top w:val="single" w:sz="4" w:space="0" w:color="auto"/>
              <w:left w:val="nil"/>
              <w:bottom w:val="single" w:sz="4" w:space="0" w:color="auto"/>
              <w:right w:val="single" w:sz="4" w:space="0" w:color="auto"/>
            </w:tcBorders>
            <w:shd w:val="clear" w:color="000000" w:fill="D9D9D9"/>
            <w:noWrap/>
            <w:vAlign w:val="bottom"/>
            <w:hideMark/>
          </w:tcPr>
          <w:p w14:paraId="52FBE16B" w14:textId="77777777" w:rsidR="00416D67" w:rsidRPr="00416D67" w:rsidRDefault="00416D67" w:rsidP="00416D67">
            <w:pPr>
              <w:jc w:val="center"/>
              <w:rPr>
                <w:rFonts w:ascii="Arial" w:hAnsi="Arial" w:cs="Arial"/>
                <w:b/>
                <w:bCs/>
                <w:sz w:val="14"/>
                <w:szCs w:val="14"/>
              </w:rPr>
            </w:pPr>
            <w:r w:rsidRPr="00416D67">
              <w:rPr>
                <w:rFonts w:ascii="Arial" w:hAnsi="Arial" w:cs="Arial"/>
                <w:b/>
                <w:bCs/>
                <w:sz w:val="14"/>
                <w:szCs w:val="14"/>
              </w:rPr>
              <w:t>4</w:t>
            </w:r>
          </w:p>
        </w:tc>
      </w:tr>
      <w:tr w:rsidR="00416D67" w:rsidRPr="00416D67" w14:paraId="31D3307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38DF48A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UKUPNO RASHODI I IZDATCI</w:t>
            </w:r>
          </w:p>
        </w:tc>
        <w:tc>
          <w:tcPr>
            <w:tcW w:w="1095" w:type="dxa"/>
            <w:tcBorders>
              <w:top w:val="single" w:sz="4" w:space="0" w:color="auto"/>
              <w:left w:val="nil"/>
              <w:bottom w:val="single" w:sz="4" w:space="0" w:color="auto"/>
              <w:right w:val="single" w:sz="4" w:space="0" w:color="auto"/>
            </w:tcBorders>
            <w:shd w:val="clear" w:color="000000" w:fill="C0C0C0"/>
            <w:noWrap/>
            <w:vAlign w:val="bottom"/>
            <w:hideMark/>
          </w:tcPr>
          <w:p w14:paraId="68F20E7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9.163.800,00</w:t>
            </w:r>
          </w:p>
        </w:tc>
        <w:tc>
          <w:tcPr>
            <w:tcW w:w="1070" w:type="dxa"/>
            <w:tcBorders>
              <w:top w:val="single" w:sz="4" w:space="0" w:color="auto"/>
              <w:left w:val="nil"/>
              <w:bottom w:val="single" w:sz="4" w:space="0" w:color="auto"/>
              <w:right w:val="single" w:sz="4" w:space="0" w:color="auto"/>
            </w:tcBorders>
            <w:shd w:val="clear" w:color="000000" w:fill="C0C0C0"/>
            <w:noWrap/>
            <w:vAlign w:val="bottom"/>
            <w:hideMark/>
          </w:tcPr>
          <w:p w14:paraId="2922047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9.163.800,00</w:t>
            </w:r>
          </w:p>
        </w:tc>
        <w:tc>
          <w:tcPr>
            <w:tcW w:w="1095" w:type="dxa"/>
            <w:tcBorders>
              <w:top w:val="single" w:sz="4" w:space="0" w:color="auto"/>
              <w:left w:val="nil"/>
              <w:bottom w:val="single" w:sz="4" w:space="0" w:color="auto"/>
              <w:right w:val="single" w:sz="4" w:space="0" w:color="auto"/>
            </w:tcBorders>
            <w:shd w:val="clear" w:color="000000" w:fill="C0C0C0"/>
            <w:noWrap/>
            <w:vAlign w:val="bottom"/>
            <w:hideMark/>
          </w:tcPr>
          <w:p w14:paraId="1911E7C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6.587.292,79</w:t>
            </w:r>
          </w:p>
        </w:tc>
        <w:tc>
          <w:tcPr>
            <w:tcW w:w="918" w:type="dxa"/>
            <w:tcBorders>
              <w:top w:val="single" w:sz="4" w:space="0" w:color="auto"/>
              <w:left w:val="nil"/>
              <w:bottom w:val="single" w:sz="4" w:space="0" w:color="auto"/>
              <w:right w:val="single" w:sz="4" w:space="0" w:color="auto"/>
            </w:tcBorders>
            <w:shd w:val="clear" w:color="000000" w:fill="C0C0C0"/>
            <w:noWrap/>
            <w:vAlign w:val="bottom"/>
            <w:hideMark/>
          </w:tcPr>
          <w:p w14:paraId="5EF6818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71,88%</w:t>
            </w:r>
          </w:p>
        </w:tc>
      </w:tr>
      <w:tr w:rsidR="00416D67" w:rsidRPr="00416D67" w14:paraId="35ED586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0DF82A9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lastRenderedPageBreak/>
              <w:t>1002</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0485B98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Program: Program rada savjeta mladih</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192AE9A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2.655,00</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1E535AD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2.655,00</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7ED04DB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1841F8A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40A4DD1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D65BF5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736B18F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Redovan rad savjeta mladih</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EAAA9C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2.655,00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243F371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2.655,00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8314F7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06C14C9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0F6A588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FC325E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C91171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2.655,00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530560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2.655,00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A602D1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6AFC02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6BBB300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DD20E4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E7A833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2.655,00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D08FBD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2.655,00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CB27B1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628F13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1BE18BD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72EADA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24C9889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628A9C7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2.655,00</w:t>
            </w:r>
          </w:p>
        </w:tc>
        <w:tc>
          <w:tcPr>
            <w:tcW w:w="1070" w:type="dxa"/>
            <w:tcBorders>
              <w:top w:val="single" w:sz="4" w:space="0" w:color="auto"/>
              <w:left w:val="nil"/>
              <w:bottom w:val="single" w:sz="4" w:space="0" w:color="auto"/>
              <w:right w:val="single" w:sz="4" w:space="0" w:color="auto"/>
            </w:tcBorders>
            <w:noWrap/>
            <w:vAlign w:val="bottom"/>
            <w:hideMark/>
          </w:tcPr>
          <w:p w14:paraId="7AA077B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2.655,00</w:t>
            </w:r>
          </w:p>
        </w:tc>
        <w:tc>
          <w:tcPr>
            <w:tcW w:w="1095" w:type="dxa"/>
            <w:tcBorders>
              <w:top w:val="single" w:sz="4" w:space="0" w:color="auto"/>
              <w:left w:val="nil"/>
              <w:bottom w:val="single" w:sz="4" w:space="0" w:color="auto"/>
              <w:right w:val="single" w:sz="4" w:space="0" w:color="auto"/>
            </w:tcBorders>
            <w:noWrap/>
            <w:vAlign w:val="bottom"/>
            <w:hideMark/>
          </w:tcPr>
          <w:p w14:paraId="791E5B9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1CAC5FB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165FE23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36BE50B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GLAVA 00102 OPĆINSKI NAČELNIK I ZAMJENIK NAČELNIKA</w:t>
            </w:r>
          </w:p>
        </w:tc>
        <w:tc>
          <w:tcPr>
            <w:tcW w:w="1095" w:type="dxa"/>
            <w:tcBorders>
              <w:top w:val="single" w:sz="4" w:space="0" w:color="auto"/>
              <w:left w:val="nil"/>
              <w:bottom w:val="single" w:sz="4" w:space="0" w:color="auto"/>
              <w:right w:val="single" w:sz="4" w:space="0" w:color="auto"/>
            </w:tcBorders>
            <w:shd w:val="clear" w:color="000000" w:fill="9999FF"/>
            <w:noWrap/>
            <w:vAlign w:val="bottom"/>
            <w:hideMark/>
          </w:tcPr>
          <w:p w14:paraId="3E2BF46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83.876,40</w:t>
            </w:r>
          </w:p>
        </w:tc>
        <w:tc>
          <w:tcPr>
            <w:tcW w:w="1070" w:type="dxa"/>
            <w:tcBorders>
              <w:top w:val="single" w:sz="4" w:space="0" w:color="auto"/>
              <w:left w:val="nil"/>
              <w:bottom w:val="single" w:sz="4" w:space="0" w:color="auto"/>
              <w:right w:val="single" w:sz="4" w:space="0" w:color="auto"/>
            </w:tcBorders>
            <w:shd w:val="clear" w:color="000000" w:fill="9999FF"/>
            <w:noWrap/>
            <w:vAlign w:val="bottom"/>
            <w:hideMark/>
          </w:tcPr>
          <w:p w14:paraId="374C889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83.876,40</w:t>
            </w:r>
          </w:p>
        </w:tc>
        <w:tc>
          <w:tcPr>
            <w:tcW w:w="1095" w:type="dxa"/>
            <w:tcBorders>
              <w:top w:val="single" w:sz="4" w:space="0" w:color="auto"/>
              <w:left w:val="nil"/>
              <w:bottom w:val="single" w:sz="4" w:space="0" w:color="auto"/>
              <w:right w:val="single" w:sz="4" w:space="0" w:color="auto"/>
            </w:tcBorders>
            <w:shd w:val="clear" w:color="000000" w:fill="9999FF"/>
            <w:noWrap/>
            <w:vAlign w:val="bottom"/>
            <w:hideMark/>
          </w:tcPr>
          <w:p w14:paraId="0E20A28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80.161,74</w:t>
            </w:r>
          </w:p>
        </w:tc>
        <w:tc>
          <w:tcPr>
            <w:tcW w:w="918" w:type="dxa"/>
            <w:tcBorders>
              <w:top w:val="single" w:sz="4" w:space="0" w:color="auto"/>
              <w:left w:val="nil"/>
              <w:bottom w:val="single" w:sz="4" w:space="0" w:color="auto"/>
              <w:right w:val="single" w:sz="4" w:space="0" w:color="auto"/>
            </w:tcBorders>
            <w:shd w:val="clear" w:color="000000" w:fill="9999FF"/>
            <w:noWrap/>
            <w:vAlign w:val="bottom"/>
            <w:hideMark/>
          </w:tcPr>
          <w:p w14:paraId="1509070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95,57%</w:t>
            </w:r>
          </w:p>
        </w:tc>
      </w:tr>
      <w:tr w:rsidR="00416D67" w:rsidRPr="00416D67" w14:paraId="7A8D73A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768B81"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9D2DC2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83.003,00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954D3F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83.003,00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654274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79.504,80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573E7B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95,79%</w:t>
            </w:r>
          </w:p>
        </w:tc>
      </w:tr>
      <w:tr w:rsidR="00416D67" w:rsidRPr="00416D67" w14:paraId="35364CF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F99D60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BB3E19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83.003,00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EE1658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83.003,00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800843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79.504,80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6DE322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95,79%</w:t>
            </w:r>
          </w:p>
        </w:tc>
      </w:tr>
      <w:tr w:rsidR="00416D67" w:rsidRPr="00416D67" w14:paraId="7283A77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F33A14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ABF232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873,40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1B5049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873,40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87CB6F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656,94</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3850E5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75,22%</w:t>
            </w:r>
          </w:p>
        </w:tc>
      </w:tr>
      <w:tr w:rsidR="00416D67" w:rsidRPr="00416D67" w14:paraId="0AEFDB6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FBCA99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4.3.6 Koncesije i koncesijska odobrenja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3C20CF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873,40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6796D0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873,40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B57751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656,94</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533AFE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75,22%</w:t>
            </w:r>
          </w:p>
        </w:tc>
      </w:tr>
      <w:tr w:rsidR="00416D67" w:rsidRPr="00416D67" w14:paraId="774005E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2EC0D7E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1010</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3726CE4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Program: Redovna djelatnost Općinskog načelnika</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66C5013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83.876,40</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2ECD73E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83.876,40</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1AE335B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80.161,74</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1991539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95,57%</w:t>
            </w:r>
          </w:p>
        </w:tc>
      </w:tr>
      <w:tr w:rsidR="00416D67" w:rsidRPr="00416D67" w14:paraId="0669F9F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E2FE83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3EEBF90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Plaće  i naknade dužnosnika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DBCFE7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67.838,00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567B30A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67.838,00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F05BE8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67.770,71</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2A6BD8D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99,90%</w:t>
            </w:r>
          </w:p>
        </w:tc>
      </w:tr>
      <w:tr w:rsidR="00416D67" w:rsidRPr="00416D67" w14:paraId="4D4157E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A6132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039840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67.838,00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98AD79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67.838,00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E7E580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67.770,71</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0050FF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99,90%</w:t>
            </w:r>
          </w:p>
        </w:tc>
      </w:tr>
      <w:tr w:rsidR="00416D67" w:rsidRPr="00416D67" w14:paraId="129645F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ED54FF1"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868BE6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67.838,00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55D0D7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67.838,00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DDA9A3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67.770,71</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65A55B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99,90%</w:t>
            </w:r>
          </w:p>
        </w:tc>
      </w:tr>
      <w:tr w:rsidR="00416D67" w:rsidRPr="00416D67" w14:paraId="584E9C4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A05CB7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31</w:t>
            </w:r>
          </w:p>
        </w:tc>
        <w:tc>
          <w:tcPr>
            <w:tcW w:w="8106" w:type="dxa"/>
            <w:tcBorders>
              <w:top w:val="single" w:sz="4" w:space="0" w:color="auto"/>
              <w:left w:val="nil"/>
              <w:bottom w:val="single" w:sz="4" w:space="0" w:color="auto"/>
              <w:right w:val="single" w:sz="4" w:space="0" w:color="auto"/>
            </w:tcBorders>
            <w:noWrap/>
            <w:vAlign w:val="bottom"/>
            <w:hideMark/>
          </w:tcPr>
          <w:p w14:paraId="3B5BBF2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zaposlene</w:t>
            </w:r>
          </w:p>
        </w:tc>
        <w:tc>
          <w:tcPr>
            <w:tcW w:w="1095" w:type="dxa"/>
            <w:tcBorders>
              <w:top w:val="single" w:sz="4" w:space="0" w:color="auto"/>
              <w:left w:val="nil"/>
              <w:bottom w:val="single" w:sz="4" w:space="0" w:color="auto"/>
              <w:right w:val="single" w:sz="4" w:space="0" w:color="auto"/>
            </w:tcBorders>
            <w:noWrap/>
            <w:vAlign w:val="bottom"/>
            <w:hideMark/>
          </w:tcPr>
          <w:p w14:paraId="49C0AE4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67.838,00</w:t>
            </w:r>
          </w:p>
        </w:tc>
        <w:tc>
          <w:tcPr>
            <w:tcW w:w="1070" w:type="dxa"/>
            <w:tcBorders>
              <w:top w:val="single" w:sz="4" w:space="0" w:color="auto"/>
              <w:left w:val="nil"/>
              <w:bottom w:val="single" w:sz="4" w:space="0" w:color="auto"/>
              <w:right w:val="single" w:sz="4" w:space="0" w:color="auto"/>
            </w:tcBorders>
            <w:noWrap/>
            <w:vAlign w:val="bottom"/>
            <w:hideMark/>
          </w:tcPr>
          <w:p w14:paraId="7FEAD0B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67.838,00</w:t>
            </w:r>
          </w:p>
        </w:tc>
        <w:tc>
          <w:tcPr>
            <w:tcW w:w="1095" w:type="dxa"/>
            <w:tcBorders>
              <w:top w:val="single" w:sz="4" w:space="0" w:color="auto"/>
              <w:left w:val="nil"/>
              <w:bottom w:val="single" w:sz="4" w:space="0" w:color="auto"/>
              <w:right w:val="single" w:sz="4" w:space="0" w:color="auto"/>
            </w:tcBorders>
            <w:noWrap/>
            <w:vAlign w:val="bottom"/>
            <w:hideMark/>
          </w:tcPr>
          <w:p w14:paraId="6E556D5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67.770,71</w:t>
            </w:r>
          </w:p>
        </w:tc>
        <w:tc>
          <w:tcPr>
            <w:tcW w:w="918" w:type="dxa"/>
            <w:tcBorders>
              <w:top w:val="single" w:sz="4" w:space="0" w:color="auto"/>
              <w:left w:val="nil"/>
              <w:bottom w:val="single" w:sz="4" w:space="0" w:color="auto"/>
              <w:right w:val="single" w:sz="4" w:space="0" w:color="auto"/>
            </w:tcBorders>
            <w:noWrap/>
            <w:vAlign w:val="bottom"/>
            <w:hideMark/>
          </w:tcPr>
          <w:p w14:paraId="5E50AEC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99,90%</w:t>
            </w:r>
          </w:p>
        </w:tc>
      </w:tr>
      <w:tr w:rsidR="00416D67" w:rsidRPr="00416D67" w14:paraId="78361D2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ACD42C7" w14:textId="77777777" w:rsidR="00416D67" w:rsidRPr="00416D67" w:rsidRDefault="00416D67" w:rsidP="00416D67">
            <w:pPr>
              <w:rPr>
                <w:rFonts w:ascii="Arial" w:hAnsi="Arial" w:cs="Arial"/>
                <w:sz w:val="14"/>
                <w:szCs w:val="14"/>
              </w:rPr>
            </w:pPr>
            <w:r w:rsidRPr="00416D67">
              <w:rPr>
                <w:rFonts w:ascii="Arial" w:hAnsi="Arial" w:cs="Arial"/>
                <w:sz w:val="14"/>
                <w:szCs w:val="14"/>
              </w:rPr>
              <w:t>3111</w:t>
            </w:r>
          </w:p>
        </w:tc>
        <w:tc>
          <w:tcPr>
            <w:tcW w:w="8106" w:type="dxa"/>
            <w:tcBorders>
              <w:top w:val="single" w:sz="4" w:space="0" w:color="auto"/>
              <w:left w:val="nil"/>
              <w:bottom w:val="single" w:sz="4" w:space="0" w:color="auto"/>
              <w:right w:val="single" w:sz="4" w:space="0" w:color="auto"/>
            </w:tcBorders>
            <w:noWrap/>
            <w:vAlign w:val="bottom"/>
            <w:hideMark/>
          </w:tcPr>
          <w:p w14:paraId="0F87ABFB" w14:textId="77777777" w:rsidR="00416D67" w:rsidRPr="00416D67" w:rsidRDefault="00416D67" w:rsidP="00416D67">
            <w:pPr>
              <w:rPr>
                <w:rFonts w:ascii="Arial" w:hAnsi="Arial" w:cs="Arial"/>
                <w:sz w:val="14"/>
                <w:szCs w:val="14"/>
              </w:rPr>
            </w:pPr>
            <w:r w:rsidRPr="00416D67">
              <w:rPr>
                <w:rFonts w:ascii="Arial" w:hAnsi="Arial" w:cs="Arial"/>
                <w:sz w:val="14"/>
                <w:szCs w:val="14"/>
              </w:rPr>
              <w:t>Plaće za redovan rad</w:t>
            </w:r>
          </w:p>
        </w:tc>
        <w:tc>
          <w:tcPr>
            <w:tcW w:w="1095" w:type="dxa"/>
            <w:tcBorders>
              <w:top w:val="single" w:sz="4" w:space="0" w:color="auto"/>
              <w:left w:val="nil"/>
              <w:bottom w:val="single" w:sz="4" w:space="0" w:color="auto"/>
              <w:right w:val="single" w:sz="4" w:space="0" w:color="auto"/>
            </w:tcBorders>
            <w:noWrap/>
            <w:vAlign w:val="bottom"/>
            <w:hideMark/>
          </w:tcPr>
          <w:p w14:paraId="62DD6DE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3CF5B0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4E47A1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57.142,25</w:t>
            </w:r>
          </w:p>
        </w:tc>
        <w:tc>
          <w:tcPr>
            <w:tcW w:w="918" w:type="dxa"/>
            <w:tcBorders>
              <w:top w:val="single" w:sz="4" w:space="0" w:color="auto"/>
              <w:left w:val="nil"/>
              <w:bottom w:val="single" w:sz="4" w:space="0" w:color="auto"/>
              <w:right w:val="single" w:sz="4" w:space="0" w:color="auto"/>
            </w:tcBorders>
            <w:noWrap/>
            <w:vAlign w:val="bottom"/>
            <w:hideMark/>
          </w:tcPr>
          <w:p w14:paraId="6C2C3D3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A14702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F0A6D9D" w14:textId="77777777" w:rsidR="00416D67" w:rsidRPr="00416D67" w:rsidRDefault="00416D67" w:rsidP="00416D67">
            <w:pPr>
              <w:rPr>
                <w:rFonts w:ascii="Arial" w:hAnsi="Arial" w:cs="Arial"/>
                <w:sz w:val="14"/>
                <w:szCs w:val="14"/>
              </w:rPr>
            </w:pPr>
            <w:r w:rsidRPr="00416D67">
              <w:rPr>
                <w:rFonts w:ascii="Arial" w:hAnsi="Arial" w:cs="Arial"/>
                <w:sz w:val="14"/>
                <w:szCs w:val="14"/>
              </w:rPr>
              <w:t>3121</w:t>
            </w:r>
          </w:p>
        </w:tc>
        <w:tc>
          <w:tcPr>
            <w:tcW w:w="8106" w:type="dxa"/>
            <w:tcBorders>
              <w:top w:val="single" w:sz="4" w:space="0" w:color="auto"/>
              <w:left w:val="nil"/>
              <w:bottom w:val="single" w:sz="4" w:space="0" w:color="auto"/>
              <w:right w:val="single" w:sz="4" w:space="0" w:color="auto"/>
            </w:tcBorders>
            <w:noWrap/>
            <w:vAlign w:val="bottom"/>
            <w:hideMark/>
          </w:tcPr>
          <w:p w14:paraId="5E1BFC45" w14:textId="77777777" w:rsidR="00416D67" w:rsidRPr="00416D67" w:rsidRDefault="00416D67" w:rsidP="00416D67">
            <w:pPr>
              <w:rPr>
                <w:rFonts w:ascii="Arial" w:hAnsi="Arial" w:cs="Arial"/>
                <w:sz w:val="14"/>
                <w:szCs w:val="14"/>
              </w:rPr>
            </w:pPr>
            <w:r w:rsidRPr="00416D67">
              <w:rPr>
                <w:rFonts w:ascii="Arial" w:hAnsi="Arial" w:cs="Arial"/>
                <w:sz w:val="14"/>
                <w:szCs w:val="14"/>
              </w:rPr>
              <w:t>Ostali rashodi za zaposlene</w:t>
            </w:r>
          </w:p>
        </w:tc>
        <w:tc>
          <w:tcPr>
            <w:tcW w:w="1095" w:type="dxa"/>
            <w:tcBorders>
              <w:top w:val="single" w:sz="4" w:space="0" w:color="auto"/>
              <w:left w:val="nil"/>
              <w:bottom w:val="single" w:sz="4" w:space="0" w:color="auto"/>
              <w:right w:val="single" w:sz="4" w:space="0" w:color="auto"/>
            </w:tcBorders>
            <w:noWrap/>
            <w:vAlign w:val="bottom"/>
            <w:hideMark/>
          </w:tcPr>
          <w:p w14:paraId="72A9D3E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8335A3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51A238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1.200,00</w:t>
            </w:r>
          </w:p>
        </w:tc>
        <w:tc>
          <w:tcPr>
            <w:tcW w:w="918" w:type="dxa"/>
            <w:tcBorders>
              <w:top w:val="single" w:sz="4" w:space="0" w:color="auto"/>
              <w:left w:val="nil"/>
              <w:bottom w:val="single" w:sz="4" w:space="0" w:color="auto"/>
              <w:right w:val="single" w:sz="4" w:space="0" w:color="auto"/>
            </w:tcBorders>
            <w:noWrap/>
            <w:vAlign w:val="bottom"/>
            <w:hideMark/>
          </w:tcPr>
          <w:p w14:paraId="36D23A5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5C436C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D1F2E28" w14:textId="77777777" w:rsidR="00416D67" w:rsidRPr="00416D67" w:rsidRDefault="00416D67" w:rsidP="00416D67">
            <w:pPr>
              <w:rPr>
                <w:rFonts w:ascii="Arial" w:hAnsi="Arial" w:cs="Arial"/>
                <w:sz w:val="14"/>
                <w:szCs w:val="14"/>
              </w:rPr>
            </w:pPr>
            <w:r w:rsidRPr="00416D67">
              <w:rPr>
                <w:rFonts w:ascii="Arial" w:hAnsi="Arial" w:cs="Arial"/>
                <w:sz w:val="14"/>
                <w:szCs w:val="14"/>
              </w:rPr>
              <w:t>3132</w:t>
            </w:r>
          </w:p>
        </w:tc>
        <w:tc>
          <w:tcPr>
            <w:tcW w:w="8106" w:type="dxa"/>
            <w:tcBorders>
              <w:top w:val="single" w:sz="4" w:space="0" w:color="auto"/>
              <w:left w:val="nil"/>
              <w:bottom w:val="single" w:sz="4" w:space="0" w:color="auto"/>
              <w:right w:val="single" w:sz="4" w:space="0" w:color="auto"/>
            </w:tcBorders>
            <w:noWrap/>
            <w:vAlign w:val="bottom"/>
            <w:hideMark/>
          </w:tcPr>
          <w:p w14:paraId="703A91E4" w14:textId="77777777" w:rsidR="00416D67" w:rsidRPr="00416D67" w:rsidRDefault="00416D67" w:rsidP="00416D67">
            <w:pPr>
              <w:rPr>
                <w:rFonts w:ascii="Arial" w:hAnsi="Arial" w:cs="Arial"/>
                <w:sz w:val="14"/>
                <w:szCs w:val="14"/>
              </w:rPr>
            </w:pPr>
            <w:r w:rsidRPr="00416D67">
              <w:rPr>
                <w:rFonts w:ascii="Arial" w:hAnsi="Arial" w:cs="Arial"/>
                <w:sz w:val="14"/>
                <w:szCs w:val="14"/>
              </w:rPr>
              <w:t>Doprinosi za obvezno zdravstveno osiguranje</w:t>
            </w:r>
          </w:p>
        </w:tc>
        <w:tc>
          <w:tcPr>
            <w:tcW w:w="1095" w:type="dxa"/>
            <w:tcBorders>
              <w:top w:val="single" w:sz="4" w:space="0" w:color="auto"/>
              <w:left w:val="nil"/>
              <w:bottom w:val="single" w:sz="4" w:space="0" w:color="auto"/>
              <w:right w:val="single" w:sz="4" w:space="0" w:color="auto"/>
            </w:tcBorders>
            <w:noWrap/>
            <w:vAlign w:val="bottom"/>
            <w:hideMark/>
          </w:tcPr>
          <w:p w14:paraId="11FBBE1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1B8E96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DDED4D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9.428,46</w:t>
            </w:r>
          </w:p>
        </w:tc>
        <w:tc>
          <w:tcPr>
            <w:tcW w:w="918" w:type="dxa"/>
            <w:tcBorders>
              <w:top w:val="single" w:sz="4" w:space="0" w:color="auto"/>
              <w:left w:val="nil"/>
              <w:bottom w:val="single" w:sz="4" w:space="0" w:color="auto"/>
              <w:right w:val="single" w:sz="4" w:space="0" w:color="auto"/>
            </w:tcBorders>
            <w:noWrap/>
            <w:vAlign w:val="bottom"/>
            <w:hideMark/>
          </w:tcPr>
          <w:p w14:paraId="5898B77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982752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375B67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A100002</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55E52AE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Službena putovanja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3AC951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1EDFBE9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8A0562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1.303,50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0A166DE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65,18%</w:t>
            </w:r>
          </w:p>
        </w:tc>
      </w:tr>
      <w:tr w:rsidR="00416D67" w:rsidRPr="00416D67" w14:paraId="5CAC4A6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CD460C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A90D04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0936A3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25FB1A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1.303,50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C301BE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65,18%</w:t>
            </w:r>
          </w:p>
        </w:tc>
      </w:tr>
      <w:tr w:rsidR="00416D67" w:rsidRPr="00416D67" w14:paraId="28B17F6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8AE720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759945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29CBBF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1E42EA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1.303,50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9DE856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65,18%</w:t>
            </w:r>
          </w:p>
        </w:tc>
      </w:tr>
      <w:tr w:rsidR="00416D67" w:rsidRPr="00416D67" w14:paraId="0446D1A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C70DC2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50BB4A5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3C1FDAF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w:t>
            </w:r>
          </w:p>
        </w:tc>
        <w:tc>
          <w:tcPr>
            <w:tcW w:w="1070" w:type="dxa"/>
            <w:tcBorders>
              <w:top w:val="single" w:sz="4" w:space="0" w:color="auto"/>
              <w:left w:val="nil"/>
              <w:bottom w:val="single" w:sz="4" w:space="0" w:color="auto"/>
              <w:right w:val="single" w:sz="4" w:space="0" w:color="auto"/>
            </w:tcBorders>
            <w:noWrap/>
            <w:vAlign w:val="bottom"/>
            <w:hideMark/>
          </w:tcPr>
          <w:p w14:paraId="2D1F72F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w:t>
            </w:r>
          </w:p>
        </w:tc>
        <w:tc>
          <w:tcPr>
            <w:tcW w:w="1095" w:type="dxa"/>
            <w:tcBorders>
              <w:top w:val="single" w:sz="4" w:space="0" w:color="auto"/>
              <w:left w:val="nil"/>
              <w:bottom w:val="single" w:sz="4" w:space="0" w:color="auto"/>
              <w:right w:val="single" w:sz="4" w:space="0" w:color="auto"/>
            </w:tcBorders>
            <w:noWrap/>
            <w:vAlign w:val="bottom"/>
            <w:hideMark/>
          </w:tcPr>
          <w:p w14:paraId="2A8A740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1.303,50</w:t>
            </w:r>
          </w:p>
        </w:tc>
        <w:tc>
          <w:tcPr>
            <w:tcW w:w="918" w:type="dxa"/>
            <w:tcBorders>
              <w:top w:val="single" w:sz="4" w:space="0" w:color="auto"/>
              <w:left w:val="nil"/>
              <w:bottom w:val="single" w:sz="4" w:space="0" w:color="auto"/>
              <w:right w:val="single" w:sz="4" w:space="0" w:color="auto"/>
            </w:tcBorders>
            <w:noWrap/>
            <w:vAlign w:val="bottom"/>
            <w:hideMark/>
          </w:tcPr>
          <w:p w14:paraId="1C91110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65,18%</w:t>
            </w:r>
          </w:p>
        </w:tc>
      </w:tr>
      <w:tr w:rsidR="00416D67" w:rsidRPr="00416D67" w14:paraId="610C9CE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BE679B2" w14:textId="77777777" w:rsidR="00416D67" w:rsidRPr="00416D67" w:rsidRDefault="00416D67" w:rsidP="00416D67">
            <w:pPr>
              <w:rPr>
                <w:rFonts w:ascii="Arial" w:hAnsi="Arial" w:cs="Arial"/>
                <w:sz w:val="14"/>
                <w:szCs w:val="14"/>
              </w:rPr>
            </w:pPr>
            <w:r w:rsidRPr="00416D67">
              <w:rPr>
                <w:rFonts w:ascii="Arial" w:hAnsi="Arial" w:cs="Arial"/>
                <w:sz w:val="14"/>
                <w:szCs w:val="14"/>
              </w:rPr>
              <w:t>3211</w:t>
            </w:r>
          </w:p>
        </w:tc>
        <w:tc>
          <w:tcPr>
            <w:tcW w:w="8106" w:type="dxa"/>
            <w:tcBorders>
              <w:top w:val="single" w:sz="4" w:space="0" w:color="auto"/>
              <w:left w:val="nil"/>
              <w:bottom w:val="single" w:sz="4" w:space="0" w:color="auto"/>
              <w:right w:val="single" w:sz="4" w:space="0" w:color="auto"/>
            </w:tcBorders>
            <w:noWrap/>
            <w:vAlign w:val="bottom"/>
            <w:hideMark/>
          </w:tcPr>
          <w:p w14:paraId="43D75CB5" w14:textId="77777777" w:rsidR="00416D67" w:rsidRPr="00416D67" w:rsidRDefault="00416D67" w:rsidP="00416D67">
            <w:pPr>
              <w:rPr>
                <w:rFonts w:ascii="Arial" w:hAnsi="Arial" w:cs="Arial"/>
                <w:sz w:val="14"/>
                <w:szCs w:val="14"/>
              </w:rPr>
            </w:pPr>
            <w:r w:rsidRPr="00416D67">
              <w:rPr>
                <w:rFonts w:ascii="Arial" w:hAnsi="Arial" w:cs="Arial"/>
                <w:sz w:val="14"/>
                <w:szCs w:val="14"/>
              </w:rPr>
              <w:t>Službena putovanja</w:t>
            </w:r>
          </w:p>
        </w:tc>
        <w:tc>
          <w:tcPr>
            <w:tcW w:w="1095" w:type="dxa"/>
            <w:tcBorders>
              <w:top w:val="single" w:sz="4" w:space="0" w:color="auto"/>
              <w:left w:val="nil"/>
              <w:bottom w:val="single" w:sz="4" w:space="0" w:color="auto"/>
              <w:right w:val="single" w:sz="4" w:space="0" w:color="auto"/>
            </w:tcBorders>
            <w:noWrap/>
            <w:vAlign w:val="bottom"/>
            <w:hideMark/>
          </w:tcPr>
          <w:p w14:paraId="380C6AB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F65C11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DADA9C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785,00</w:t>
            </w:r>
          </w:p>
        </w:tc>
        <w:tc>
          <w:tcPr>
            <w:tcW w:w="918" w:type="dxa"/>
            <w:tcBorders>
              <w:top w:val="single" w:sz="4" w:space="0" w:color="auto"/>
              <w:left w:val="nil"/>
              <w:bottom w:val="single" w:sz="4" w:space="0" w:color="auto"/>
              <w:right w:val="single" w:sz="4" w:space="0" w:color="auto"/>
            </w:tcBorders>
            <w:noWrap/>
            <w:vAlign w:val="bottom"/>
            <w:hideMark/>
          </w:tcPr>
          <w:p w14:paraId="5A57455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D00E3E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BEB685D" w14:textId="77777777" w:rsidR="00416D67" w:rsidRPr="00416D67" w:rsidRDefault="00416D67" w:rsidP="00416D67">
            <w:pPr>
              <w:rPr>
                <w:rFonts w:ascii="Arial" w:hAnsi="Arial" w:cs="Arial"/>
                <w:sz w:val="14"/>
                <w:szCs w:val="14"/>
              </w:rPr>
            </w:pPr>
            <w:r w:rsidRPr="00416D67">
              <w:rPr>
                <w:rFonts w:ascii="Arial" w:hAnsi="Arial" w:cs="Arial"/>
                <w:sz w:val="14"/>
                <w:szCs w:val="14"/>
              </w:rPr>
              <w:t>3214</w:t>
            </w:r>
          </w:p>
        </w:tc>
        <w:tc>
          <w:tcPr>
            <w:tcW w:w="8106" w:type="dxa"/>
            <w:tcBorders>
              <w:top w:val="single" w:sz="4" w:space="0" w:color="auto"/>
              <w:left w:val="nil"/>
              <w:bottom w:val="single" w:sz="4" w:space="0" w:color="auto"/>
              <w:right w:val="single" w:sz="4" w:space="0" w:color="auto"/>
            </w:tcBorders>
            <w:noWrap/>
            <w:vAlign w:val="bottom"/>
            <w:hideMark/>
          </w:tcPr>
          <w:p w14:paraId="510F7E97" w14:textId="77777777" w:rsidR="00416D67" w:rsidRPr="00416D67" w:rsidRDefault="00416D67" w:rsidP="00416D67">
            <w:pPr>
              <w:rPr>
                <w:rFonts w:ascii="Arial" w:hAnsi="Arial" w:cs="Arial"/>
                <w:sz w:val="14"/>
                <w:szCs w:val="14"/>
              </w:rPr>
            </w:pPr>
            <w:r w:rsidRPr="00416D67">
              <w:rPr>
                <w:rFonts w:ascii="Arial" w:hAnsi="Arial" w:cs="Arial"/>
                <w:sz w:val="14"/>
                <w:szCs w:val="14"/>
              </w:rPr>
              <w:t>Ostale naknade troškova zaposlenima</w:t>
            </w:r>
          </w:p>
        </w:tc>
        <w:tc>
          <w:tcPr>
            <w:tcW w:w="1095" w:type="dxa"/>
            <w:tcBorders>
              <w:top w:val="single" w:sz="4" w:space="0" w:color="auto"/>
              <w:left w:val="nil"/>
              <w:bottom w:val="single" w:sz="4" w:space="0" w:color="auto"/>
              <w:right w:val="single" w:sz="4" w:space="0" w:color="auto"/>
            </w:tcBorders>
            <w:noWrap/>
            <w:vAlign w:val="bottom"/>
            <w:hideMark/>
          </w:tcPr>
          <w:p w14:paraId="5A7859A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613F34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668803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518,50</w:t>
            </w:r>
          </w:p>
        </w:tc>
        <w:tc>
          <w:tcPr>
            <w:tcW w:w="918" w:type="dxa"/>
            <w:tcBorders>
              <w:top w:val="single" w:sz="4" w:space="0" w:color="auto"/>
              <w:left w:val="nil"/>
              <w:bottom w:val="single" w:sz="4" w:space="0" w:color="auto"/>
              <w:right w:val="single" w:sz="4" w:space="0" w:color="auto"/>
            </w:tcBorders>
            <w:noWrap/>
            <w:vAlign w:val="bottom"/>
            <w:hideMark/>
          </w:tcPr>
          <w:p w14:paraId="020BE29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23A860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63399A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A100003</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449A041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Naknade troškova članovima radnih tijela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39AD1B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1.538,40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456B8B7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1.538,40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9D2C42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851,22</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35BBD72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55,33%</w:t>
            </w:r>
          </w:p>
        </w:tc>
      </w:tr>
      <w:tr w:rsidR="00416D67" w:rsidRPr="00416D67" w14:paraId="77B9193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A33B81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D2A417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665,00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91F684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665,00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4F015A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194,28</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97C7C4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29,22%</w:t>
            </w:r>
          </w:p>
        </w:tc>
      </w:tr>
      <w:tr w:rsidR="00416D67" w:rsidRPr="00416D67" w14:paraId="2265EFBF"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30865B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433BDB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665,00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002800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665,00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AF594B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194,28</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A57B92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29,22%</w:t>
            </w:r>
          </w:p>
        </w:tc>
      </w:tr>
      <w:tr w:rsidR="00416D67" w:rsidRPr="00416D67" w14:paraId="2A99A85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BAB342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31FD684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6195718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665,00</w:t>
            </w:r>
          </w:p>
        </w:tc>
        <w:tc>
          <w:tcPr>
            <w:tcW w:w="1070" w:type="dxa"/>
            <w:tcBorders>
              <w:top w:val="single" w:sz="4" w:space="0" w:color="auto"/>
              <w:left w:val="nil"/>
              <w:bottom w:val="single" w:sz="4" w:space="0" w:color="auto"/>
              <w:right w:val="single" w:sz="4" w:space="0" w:color="auto"/>
            </w:tcBorders>
            <w:noWrap/>
            <w:vAlign w:val="bottom"/>
            <w:hideMark/>
          </w:tcPr>
          <w:p w14:paraId="3D3077A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665,00</w:t>
            </w:r>
          </w:p>
        </w:tc>
        <w:tc>
          <w:tcPr>
            <w:tcW w:w="1095" w:type="dxa"/>
            <w:tcBorders>
              <w:top w:val="single" w:sz="4" w:space="0" w:color="auto"/>
              <w:left w:val="nil"/>
              <w:bottom w:val="single" w:sz="4" w:space="0" w:color="auto"/>
              <w:right w:val="single" w:sz="4" w:space="0" w:color="auto"/>
            </w:tcBorders>
            <w:noWrap/>
            <w:vAlign w:val="bottom"/>
            <w:hideMark/>
          </w:tcPr>
          <w:p w14:paraId="076AD29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194,28</w:t>
            </w:r>
          </w:p>
        </w:tc>
        <w:tc>
          <w:tcPr>
            <w:tcW w:w="918" w:type="dxa"/>
            <w:tcBorders>
              <w:top w:val="single" w:sz="4" w:space="0" w:color="auto"/>
              <w:left w:val="nil"/>
              <w:bottom w:val="single" w:sz="4" w:space="0" w:color="auto"/>
              <w:right w:val="single" w:sz="4" w:space="0" w:color="auto"/>
            </w:tcBorders>
            <w:noWrap/>
            <w:vAlign w:val="bottom"/>
            <w:hideMark/>
          </w:tcPr>
          <w:p w14:paraId="281E39B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29,22%</w:t>
            </w:r>
          </w:p>
        </w:tc>
      </w:tr>
      <w:tr w:rsidR="00416D67" w:rsidRPr="00416D67" w14:paraId="4F00910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3DB7FD8" w14:textId="77777777" w:rsidR="00416D67" w:rsidRPr="00416D67" w:rsidRDefault="00416D67" w:rsidP="00416D67">
            <w:pPr>
              <w:rPr>
                <w:rFonts w:ascii="Arial" w:hAnsi="Arial" w:cs="Arial"/>
                <w:sz w:val="14"/>
                <w:szCs w:val="14"/>
              </w:rPr>
            </w:pPr>
            <w:r w:rsidRPr="00416D67">
              <w:rPr>
                <w:rFonts w:ascii="Arial" w:hAnsi="Arial" w:cs="Arial"/>
                <w:sz w:val="14"/>
                <w:szCs w:val="14"/>
              </w:rPr>
              <w:t>3291</w:t>
            </w:r>
          </w:p>
        </w:tc>
        <w:tc>
          <w:tcPr>
            <w:tcW w:w="8106" w:type="dxa"/>
            <w:tcBorders>
              <w:top w:val="single" w:sz="4" w:space="0" w:color="auto"/>
              <w:left w:val="nil"/>
              <w:bottom w:val="single" w:sz="4" w:space="0" w:color="auto"/>
              <w:right w:val="single" w:sz="4" w:space="0" w:color="auto"/>
            </w:tcBorders>
            <w:noWrap/>
            <w:vAlign w:val="bottom"/>
            <w:hideMark/>
          </w:tcPr>
          <w:p w14:paraId="76C47FCB" w14:textId="77777777" w:rsidR="00416D67" w:rsidRPr="00416D67" w:rsidRDefault="00416D67" w:rsidP="00416D67">
            <w:pPr>
              <w:rPr>
                <w:rFonts w:ascii="Arial" w:hAnsi="Arial" w:cs="Arial"/>
                <w:sz w:val="14"/>
                <w:szCs w:val="14"/>
              </w:rPr>
            </w:pPr>
            <w:r w:rsidRPr="00416D67">
              <w:rPr>
                <w:rFonts w:ascii="Arial" w:hAnsi="Arial" w:cs="Arial"/>
                <w:sz w:val="14"/>
                <w:szCs w:val="14"/>
              </w:rPr>
              <w:t>Naknade za rad predstavničkih i izvršnih tijela, povjerenstava i slično</w:t>
            </w:r>
          </w:p>
        </w:tc>
        <w:tc>
          <w:tcPr>
            <w:tcW w:w="1095" w:type="dxa"/>
            <w:tcBorders>
              <w:top w:val="single" w:sz="4" w:space="0" w:color="auto"/>
              <w:left w:val="nil"/>
              <w:bottom w:val="single" w:sz="4" w:space="0" w:color="auto"/>
              <w:right w:val="single" w:sz="4" w:space="0" w:color="auto"/>
            </w:tcBorders>
            <w:noWrap/>
            <w:vAlign w:val="bottom"/>
            <w:hideMark/>
          </w:tcPr>
          <w:p w14:paraId="6B67986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04E01B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BA52ED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194,28</w:t>
            </w:r>
          </w:p>
        </w:tc>
        <w:tc>
          <w:tcPr>
            <w:tcW w:w="918" w:type="dxa"/>
            <w:tcBorders>
              <w:top w:val="single" w:sz="4" w:space="0" w:color="auto"/>
              <w:left w:val="nil"/>
              <w:bottom w:val="single" w:sz="4" w:space="0" w:color="auto"/>
              <w:right w:val="single" w:sz="4" w:space="0" w:color="auto"/>
            </w:tcBorders>
            <w:noWrap/>
            <w:vAlign w:val="bottom"/>
            <w:hideMark/>
          </w:tcPr>
          <w:p w14:paraId="1B02A1A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324343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3C9BCE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D6186B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873,40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17A2AA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873,40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6C2C1B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656,94</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88DCDF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75,22%</w:t>
            </w:r>
          </w:p>
        </w:tc>
      </w:tr>
      <w:tr w:rsidR="00416D67" w:rsidRPr="00416D67" w14:paraId="4C3E454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EF3B22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4.3.6 Koncesije i koncesijska odobrenja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606D81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873,40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F9CB43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873,40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9BB3F6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656,94</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F7B677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75,22%</w:t>
            </w:r>
          </w:p>
        </w:tc>
      </w:tr>
      <w:tr w:rsidR="00416D67" w:rsidRPr="00416D67" w14:paraId="287F10D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BF3D1D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23C4F46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55E1C79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873,40</w:t>
            </w:r>
          </w:p>
        </w:tc>
        <w:tc>
          <w:tcPr>
            <w:tcW w:w="1070" w:type="dxa"/>
            <w:tcBorders>
              <w:top w:val="single" w:sz="4" w:space="0" w:color="auto"/>
              <w:left w:val="nil"/>
              <w:bottom w:val="single" w:sz="4" w:space="0" w:color="auto"/>
              <w:right w:val="single" w:sz="4" w:space="0" w:color="auto"/>
            </w:tcBorders>
            <w:noWrap/>
            <w:vAlign w:val="bottom"/>
            <w:hideMark/>
          </w:tcPr>
          <w:p w14:paraId="51B315C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873,40</w:t>
            </w:r>
          </w:p>
        </w:tc>
        <w:tc>
          <w:tcPr>
            <w:tcW w:w="1095" w:type="dxa"/>
            <w:tcBorders>
              <w:top w:val="single" w:sz="4" w:space="0" w:color="auto"/>
              <w:left w:val="nil"/>
              <w:bottom w:val="single" w:sz="4" w:space="0" w:color="auto"/>
              <w:right w:val="single" w:sz="4" w:space="0" w:color="auto"/>
            </w:tcBorders>
            <w:noWrap/>
            <w:vAlign w:val="bottom"/>
            <w:hideMark/>
          </w:tcPr>
          <w:p w14:paraId="5E57E51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656,94</w:t>
            </w:r>
          </w:p>
        </w:tc>
        <w:tc>
          <w:tcPr>
            <w:tcW w:w="918" w:type="dxa"/>
            <w:tcBorders>
              <w:top w:val="single" w:sz="4" w:space="0" w:color="auto"/>
              <w:left w:val="nil"/>
              <w:bottom w:val="single" w:sz="4" w:space="0" w:color="auto"/>
              <w:right w:val="single" w:sz="4" w:space="0" w:color="auto"/>
            </w:tcBorders>
            <w:noWrap/>
            <w:vAlign w:val="bottom"/>
            <w:hideMark/>
          </w:tcPr>
          <w:p w14:paraId="6CFC5CC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75,22%</w:t>
            </w:r>
          </w:p>
        </w:tc>
      </w:tr>
      <w:tr w:rsidR="00416D67" w:rsidRPr="00416D67" w14:paraId="5CCDC29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DB5A88D" w14:textId="77777777" w:rsidR="00416D67" w:rsidRPr="00416D67" w:rsidRDefault="00416D67" w:rsidP="00416D67">
            <w:pPr>
              <w:rPr>
                <w:rFonts w:ascii="Arial" w:hAnsi="Arial" w:cs="Arial"/>
                <w:sz w:val="14"/>
                <w:szCs w:val="14"/>
              </w:rPr>
            </w:pPr>
            <w:r w:rsidRPr="00416D67">
              <w:rPr>
                <w:rFonts w:ascii="Arial" w:hAnsi="Arial" w:cs="Arial"/>
                <w:sz w:val="14"/>
                <w:szCs w:val="14"/>
              </w:rPr>
              <w:t>3291</w:t>
            </w:r>
          </w:p>
        </w:tc>
        <w:tc>
          <w:tcPr>
            <w:tcW w:w="8106" w:type="dxa"/>
            <w:tcBorders>
              <w:top w:val="single" w:sz="4" w:space="0" w:color="auto"/>
              <w:left w:val="nil"/>
              <w:bottom w:val="single" w:sz="4" w:space="0" w:color="auto"/>
              <w:right w:val="single" w:sz="4" w:space="0" w:color="auto"/>
            </w:tcBorders>
            <w:noWrap/>
            <w:vAlign w:val="bottom"/>
            <w:hideMark/>
          </w:tcPr>
          <w:p w14:paraId="2D0FF5A7" w14:textId="77777777" w:rsidR="00416D67" w:rsidRPr="00416D67" w:rsidRDefault="00416D67" w:rsidP="00416D67">
            <w:pPr>
              <w:rPr>
                <w:rFonts w:ascii="Arial" w:hAnsi="Arial" w:cs="Arial"/>
                <w:sz w:val="14"/>
                <w:szCs w:val="14"/>
              </w:rPr>
            </w:pPr>
            <w:r w:rsidRPr="00416D67">
              <w:rPr>
                <w:rFonts w:ascii="Arial" w:hAnsi="Arial" w:cs="Arial"/>
                <w:sz w:val="14"/>
                <w:szCs w:val="14"/>
              </w:rPr>
              <w:t>Naknade za rad predstavničkih i izvršnih tijela, povjerenstava i slično</w:t>
            </w:r>
          </w:p>
        </w:tc>
        <w:tc>
          <w:tcPr>
            <w:tcW w:w="1095" w:type="dxa"/>
            <w:tcBorders>
              <w:top w:val="single" w:sz="4" w:space="0" w:color="auto"/>
              <w:left w:val="nil"/>
              <w:bottom w:val="single" w:sz="4" w:space="0" w:color="auto"/>
              <w:right w:val="single" w:sz="4" w:space="0" w:color="auto"/>
            </w:tcBorders>
            <w:noWrap/>
            <w:vAlign w:val="bottom"/>
            <w:hideMark/>
          </w:tcPr>
          <w:p w14:paraId="584FC5A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75DBA0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1B5B69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656,94</w:t>
            </w:r>
          </w:p>
        </w:tc>
        <w:tc>
          <w:tcPr>
            <w:tcW w:w="918" w:type="dxa"/>
            <w:tcBorders>
              <w:top w:val="single" w:sz="4" w:space="0" w:color="auto"/>
              <w:left w:val="nil"/>
              <w:bottom w:val="single" w:sz="4" w:space="0" w:color="auto"/>
              <w:right w:val="single" w:sz="4" w:space="0" w:color="auto"/>
            </w:tcBorders>
            <w:noWrap/>
            <w:vAlign w:val="bottom"/>
            <w:hideMark/>
          </w:tcPr>
          <w:p w14:paraId="232BA7B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507D8DF" w14:textId="77777777" w:rsidTr="00BB1392">
        <w:trPr>
          <w:trHeight w:val="28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5CADF92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Organizacijska klasifikacija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93C747C"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07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F4D83AD"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BC15A64"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9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3B5804C"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2025/2024.           (3/2)</w:t>
            </w:r>
          </w:p>
        </w:tc>
      </w:tr>
      <w:tr w:rsidR="00416D67" w:rsidRPr="00416D67" w14:paraId="3E16780C"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5917C71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Izvori</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003E9727"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7C39710E"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42B327A3"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6E0482AF" w14:textId="77777777" w:rsidR="00416D67" w:rsidRPr="00416D67" w:rsidRDefault="00416D67" w:rsidP="00416D67">
            <w:pPr>
              <w:rPr>
                <w:rFonts w:ascii="Arial" w:hAnsi="Arial" w:cs="Arial"/>
                <w:sz w:val="14"/>
                <w:szCs w:val="14"/>
              </w:rPr>
            </w:pPr>
          </w:p>
        </w:tc>
      </w:tr>
      <w:tr w:rsidR="00416D67" w:rsidRPr="00416D67" w14:paraId="10F6D9C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000000"/>
            </w:tcBorders>
            <w:shd w:val="clear" w:color="000000" w:fill="D9D9D9"/>
            <w:hideMark/>
          </w:tcPr>
          <w:p w14:paraId="7F08439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Projekt/Aktivnost</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7B15F2E2"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1413D233"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57739903"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08C1E18F" w14:textId="77777777" w:rsidR="00416D67" w:rsidRPr="00416D67" w:rsidRDefault="00416D67" w:rsidP="00416D67">
            <w:pPr>
              <w:rPr>
                <w:rFonts w:ascii="Arial" w:hAnsi="Arial" w:cs="Arial"/>
                <w:sz w:val="14"/>
                <w:szCs w:val="14"/>
              </w:rPr>
            </w:pPr>
          </w:p>
        </w:tc>
      </w:tr>
      <w:tr w:rsidR="00416D67" w:rsidRPr="00416D67" w14:paraId="0441C75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90D954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VRSTA RASHODA I IZDATAKA</w:t>
            </w:r>
          </w:p>
        </w:tc>
        <w:tc>
          <w:tcPr>
            <w:tcW w:w="1095" w:type="dxa"/>
            <w:tcBorders>
              <w:top w:val="single" w:sz="4" w:space="0" w:color="auto"/>
              <w:left w:val="nil"/>
              <w:bottom w:val="single" w:sz="4" w:space="0" w:color="auto"/>
              <w:right w:val="single" w:sz="4" w:space="0" w:color="auto"/>
            </w:tcBorders>
            <w:shd w:val="clear" w:color="000000" w:fill="D9D9D9"/>
            <w:noWrap/>
            <w:vAlign w:val="bottom"/>
            <w:hideMark/>
          </w:tcPr>
          <w:p w14:paraId="4925043C" w14:textId="77777777" w:rsidR="00416D67" w:rsidRPr="00416D67" w:rsidRDefault="00416D67" w:rsidP="00416D67">
            <w:pPr>
              <w:jc w:val="center"/>
              <w:rPr>
                <w:rFonts w:ascii="Arial" w:hAnsi="Arial" w:cs="Arial"/>
                <w:b/>
                <w:bCs/>
                <w:sz w:val="14"/>
                <w:szCs w:val="14"/>
              </w:rPr>
            </w:pPr>
            <w:r w:rsidRPr="00416D67">
              <w:rPr>
                <w:rFonts w:ascii="Arial" w:hAnsi="Arial" w:cs="Arial"/>
                <w:b/>
                <w:bCs/>
                <w:sz w:val="14"/>
                <w:szCs w:val="14"/>
              </w:rPr>
              <w:t>1</w:t>
            </w:r>
          </w:p>
        </w:tc>
        <w:tc>
          <w:tcPr>
            <w:tcW w:w="1070" w:type="dxa"/>
            <w:tcBorders>
              <w:top w:val="single" w:sz="4" w:space="0" w:color="auto"/>
              <w:left w:val="nil"/>
              <w:bottom w:val="single" w:sz="4" w:space="0" w:color="auto"/>
              <w:right w:val="single" w:sz="4" w:space="0" w:color="auto"/>
            </w:tcBorders>
            <w:shd w:val="clear" w:color="000000" w:fill="D9D9D9"/>
            <w:noWrap/>
            <w:vAlign w:val="bottom"/>
            <w:hideMark/>
          </w:tcPr>
          <w:p w14:paraId="2C204F29" w14:textId="77777777" w:rsidR="00416D67" w:rsidRPr="00416D67" w:rsidRDefault="00416D67" w:rsidP="00416D67">
            <w:pPr>
              <w:jc w:val="center"/>
              <w:rPr>
                <w:rFonts w:ascii="Arial" w:hAnsi="Arial" w:cs="Arial"/>
                <w:b/>
                <w:bCs/>
                <w:sz w:val="14"/>
                <w:szCs w:val="14"/>
              </w:rPr>
            </w:pPr>
            <w:r w:rsidRPr="00416D67">
              <w:rPr>
                <w:rFonts w:ascii="Arial" w:hAnsi="Arial" w:cs="Arial"/>
                <w:b/>
                <w:bCs/>
                <w:sz w:val="14"/>
                <w:szCs w:val="14"/>
              </w:rPr>
              <w:t>2</w:t>
            </w:r>
          </w:p>
        </w:tc>
        <w:tc>
          <w:tcPr>
            <w:tcW w:w="1095" w:type="dxa"/>
            <w:tcBorders>
              <w:top w:val="single" w:sz="4" w:space="0" w:color="auto"/>
              <w:left w:val="nil"/>
              <w:bottom w:val="single" w:sz="4" w:space="0" w:color="auto"/>
              <w:right w:val="single" w:sz="4" w:space="0" w:color="auto"/>
            </w:tcBorders>
            <w:shd w:val="clear" w:color="000000" w:fill="D9D9D9"/>
            <w:noWrap/>
            <w:vAlign w:val="bottom"/>
            <w:hideMark/>
          </w:tcPr>
          <w:p w14:paraId="6E8997CE" w14:textId="77777777" w:rsidR="00416D67" w:rsidRPr="00416D67" w:rsidRDefault="00416D67" w:rsidP="00416D67">
            <w:pPr>
              <w:jc w:val="center"/>
              <w:rPr>
                <w:rFonts w:ascii="Arial" w:hAnsi="Arial" w:cs="Arial"/>
                <w:b/>
                <w:bCs/>
                <w:sz w:val="14"/>
                <w:szCs w:val="14"/>
              </w:rPr>
            </w:pPr>
            <w:r w:rsidRPr="00416D67">
              <w:rPr>
                <w:rFonts w:ascii="Arial" w:hAnsi="Arial" w:cs="Arial"/>
                <w:b/>
                <w:bCs/>
                <w:sz w:val="14"/>
                <w:szCs w:val="14"/>
              </w:rPr>
              <w:t>3</w:t>
            </w:r>
          </w:p>
        </w:tc>
        <w:tc>
          <w:tcPr>
            <w:tcW w:w="918" w:type="dxa"/>
            <w:tcBorders>
              <w:top w:val="single" w:sz="4" w:space="0" w:color="auto"/>
              <w:left w:val="nil"/>
              <w:bottom w:val="single" w:sz="4" w:space="0" w:color="auto"/>
              <w:right w:val="single" w:sz="4" w:space="0" w:color="auto"/>
            </w:tcBorders>
            <w:shd w:val="clear" w:color="000000" w:fill="D9D9D9"/>
            <w:noWrap/>
            <w:vAlign w:val="bottom"/>
            <w:hideMark/>
          </w:tcPr>
          <w:p w14:paraId="2F91B7B7" w14:textId="77777777" w:rsidR="00416D67" w:rsidRPr="00416D67" w:rsidRDefault="00416D67" w:rsidP="00416D67">
            <w:pPr>
              <w:jc w:val="center"/>
              <w:rPr>
                <w:rFonts w:ascii="Arial" w:hAnsi="Arial" w:cs="Arial"/>
                <w:b/>
                <w:bCs/>
                <w:sz w:val="14"/>
                <w:szCs w:val="14"/>
              </w:rPr>
            </w:pPr>
            <w:r w:rsidRPr="00416D67">
              <w:rPr>
                <w:rFonts w:ascii="Arial" w:hAnsi="Arial" w:cs="Arial"/>
                <w:b/>
                <w:bCs/>
                <w:sz w:val="14"/>
                <w:szCs w:val="14"/>
              </w:rPr>
              <w:t>4</w:t>
            </w:r>
          </w:p>
        </w:tc>
      </w:tr>
      <w:tr w:rsidR="00416D67" w:rsidRPr="00416D67" w14:paraId="3F9C9D3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A882E1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A100004</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055DF78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Reprezentacija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0ED226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6.500,00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244E6E2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6.500,00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FE50E6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6.281,87</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4167A11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96,64%</w:t>
            </w:r>
          </w:p>
        </w:tc>
      </w:tr>
      <w:tr w:rsidR="00416D67" w:rsidRPr="00416D67" w14:paraId="65761D4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4926D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F6405B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B3BD77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1C664B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6.281,87</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312DB5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96,64%</w:t>
            </w:r>
          </w:p>
        </w:tc>
      </w:tr>
      <w:tr w:rsidR="00416D67" w:rsidRPr="00416D67" w14:paraId="70E3EFA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F4E2A3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4B6A91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E81D63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6039D0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6.281,87</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3ABCCF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96,64%</w:t>
            </w:r>
          </w:p>
        </w:tc>
      </w:tr>
      <w:tr w:rsidR="00416D67" w:rsidRPr="00416D67" w14:paraId="4F16590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36CFF0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377FAB9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37E6C52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6.500,00</w:t>
            </w:r>
          </w:p>
        </w:tc>
        <w:tc>
          <w:tcPr>
            <w:tcW w:w="1070" w:type="dxa"/>
            <w:tcBorders>
              <w:top w:val="single" w:sz="4" w:space="0" w:color="auto"/>
              <w:left w:val="nil"/>
              <w:bottom w:val="single" w:sz="4" w:space="0" w:color="auto"/>
              <w:right w:val="single" w:sz="4" w:space="0" w:color="auto"/>
            </w:tcBorders>
            <w:noWrap/>
            <w:vAlign w:val="bottom"/>
            <w:hideMark/>
          </w:tcPr>
          <w:p w14:paraId="2B26485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6.500,00</w:t>
            </w:r>
          </w:p>
        </w:tc>
        <w:tc>
          <w:tcPr>
            <w:tcW w:w="1095" w:type="dxa"/>
            <w:tcBorders>
              <w:top w:val="single" w:sz="4" w:space="0" w:color="auto"/>
              <w:left w:val="nil"/>
              <w:bottom w:val="single" w:sz="4" w:space="0" w:color="auto"/>
              <w:right w:val="single" w:sz="4" w:space="0" w:color="auto"/>
            </w:tcBorders>
            <w:noWrap/>
            <w:vAlign w:val="bottom"/>
            <w:hideMark/>
          </w:tcPr>
          <w:p w14:paraId="76B18C3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6.281,87</w:t>
            </w:r>
          </w:p>
        </w:tc>
        <w:tc>
          <w:tcPr>
            <w:tcW w:w="918" w:type="dxa"/>
            <w:tcBorders>
              <w:top w:val="single" w:sz="4" w:space="0" w:color="auto"/>
              <w:left w:val="nil"/>
              <w:bottom w:val="single" w:sz="4" w:space="0" w:color="auto"/>
              <w:right w:val="single" w:sz="4" w:space="0" w:color="auto"/>
            </w:tcBorders>
            <w:noWrap/>
            <w:vAlign w:val="bottom"/>
            <w:hideMark/>
          </w:tcPr>
          <w:p w14:paraId="145D01A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96,64%</w:t>
            </w:r>
          </w:p>
        </w:tc>
      </w:tr>
      <w:tr w:rsidR="00416D67" w:rsidRPr="00416D67" w14:paraId="775D5C1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7628C88" w14:textId="77777777" w:rsidR="00416D67" w:rsidRPr="00416D67" w:rsidRDefault="00416D67" w:rsidP="00416D67">
            <w:pPr>
              <w:rPr>
                <w:rFonts w:ascii="Arial" w:hAnsi="Arial" w:cs="Arial"/>
                <w:sz w:val="14"/>
                <w:szCs w:val="14"/>
              </w:rPr>
            </w:pPr>
            <w:r w:rsidRPr="00416D67">
              <w:rPr>
                <w:rFonts w:ascii="Arial" w:hAnsi="Arial" w:cs="Arial"/>
                <w:sz w:val="14"/>
                <w:szCs w:val="14"/>
              </w:rPr>
              <w:t>3293</w:t>
            </w:r>
          </w:p>
        </w:tc>
        <w:tc>
          <w:tcPr>
            <w:tcW w:w="8106" w:type="dxa"/>
            <w:tcBorders>
              <w:top w:val="single" w:sz="4" w:space="0" w:color="auto"/>
              <w:left w:val="nil"/>
              <w:bottom w:val="single" w:sz="4" w:space="0" w:color="auto"/>
              <w:right w:val="single" w:sz="4" w:space="0" w:color="auto"/>
            </w:tcBorders>
            <w:noWrap/>
            <w:vAlign w:val="bottom"/>
            <w:hideMark/>
          </w:tcPr>
          <w:p w14:paraId="0AB60438" w14:textId="77777777" w:rsidR="00416D67" w:rsidRPr="00416D67" w:rsidRDefault="00416D67" w:rsidP="00416D67">
            <w:pPr>
              <w:rPr>
                <w:rFonts w:ascii="Arial" w:hAnsi="Arial" w:cs="Arial"/>
                <w:sz w:val="14"/>
                <w:szCs w:val="14"/>
              </w:rPr>
            </w:pPr>
            <w:r w:rsidRPr="00416D67">
              <w:rPr>
                <w:rFonts w:ascii="Arial" w:hAnsi="Arial" w:cs="Arial"/>
                <w:sz w:val="14"/>
                <w:szCs w:val="14"/>
              </w:rPr>
              <w:t>Reprezentacija</w:t>
            </w:r>
          </w:p>
        </w:tc>
        <w:tc>
          <w:tcPr>
            <w:tcW w:w="1095" w:type="dxa"/>
            <w:tcBorders>
              <w:top w:val="single" w:sz="4" w:space="0" w:color="auto"/>
              <w:left w:val="nil"/>
              <w:bottom w:val="single" w:sz="4" w:space="0" w:color="auto"/>
              <w:right w:val="single" w:sz="4" w:space="0" w:color="auto"/>
            </w:tcBorders>
            <w:noWrap/>
            <w:vAlign w:val="bottom"/>
            <w:hideMark/>
          </w:tcPr>
          <w:p w14:paraId="03CC7E6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71A401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51A545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6.281,87</w:t>
            </w:r>
          </w:p>
        </w:tc>
        <w:tc>
          <w:tcPr>
            <w:tcW w:w="918" w:type="dxa"/>
            <w:tcBorders>
              <w:top w:val="single" w:sz="4" w:space="0" w:color="auto"/>
              <w:left w:val="nil"/>
              <w:bottom w:val="single" w:sz="4" w:space="0" w:color="auto"/>
              <w:right w:val="single" w:sz="4" w:space="0" w:color="auto"/>
            </w:tcBorders>
            <w:noWrap/>
            <w:vAlign w:val="bottom"/>
            <w:hideMark/>
          </w:tcPr>
          <w:p w14:paraId="7E21F26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F2C25D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3A2D62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A100005</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28FEF42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Nepredviđeni rashodi - pričuva Načelnika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7EA6A4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56FB9F9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E25A15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54AA953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7BB81D0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BB3A8E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lastRenderedPageBreak/>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66387E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362590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EFF2C4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E5270A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0484EE7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3F0430"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990938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A77B58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D7C951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F70C6B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2AA882A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ABC3E3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22ABA3A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2DB288F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w:t>
            </w:r>
          </w:p>
        </w:tc>
        <w:tc>
          <w:tcPr>
            <w:tcW w:w="1070" w:type="dxa"/>
            <w:tcBorders>
              <w:top w:val="single" w:sz="4" w:space="0" w:color="auto"/>
              <w:left w:val="nil"/>
              <w:bottom w:val="single" w:sz="4" w:space="0" w:color="auto"/>
              <w:right w:val="single" w:sz="4" w:space="0" w:color="auto"/>
            </w:tcBorders>
            <w:noWrap/>
            <w:vAlign w:val="bottom"/>
            <w:hideMark/>
          </w:tcPr>
          <w:p w14:paraId="353CA41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w:t>
            </w:r>
          </w:p>
        </w:tc>
        <w:tc>
          <w:tcPr>
            <w:tcW w:w="1095" w:type="dxa"/>
            <w:tcBorders>
              <w:top w:val="single" w:sz="4" w:space="0" w:color="auto"/>
              <w:left w:val="nil"/>
              <w:bottom w:val="single" w:sz="4" w:space="0" w:color="auto"/>
              <w:right w:val="single" w:sz="4" w:space="0" w:color="auto"/>
            </w:tcBorders>
            <w:noWrap/>
            <w:vAlign w:val="bottom"/>
            <w:hideMark/>
          </w:tcPr>
          <w:p w14:paraId="72703A6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567D942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2165432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DA8A07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A100011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6920319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Pokroviteljstva i sponzorstva Načelnika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31A870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7BBBF5D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4D2CCB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3.954,44</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560538E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98,86%</w:t>
            </w:r>
          </w:p>
        </w:tc>
      </w:tr>
      <w:tr w:rsidR="00416D67" w:rsidRPr="00416D67" w14:paraId="4819BFE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4CDCFF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6B0E5D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B6D52A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C088E5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3.954,44</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F493F9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98,86%</w:t>
            </w:r>
          </w:p>
        </w:tc>
      </w:tr>
      <w:tr w:rsidR="00416D67" w:rsidRPr="00416D67" w14:paraId="272BD92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E4BDC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851CE4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563D9E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2AB57C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3.954,44</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2530D2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98,86%</w:t>
            </w:r>
          </w:p>
        </w:tc>
      </w:tr>
      <w:tr w:rsidR="00416D67" w:rsidRPr="00416D67" w14:paraId="3BD4E19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835593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34</w:t>
            </w:r>
          </w:p>
        </w:tc>
        <w:tc>
          <w:tcPr>
            <w:tcW w:w="8106" w:type="dxa"/>
            <w:tcBorders>
              <w:top w:val="single" w:sz="4" w:space="0" w:color="auto"/>
              <w:left w:val="nil"/>
              <w:bottom w:val="single" w:sz="4" w:space="0" w:color="auto"/>
              <w:right w:val="single" w:sz="4" w:space="0" w:color="auto"/>
            </w:tcBorders>
            <w:noWrap/>
            <w:vAlign w:val="bottom"/>
            <w:hideMark/>
          </w:tcPr>
          <w:p w14:paraId="11ABB25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Financijski rashodi</w:t>
            </w:r>
          </w:p>
        </w:tc>
        <w:tc>
          <w:tcPr>
            <w:tcW w:w="1095" w:type="dxa"/>
            <w:tcBorders>
              <w:top w:val="single" w:sz="4" w:space="0" w:color="auto"/>
              <w:left w:val="nil"/>
              <w:bottom w:val="single" w:sz="4" w:space="0" w:color="auto"/>
              <w:right w:val="single" w:sz="4" w:space="0" w:color="auto"/>
            </w:tcBorders>
            <w:noWrap/>
            <w:vAlign w:val="bottom"/>
            <w:hideMark/>
          </w:tcPr>
          <w:p w14:paraId="02E4E7D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4.000,00</w:t>
            </w:r>
          </w:p>
        </w:tc>
        <w:tc>
          <w:tcPr>
            <w:tcW w:w="1070" w:type="dxa"/>
            <w:tcBorders>
              <w:top w:val="single" w:sz="4" w:space="0" w:color="auto"/>
              <w:left w:val="nil"/>
              <w:bottom w:val="single" w:sz="4" w:space="0" w:color="auto"/>
              <w:right w:val="single" w:sz="4" w:space="0" w:color="auto"/>
            </w:tcBorders>
            <w:noWrap/>
            <w:vAlign w:val="bottom"/>
            <w:hideMark/>
          </w:tcPr>
          <w:p w14:paraId="229F7DE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4.000,00</w:t>
            </w:r>
          </w:p>
        </w:tc>
        <w:tc>
          <w:tcPr>
            <w:tcW w:w="1095" w:type="dxa"/>
            <w:tcBorders>
              <w:top w:val="single" w:sz="4" w:space="0" w:color="auto"/>
              <w:left w:val="nil"/>
              <w:bottom w:val="single" w:sz="4" w:space="0" w:color="auto"/>
              <w:right w:val="single" w:sz="4" w:space="0" w:color="auto"/>
            </w:tcBorders>
            <w:noWrap/>
            <w:vAlign w:val="bottom"/>
            <w:hideMark/>
          </w:tcPr>
          <w:p w14:paraId="5BADA30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3.954,44</w:t>
            </w:r>
          </w:p>
        </w:tc>
        <w:tc>
          <w:tcPr>
            <w:tcW w:w="918" w:type="dxa"/>
            <w:tcBorders>
              <w:top w:val="single" w:sz="4" w:space="0" w:color="auto"/>
              <w:left w:val="nil"/>
              <w:bottom w:val="single" w:sz="4" w:space="0" w:color="auto"/>
              <w:right w:val="single" w:sz="4" w:space="0" w:color="auto"/>
            </w:tcBorders>
            <w:noWrap/>
            <w:vAlign w:val="bottom"/>
            <w:hideMark/>
          </w:tcPr>
          <w:p w14:paraId="2F53C5B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98,86%</w:t>
            </w:r>
          </w:p>
        </w:tc>
      </w:tr>
      <w:tr w:rsidR="00416D67" w:rsidRPr="00416D67" w14:paraId="74803E3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0DF04BE" w14:textId="77777777" w:rsidR="00416D67" w:rsidRPr="00416D67" w:rsidRDefault="00416D67" w:rsidP="00416D67">
            <w:pPr>
              <w:rPr>
                <w:rFonts w:ascii="Arial" w:hAnsi="Arial" w:cs="Arial"/>
                <w:sz w:val="14"/>
                <w:szCs w:val="14"/>
              </w:rPr>
            </w:pPr>
            <w:r w:rsidRPr="00416D67">
              <w:rPr>
                <w:rFonts w:ascii="Arial" w:hAnsi="Arial" w:cs="Arial"/>
                <w:sz w:val="14"/>
                <w:szCs w:val="14"/>
              </w:rPr>
              <w:t>3434</w:t>
            </w:r>
          </w:p>
        </w:tc>
        <w:tc>
          <w:tcPr>
            <w:tcW w:w="8106" w:type="dxa"/>
            <w:tcBorders>
              <w:top w:val="single" w:sz="4" w:space="0" w:color="auto"/>
              <w:left w:val="nil"/>
              <w:bottom w:val="single" w:sz="4" w:space="0" w:color="auto"/>
              <w:right w:val="single" w:sz="4" w:space="0" w:color="auto"/>
            </w:tcBorders>
            <w:noWrap/>
            <w:vAlign w:val="bottom"/>
            <w:hideMark/>
          </w:tcPr>
          <w:p w14:paraId="36C5D147" w14:textId="77777777" w:rsidR="00416D67" w:rsidRPr="00416D67" w:rsidRDefault="00416D67" w:rsidP="00416D67">
            <w:pPr>
              <w:rPr>
                <w:rFonts w:ascii="Arial" w:hAnsi="Arial" w:cs="Arial"/>
                <w:sz w:val="14"/>
                <w:szCs w:val="14"/>
              </w:rPr>
            </w:pPr>
            <w:r w:rsidRPr="00416D67">
              <w:rPr>
                <w:rFonts w:ascii="Arial" w:hAnsi="Arial" w:cs="Arial"/>
                <w:sz w:val="14"/>
                <w:szCs w:val="14"/>
              </w:rPr>
              <w:t>Ostali nespomenuti financijski rashodi</w:t>
            </w:r>
          </w:p>
        </w:tc>
        <w:tc>
          <w:tcPr>
            <w:tcW w:w="1095" w:type="dxa"/>
            <w:tcBorders>
              <w:top w:val="single" w:sz="4" w:space="0" w:color="auto"/>
              <w:left w:val="nil"/>
              <w:bottom w:val="single" w:sz="4" w:space="0" w:color="auto"/>
              <w:right w:val="single" w:sz="4" w:space="0" w:color="auto"/>
            </w:tcBorders>
            <w:noWrap/>
            <w:vAlign w:val="bottom"/>
            <w:hideMark/>
          </w:tcPr>
          <w:p w14:paraId="5DFA6C2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B1317E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68A25E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3.954,44</w:t>
            </w:r>
          </w:p>
        </w:tc>
        <w:tc>
          <w:tcPr>
            <w:tcW w:w="918" w:type="dxa"/>
            <w:tcBorders>
              <w:top w:val="single" w:sz="4" w:space="0" w:color="auto"/>
              <w:left w:val="nil"/>
              <w:bottom w:val="single" w:sz="4" w:space="0" w:color="auto"/>
              <w:right w:val="single" w:sz="4" w:space="0" w:color="auto"/>
            </w:tcBorders>
            <w:noWrap/>
            <w:vAlign w:val="bottom"/>
            <w:hideMark/>
          </w:tcPr>
          <w:p w14:paraId="0CDC24E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D09DFA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6DF48F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RAZDJEL 003 UPRAVNI ODJEL ZA DRUŠTVENE DJELATNOSTI, GOSPODARSTVO, FINANCIJE I JAVNU NABAVU</w:t>
            </w:r>
          </w:p>
        </w:tc>
        <w:tc>
          <w:tcPr>
            <w:tcW w:w="1095" w:type="dxa"/>
            <w:tcBorders>
              <w:top w:val="single" w:sz="4" w:space="0" w:color="auto"/>
              <w:left w:val="nil"/>
              <w:bottom w:val="single" w:sz="4" w:space="0" w:color="auto"/>
              <w:right w:val="single" w:sz="4" w:space="0" w:color="auto"/>
            </w:tcBorders>
            <w:shd w:val="clear" w:color="000000" w:fill="9999FF"/>
            <w:noWrap/>
            <w:vAlign w:val="bottom"/>
            <w:hideMark/>
          </w:tcPr>
          <w:p w14:paraId="6F00656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6.342.450,90</w:t>
            </w:r>
          </w:p>
        </w:tc>
        <w:tc>
          <w:tcPr>
            <w:tcW w:w="1070" w:type="dxa"/>
            <w:tcBorders>
              <w:top w:val="single" w:sz="4" w:space="0" w:color="auto"/>
              <w:left w:val="nil"/>
              <w:bottom w:val="single" w:sz="4" w:space="0" w:color="auto"/>
              <w:right w:val="single" w:sz="4" w:space="0" w:color="auto"/>
            </w:tcBorders>
            <w:shd w:val="clear" w:color="000000" w:fill="9999FF"/>
            <w:noWrap/>
            <w:vAlign w:val="bottom"/>
            <w:hideMark/>
          </w:tcPr>
          <w:p w14:paraId="7D40247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6.296.925,90</w:t>
            </w:r>
          </w:p>
        </w:tc>
        <w:tc>
          <w:tcPr>
            <w:tcW w:w="1095" w:type="dxa"/>
            <w:tcBorders>
              <w:top w:val="single" w:sz="4" w:space="0" w:color="auto"/>
              <w:left w:val="nil"/>
              <w:bottom w:val="single" w:sz="4" w:space="0" w:color="auto"/>
              <w:right w:val="single" w:sz="4" w:space="0" w:color="auto"/>
            </w:tcBorders>
            <w:shd w:val="clear" w:color="000000" w:fill="9999FF"/>
            <w:noWrap/>
            <w:vAlign w:val="bottom"/>
            <w:hideMark/>
          </w:tcPr>
          <w:p w14:paraId="20C4050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4.179.268,00</w:t>
            </w:r>
          </w:p>
        </w:tc>
        <w:tc>
          <w:tcPr>
            <w:tcW w:w="918" w:type="dxa"/>
            <w:tcBorders>
              <w:top w:val="single" w:sz="4" w:space="0" w:color="auto"/>
              <w:left w:val="nil"/>
              <w:bottom w:val="single" w:sz="4" w:space="0" w:color="auto"/>
              <w:right w:val="single" w:sz="4" w:space="0" w:color="auto"/>
            </w:tcBorders>
            <w:shd w:val="clear" w:color="000000" w:fill="9999FF"/>
            <w:noWrap/>
            <w:vAlign w:val="bottom"/>
            <w:hideMark/>
          </w:tcPr>
          <w:p w14:paraId="1B00E97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66,37%</w:t>
            </w:r>
          </w:p>
        </w:tc>
      </w:tr>
      <w:tr w:rsidR="00416D67" w:rsidRPr="00416D67" w14:paraId="3F673DD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ED6374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GLAVA 00301 UPRAVNI ODJEL ZA DRUŠTVENE DJELATNOSTI, GOSPODARSTVO, FINANCIJE I JAVNU NABAVU</w:t>
            </w:r>
          </w:p>
        </w:tc>
        <w:tc>
          <w:tcPr>
            <w:tcW w:w="1095" w:type="dxa"/>
            <w:tcBorders>
              <w:top w:val="single" w:sz="4" w:space="0" w:color="auto"/>
              <w:left w:val="nil"/>
              <w:bottom w:val="single" w:sz="4" w:space="0" w:color="auto"/>
              <w:right w:val="single" w:sz="4" w:space="0" w:color="auto"/>
            </w:tcBorders>
            <w:shd w:val="clear" w:color="000000" w:fill="9999FF"/>
            <w:noWrap/>
            <w:vAlign w:val="bottom"/>
            <w:hideMark/>
          </w:tcPr>
          <w:p w14:paraId="0B13735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6.342.450,90</w:t>
            </w:r>
          </w:p>
        </w:tc>
        <w:tc>
          <w:tcPr>
            <w:tcW w:w="1070" w:type="dxa"/>
            <w:tcBorders>
              <w:top w:val="single" w:sz="4" w:space="0" w:color="auto"/>
              <w:left w:val="nil"/>
              <w:bottom w:val="single" w:sz="4" w:space="0" w:color="auto"/>
              <w:right w:val="single" w:sz="4" w:space="0" w:color="auto"/>
            </w:tcBorders>
            <w:shd w:val="clear" w:color="000000" w:fill="9999FF"/>
            <w:noWrap/>
            <w:vAlign w:val="bottom"/>
            <w:hideMark/>
          </w:tcPr>
          <w:p w14:paraId="043B99B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6.296.925,90</w:t>
            </w:r>
          </w:p>
        </w:tc>
        <w:tc>
          <w:tcPr>
            <w:tcW w:w="1095" w:type="dxa"/>
            <w:tcBorders>
              <w:top w:val="single" w:sz="4" w:space="0" w:color="auto"/>
              <w:left w:val="nil"/>
              <w:bottom w:val="single" w:sz="4" w:space="0" w:color="auto"/>
              <w:right w:val="single" w:sz="4" w:space="0" w:color="auto"/>
            </w:tcBorders>
            <w:shd w:val="clear" w:color="000000" w:fill="9999FF"/>
            <w:noWrap/>
            <w:vAlign w:val="bottom"/>
            <w:hideMark/>
          </w:tcPr>
          <w:p w14:paraId="7D847FD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4.178.055,92</w:t>
            </w:r>
          </w:p>
        </w:tc>
        <w:tc>
          <w:tcPr>
            <w:tcW w:w="918" w:type="dxa"/>
            <w:tcBorders>
              <w:top w:val="single" w:sz="4" w:space="0" w:color="auto"/>
              <w:left w:val="nil"/>
              <w:bottom w:val="single" w:sz="4" w:space="0" w:color="auto"/>
              <w:right w:val="single" w:sz="4" w:space="0" w:color="auto"/>
            </w:tcBorders>
            <w:shd w:val="clear" w:color="000000" w:fill="9999FF"/>
            <w:noWrap/>
            <w:vAlign w:val="bottom"/>
            <w:hideMark/>
          </w:tcPr>
          <w:p w14:paraId="5F28E85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66,35%</w:t>
            </w:r>
          </w:p>
        </w:tc>
      </w:tr>
      <w:tr w:rsidR="00416D67" w:rsidRPr="00416D67" w14:paraId="7074EC3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BBEC7E"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26C8EF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3.416.418,85</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9B66B6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3.415.893,85</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6444DE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2.893.987,87</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56D62D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84,72%</w:t>
            </w:r>
          </w:p>
        </w:tc>
      </w:tr>
      <w:tr w:rsidR="00416D67" w:rsidRPr="00416D67" w14:paraId="21F37EF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965F8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3DBB9C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3.416.418,85</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F71D05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3.415.893,85</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C519DE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2.893.987,87</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2235EA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84,72%</w:t>
            </w:r>
          </w:p>
        </w:tc>
      </w:tr>
      <w:tr w:rsidR="00416D67" w:rsidRPr="00416D67" w14:paraId="66E1F37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55BAAF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3. Vlastiti prihodi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8B9DA2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42.600,20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CF22A7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42.600,20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154B2A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40.914,92</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957C30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96,04%</w:t>
            </w:r>
          </w:p>
        </w:tc>
      </w:tr>
      <w:tr w:rsidR="00416D67" w:rsidRPr="00416D67" w14:paraId="1ABAEA1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5468CE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3.1. 03 Vlastiti prihodi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E983DE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14.600,20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18AB0E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14.600,20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0B1C24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13.510,52</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E76B2E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92,54%</w:t>
            </w:r>
          </w:p>
        </w:tc>
      </w:tr>
      <w:tr w:rsidR="00416D67" w:rsidRPr="00416D67" w14:paraId="43F7113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FB4475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3.4. Vlastiti prihodi PK</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22157D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28.000,00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433329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28.000,00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B2884C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27.404,40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C7A896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97,87%</w:t>
            </w:r>
          </w:p>
        </w:tc>
      </w:tr>
      <w:tr w:rsidR="00416D67" w:rsidRPr="00416D67" w14:paraId="446EDC9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5C0CB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E5FFED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151.368,03</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3BFCFB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151.368,03</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090DBC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146.269,55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04C268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96,63%</w:t>
            </w:r>
          </w:p>
        </w:tc>
      </w:tr>
      <w:tr w:rsidR="00416D67" w:rsidRPr="00416D67" w14:paraId="792C7D6F"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C1154A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4.3.1 Turistička  pristojba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FE8CB8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38.774,00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0D3E90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38.774,00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CA0AC2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38.774,00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AF94DD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44A0C02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AD4F20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4.3.10 Ostali prihodi za posebne namjene spomenička renta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656B7C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7D481E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E88D23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2,24</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1F44FA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22,40%</w:t>
            </w:r>
          </w:p>
        </w:tc>
      </w:tr>
      <w:tr w:rsidR="00416D67" w:rsidRPr="00416D67" w14:paraId="669AAEE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5F8E6E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4.3.12 Koncesija pružanja javne usluge pražnjenja </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8BEBEA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265,00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8A4CFE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265,00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5C7C1F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B6897F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1D4ADA9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734BB6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4.3.13 Naknada za koncesiju taxi prijevoz</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D05E59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450,00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6467C4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450,00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91B354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3D8553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5A8A862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B03C4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4.3.3 Prihodi od zakupa i </w:t>
            </w:r>
            <w:proofErr w:type="spellStart"/>
            <w:r w:rsidRPr="00416D67">
              <w:rPr>
                <w:rFonts w:ascii="Arial" w:hAnsi="Arial" w:cs="Arial"/>
                <w:b/>
                <w:bCs/>
                <w:color w:val="333333"/>
                <w:sz w:val="14"/>
                <w:szCs w:val="14"/>
              </w:rPr>
              <w:t>privr.kor.poljoprivrednog</w:t>
            </w:r>
            <w:proofErr w:type="spellEnd"/>
            <w:r w:rsidRPr="00416D67">
              <w:rPr>
                <w:rFonts w:ascii="Arial" w:hAnsi="Arial" w:cs="Arial"/>
                <w:b/>
                <w:bCs/>
                <w:color w:val="333333"/>
                <w:sz w:val="14"/>
                <w:szCs w:val="14"/>
              </w:rPr>
              <w:t xml:space="preserve"> zemljišta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3063C5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1451AA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31BBAE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50,58</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9DEFC8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25,29%</w:t>
            </w:r>
          </w:p>
        </w:tc>
      </w:tr>
      <w:tr w:rsidR="00416D67" w:rsidRPr="00416D67" w14:paraId="5EBD773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F48B4F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4.3.8 Naknada za promjenu namjene </w:t>
            </w:r>
            <w:proofErr w:type="spellStart"/>
            <w:r w:rsidRPr="00416D67">
              <w:rPr>
                <w:rFonts w:ascii="Arial" w:hAnsi="Arial" w:cs="Arial"/>
                <w:b/>
                <w:bCs/>
                <w:color w:val="333333"/>
                <w:sz w:val="14"/>
                <w:szCs w:val="14"/>
              </w:rPr>
              <w:t>poljopr.zemljišta</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35285A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2.300,00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FDE140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2.300,00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5B46CE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2.225,38</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5C196A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96,76%</w:t>
            </w:r>
          </w:p>
        </w:tc>
      </w:tr>
      <w:tr w:rsidR="00416D67" w:rsidRPr="00416D67" w14:paraId="236495E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594083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4.3.9 Doprinos za šume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B0C3AD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650,00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F3B070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650,00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68A649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531,61</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6422A7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81,79%</w:t>
            </w:r>
          </w:p>
        </w:tc>
      </w:tr>
      <w:tr w:rsidR="00416D67" w:rsidRPr="00416D67" w14:paraId="252466A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4D7F4B1"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4.4. Prihodi za posebne PK boravak roditelji i </w:t>
            </w:r>
            <w:proofErr w:type="spellStart"/>
            <w:r w:rsidRPr="00416D67">
              <w:rPr>
                <w:rFonts w:ascii="Arial" w:hAnsi="Arial" w:cs="Arial"/>
                <w:b/>
                <w:bCs/>
                <w:color w:val="333333"/>
                <w:sz w:val="14"/>
                <w:szCs w:val="14"/>
              </w:rPr>
              <w:t>soc.program</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BD31D7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108.719,03</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D1E3F0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108.719,03</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C65303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104.685,74</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0F654E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96,29%</w:t>
            </w:r>
          </w:p>
        </w:tc>
      </w:tr>
      <w:tr w:rsidR="00416D67" w:rsidRPr="00416D67" w14:paraId="696EA3DF"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083FA9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 Pomoći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231B42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222.150,00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7D9C7B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222.150,00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8D0751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231.457,51</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0293F5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104,19%</w:t>
            </w:r>
          </w:p>
        </w:tc>
      </w:tr>
      <w:tr w:rsidR="00416D67" w:rsidRPr="00416D67" w14:paraId="1A6A065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918A9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5.1.1 Pomoći Istarska županija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E7F726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90.500,00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A54398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90.500,00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C2EAEF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90.148,40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5FA9D1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99,61%</w:t>
            </w:r>
          </w:p>
        </w:tc>
      </w:tr>
      <w:tr w:rsidR="00416D67" w:rsidRPr="00416D67" w14:paraId="0739B77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0817F1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5.1.12 Pomoć državni proračun troškovi ogrijeva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2F630A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9B594F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621A6B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404CD0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 </w:t>
            </w:r>
          </w:p>
        </w:tc>
      </w:tr>
      <w:tr w:rsidR="00416D67" w:rsidRPr="00416D67" w14:paraId="034F9E6C"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C40461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5.1.13 Kapitalne pomoći drugog proračuna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8CDD5D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B91921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A9F49C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7.500,00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BDE898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 </w:t>
            </w:r>
          </w:p>
        </w:tc>
      </w:tr>
      <w:tr w:rsidR="00416D67" w:rsidRPr="00416D67" w14:paraId="6B8B6B00" w14:textId="77777777" w:rsidTr="00BB1392">
        <w:trPr>
          <w:trHeight w:val="28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207D518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Organizacijska klasifikacija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2AE7089"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07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91FE7DF"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80F4761"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9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D323E43"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2025/2024.           (3/2)</w:t>
            </w:r>
          </w:p>
        </w:tc>
      </w:tr>
      <w:tr w:rsidR="00416D67" w:rsidRPr="00416D67" w14:paraId="1520DFCF"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5E94D6F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Izvori</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0F076DDE"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2B0E909A"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68CE2B33"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485C39C4" w14:textId="77777777" w:rsidR="00416D67" w:rsidRPr="00416D67" w:rsidRDefault="00416D67" w:rsidP="00416D67">
            <w:pPr>
              <w:rPr>
                <w:rFonts w:ascii="Arial" w:hAnsi="Arial" w:cs="Arial"/>
                <w:sz w:val="14"/>
                <w:szCs w:val="14"/>
              </w:rPr>
            </w:pPr>
          </w:p>
        </w:tc>
      </w:tr>
      <w:tr w:rsidR="00416D67" w:rsidRPr="00416D67" w14:paraId="13C399F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000000"/>
            </w:tcBorders>
            <w:shd w:val="clear" w:color="000000" w:fill="D9D9D9"/>
            <w:hideMark/>
          </w:tcPr>
          <w:p w14:paraId="2936C63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Projekt/Aktivnost</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355FFB49"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3E37F34A"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037D3A93"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763CC0F6" w14:textId="77777777" w:rsidR="00416D67" w:rsidRPr="00416D67" w:rsidRDefault="00416D67" w:rsidP="00416D67">
            <w:pPr>
              <w:rPr>
                <w:rFonts w:ascii="Arial" w:hAnsi="Arial" w:cs="Arial"/>
                <w:sz w:val="14"/>
                <w:szCs w:val="14"/>
              </w:rPr>
            </w:pPr>
          </w:p>
        </w:tc>
      </w:tr>
      <w:tr w:rsidR="00416D67" w:rsidRPr="00416D67" w14:paraId="76C2BF4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1F6C1FE"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5.1.2 Pomoći državni  proračun </w:t>
            </w:r>
            <w:proofErr w:type="spellStart"/>
            <w:r w:rsidRPr="00416D67">
              <w:rPr>
                <w:rFonts w:ascii="Arial" w:hAnsi="Arial" w:cs="Arial"/>
                <w:b/>
                <w:bCs/>
                <w:color w:val="333333"/>
                <w:sz w:val="14"/>
                <w:szCs w:val="14"/>
              </w:rPr>
              <w:t>min.kulture</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27D13A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45.000,00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366BF9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45.000,00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7D19F6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45.000,00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FDC700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6936466C"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83178B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5.1.3 Pomoć izravnanja decentralizirana sredstva JVP</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CF1B21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24.500,00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F4913F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24.500,00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190944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24.969,60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295003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101,92%</w:t>
            </w:r>
          </w:p>
        </w:tc>
      </w:tr>
      <w:tr w:rsidR="00416D67" w:rsidRPr="00416D67" w14:paraId="29FADBD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238948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5.1.9 Pomoći fiskalna održivost dječjih vrtića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FA692C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40.236,00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458A0D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40.236,00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71E86A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40.236,00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920CA3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486637A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D015CE"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5.2. Tekuće pomoći državni proračun PK</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4E145B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6.164,00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13D75E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6.164,00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DE1A7C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5.858,40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4EECE1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95,04%</w:t>
            </w:r>
          </w:p>
        </w:tc>
      </w:tr>
      <w:tr w:rsidR="00416D67" w:rsidRPr="00416D67" w14:paraId="4CE6C4D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471EAF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5.3. Tekuće pomoći PK JLP(R)S </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14F014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14.750,00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EF0156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14.750,00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B729EF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14.481,50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749FFC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98,18%</w:t>
            </w:r>
          </w:p>
        </w:tc>
      </w:tr>
      <w:tr w:rsidR="00416D67" w:rsidRPr="00416D67" w14:paraId="539D953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C1A71D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5.4. Tekuće pomoći PK JLP(R)S </w:t>
            </w:r>
            <w:proofErr w:type="spellStart"/>
            <w:r w:rsidRPr="00416D67">
              <w:rPr>
                <w:rFonts w:ascii="Arial" w:hAnsi="Arial" w:cs="Arial"/>
                <w:b/>
                <w:bCs/>
                <w:color w:val="333333"/>
                <w:sz w:val="14"/>
                <w:szCs w:val="14"/>
              </w:rPr>
              <w:t>Ist.županija</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D8E9AC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2D585C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47B402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758C57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6F8B693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F72576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5.6.6 Pomoći EU  (program razvoja kružnog </w:t>
            </w:r>
            <w:proofErr w:type="spellStart"/>
            <w:r w:rsidRPr="00416D67">
              <w:rPr>
                <w:rFonts w:ascii="Arial" w:hAnsi="Arial" w:cs="Arial"/>
                <w:b/>
                <w:bCs/>
                <w:color w:val="333333"/>
                <w:sz w:val="14"/>
                <w:szCs w:val="14"/>
              </w:rPr>
              <w:t>gospod</w:t>
            </w:r>
            <w:proofErr w:type="spellEnd"/>
            <w:r w:rsidRPr="00416D67">
              <w:rPr>
                <w:rFonts w:ascii="Arial" w:hAnsi="Arial" w:cs="Arial"/>
                <w:b/>
                <w:bCs/>
                <w:color w:val="333333"/>
                <w:sz w:val="14"/>
                <w:szCs w:val="14"/>
              </w:rPr>
              <w:t xml:space="preserve"> prostorom i </w:t>
            </w:r>
            <w:proofErr w:type="spellStart"/>
            <w:r w:rsidRPr="00416D67">
              <w:rPr>
                <w:rFonts w:ascii="Arial" w:hAnsi="Arial" w:cs="Arial"/>
                <w:b/>
                <w:bCs/>
                <w:color w:val="333333"/>
                <w:sz w:val="14"/>
                <w:szCs w:val="14"/>
              </w:rPr>
              <w:t>zgrad</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08F6D3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 </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95CF72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E823A6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663,61</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5086EB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 </w:t>
            </w:r>
          </w:p>
        </w:tc>
      </w:tr>
      <w:tr w:rsidR="00416D67" w:rsidRPr="00416D67" w14:paraId="576BF0A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25173C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6. Donacije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9D33D5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7E4CDE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FBB0F1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63E19A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58FCA7D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2FC9C6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6.2. Donacije PK</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008CB7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C71BED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2B208B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304C4B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45D757F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FBF650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7. Prihodi od prodaje ili zamjene nefinancijske imovine i </w:t>
            </w:r>
            <w:proofErr w:type="spellStart"/>
            <w:r w:rsidRPr="00416D67">
              <w:rPr>
                <w:rFonts w:ascii="Arial" w:hAnsi="Arial" w:cs="Arial"/>
                <w:b/>
                <w:bCs/>
                <w:color w:val="333333"/>
                <w:sz w:val="14"/>
                <w:szCs w:val="14"/>
              </w:rPr>
              <w:t>nakna</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C94994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903.500,00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BC95F3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858.500,00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7565E5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2.946,65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76E845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0,34%</w:t>
            </w:r>
          </w:p>
        </w:tc>
      </w:tr>
      <w:tr w:rsidR="00416D67" w:rsidRPr="00416D67" w14:paraId="524CEBA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1577E11"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7.1. 07 Prihodi od prodaje ili zamjene  </w:t>
            </w:r>
            <w:proofErr w:type="spellStart"/>
            <w:r w:rsidRPr="00416D67">
              <w:rPr>
                <w:rFonts w:ascii="Arial" w:hAnsi="Arial" w:cs="Arial"/>
                <w:b/>
                <w:bCs/>
                <w:color w:val="333333"/>
                <w:sz w:val="14"/>
                <w:szCs w:val="14"/>
              </w:rPr>
              <w:t>nefinanc.imovine</w:t>
            </w:r>
            <w:proofErr w:type="spellEnd"/>
            <w:r w:rsidRPr="00416D67">
              <w:rPr>
                <w:rFonts w:ascii="Arial" w:hAnsi="Arial" w:cs="Arial"/>
                <w:b/>
                <w:bCs/>
                <w:color w:val="333333"/>
                <w:sz w:val="14"/>
                <w:szCs w:val="14"/>
              </w:rPr>
              <w:t xml:space="preserve"> i </w:t>
            </w:r>
            <w:proofErr w:type="spellStart"/>
            <w:r w:rsidRPr="00416D67">
              <w:rPr>
                <w:rFonts w:ascii="Arial" w:hAnsi="Arial" w:cs="Arial"/>
                <w:b/>
                <w:bCs/>
                <w:color w:val="333333"/>
                <w:sz w:val="14"/>
                <w:szCs w:val="14"/>
              </w:rPr>
              <w:t>nadokn</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48C475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900.000,00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49A97E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855.000,00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9C30A1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A6791B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7117AC1F"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F9098E"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7.2. Prodaja državnog </w:t>
            </w:r>
            <w:proofErr w:type="spellStart"/>
            <w:r w:rsidRPr="00416D67">
              <w:rPr>
                <w:rFonts w:ascii="Arial" w:hAnsi="Arial" w:cs="Arial"/>
                <w:b/>
                <w:bCs/>
                <w:color w:val="333333"/>
                <w:sz w:val="14"/>
                <w:szCs w:val="14"/>
              </w:rPr>
              <w:t>poljopr.zemljišta</w:t>
            </w:r>
            <w:proofErr w:type="spellEnd"/>
            <w:r w:rsidRPr="00416D67">
              <w:rPr>
                <w:rFonts w:ascii="Arial" w:hAnsi="Arial" w:cs="Arial"/>
                <w:b/>
                <w:bCs/>
                <w:color w:val="333333"/>
                <w:sz w:val="14"/>
                <w:szCs w:val="14"/>
              </w:rPr>
              <w:t xml:space="preserve"> 6457</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BF08D0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65E92D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53336E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2.946,65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8CD8FF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84,19%</w:t>
            </w:r>
          </w:p>
        </w:tc>
      </w:tr>
      <w:tr w:rsidR="00416D67" w:rsidRPr="00416D67" w14:paraId="19D3430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331B7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lastRenderedPageBreak/>
              <w:t>Izvor 9. Višak prihoda ranijih godina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7B1AE5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1.606.113,82</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67976E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1.606.113,82</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CD4349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862.479,42</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3F2848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53,70%</w:t>
            </w:r>
          </w:p>
        </w:tc>
      </w:tr>
      <w:tr w:rsidR="00416D67" w:rsidRPr="00416D67" w14:paraId="74F6FE5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8BF336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9.1. Višak prihoda ranijih godina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A245B7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76.839,28</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FD6155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72.999,28</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2FE538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13.198,06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1D7F5A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18,08%</w:t>
            </w:r>
          </w:p>
        </w:tc>
      </w:tr>
      <w:tr w:rsidR="00416D67" w:rsidRPr="00416D67" w14:paraId="0F49885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2879204"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9.1.1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5F9719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1.472.605,74</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D880C1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1.476.445,74</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744C4D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795.197,58</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43F667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53,86%</w:t>
            </w:r>
          </w:p>
        </w:tc>
      </w:tr>
      <w:tr w:rsidR="00416D67" w:rsidRPr="00416D67" w14:paraId="2023A2A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301420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9.3. Višak prihoda prethodne godine PK</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24F1C7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140,97</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004398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140,97</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D20D02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140,97</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EDD702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519403B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22342B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9.4.312 Višak koncesija javne usluge pražnjenja i dovoza otpadnih vo</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DC28DB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2.585,02</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BC28FC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2.585,02</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2127C1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A2E698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29064F4C"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660485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9.5.3 Višak prihoda  </w:t>
            </w:r>
            <w:proofErr w:type="spellStart"/>
            <w:r w:rsidRPr="00416D67">
              <w:rPr>
                <w:rFonts w:ascii="Arial" w:hAnsi="Arial" w:cs="Arial"/>
                <w:b/>
                <w:bCs/>
                <w:color w:val="333333"/>
                <w:sz w:val="14"/>
                <w:szCs w:val="14"/>
              </w:rPr>
              <w:t>p.g</w:t>
            </w:r>
            <w:proofErr w:type="spellEnd"/>
            <w:r w:rsidRPr="00416D67">
              <w:rPr>
                <w:rFonts w:ascii="Arial" w:hAnsi="Arial" w:cs="Arial"/>
                <w:b/>
                <w:bCs/>
                <w:color w:val="333333"/>
                <w:sz w:val="14"/>
                <w:szCs w:val="14"/>
              </w:rPr>
              <w:t>. pomoći Ministarstvo turizma i  sporta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6C52EC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53.942,81</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59FEF4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53.942,81</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3AAEA4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53.942,81</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EEA994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51E466E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721CD3A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3010</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56F16F1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Program: Redovna djelatnost Upravnog odjela za društvene djelatnosti, gospodarstvo, financije i javnu nabavu</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0740684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1.179.859,68</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4CEE37B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1.177.334,68</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69DCA7A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1.004.112,43</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511947C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85,29%</w:t>
            </w:r>
          </w:p>
        </w:tc>
      </w:tr>
      <w:tr w:rsidR="00416D67" w:rsidRPr="00416D67" w14:paraId="0A53BAD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24C872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0CEAD2B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Administrativno, tehničko i stručno osoblje</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7A1A81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553.209,50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7FBB5C3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547.784,50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1CE8C1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498.951,84</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7BE138F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91,09%</w:t>
            </w:r>
          </w:p>
        </w:tc>
      </w:tr>
      <w:tr w:rsidR="00416D67" w:rsidRPr="00416D67" w14:paraId="5853BC1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934ADC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4FC01B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553.209,50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2DB83F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547.784,50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A620EB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498.951,84</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EDC667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91,09%</w:t>
            </w:r>
          </w:p>
        </w:tc>
      </w:tr>
      <w:tr w:rsidR="00416D67" w:rsidRPr="00416D67" w14:paraId="27F11CD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F63CEE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304E96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553.209,50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E7BEA5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547.784,50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2D8F89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498.951,84</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8C5D10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91,09%</w:t>
            </w:r>
          </w:p>
        </w:tc>
      </w:tr>
      <w:tr w:rsidR="00416D67" w:rsidRPr="00416D67" w14:paraId="2CEEBB1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7EB298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31</w:t>
            </w:r>
          </w:p>
        </w:tc>
        <w:tc>
          <w:tcPr>
            <w:tcW w:w="8106" w:type="dxa"/>
            <w:tcBorders>
              <w:top w:val="single" w:sz="4" w:space="0" w:color="auto"/>
              <w:left w:val="nil"/>
              <w:bottom w:val="single" w:sz="4" w:space="0" w:color="auto"/>
              <w:right w:val="single" w:sz="4" w:space="0" w:color="auto"/>
            </w:tcBorders>
            <w:noWrap/>
            <w:vAlign w:val="bottom"/>
            <w:hideMark/>
          </w:tcPr>
          <w:p w14:paraId="43A53BA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zaposlene</w:t>
            </w:r>
          </w:p>
        </w:tc>
        <w:tc>
          <w:tcPr>
            <w:tcW w:w="1095" w:type="dxa"/>
            <w:tcBorders>
              <w:top w:val="single" w:sz="4" w:space="0" w:color="auto"/>
              <w:left w:val="nil"/>
              <w:bottom w:val="single" w:sz="4" w:space="0" w:color="auto"/>
              <w:right w:val="single" w:sz="4" w:space="0" w:color="auto"/>
            </w:tcBorders>
            <w:noWrap/>
            <w:vAlign w:val="bottom"/>
            <w:hideMark/>
          </w:tcPr>
          <w:p w14:paraId="34EEF33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446.264,50</w:t>
            </w:r>
          </w:p>
        </w:tc>
        <w:tc>
          <w:tcPr>
            <w:tcW w:w="1070" w:type="dxa"/>
            <w:tcBorders>
              <w:top w:val="single" w:sz="4" w:space="0" w:color="auto"/>
              <w:left w:val="nil"/>
              <w:bottom w:val="single" w:sz="4" w:space="0" w:color="auto"/>
              <w:right w:val="single" w:sz="4" w:space="0" w:color="auto"/>
            </w:tcBorders>
            <w:noWrap/>
            <w:vAlign w:val="bottom"/>
            <w:hideMark/>
          </w:tcPr>
          <w:p w14:paraId="4DF5C55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440.839,50</w:t>
            </w:r>
          </w:p>
        </w:tc>
        <w:tc>
          <w:tcPr>
            <w:tcW w:w="1095" w:type="dxa"/>
            <w:tcBorders>
              <w:top w:val="single" w:sz="4" w:space="0" w:color="auto"/>
              <w:left w:val="nil"/>
              <w:bottom w:val="single" w:sz="4" w:space="0" w:color="auto"/>
              <w:right w:val="single" w:sz="4" w:space="0" w:color="auto"/>
            </w:tcBorders>
            <w:noWrap/>
            <w:vAlign w:val="bottom"/>
            <w:hideMark/>
          </w:tcPr>
          <w:p w14:paraId="689FBF0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439.267,54</w:t>
            </w:r>
          </w:p>
        </w:tc>
        <w:tc>
          <w:tcPr>
            <w:tcW w:w="918" w:type="dxa"/>
            <w:tcBorders>
              <w:top w:val="single" w:sz="4" w:space="0" w:color="auto"/>
              <w:left w:val="nil"/>
              <w:bottom w:val="single" w:sz="4" w:space="0" w:color="auto"/>
              <w:right w:val="single" w:sz="4" w:space="0" w:color="auto"/>
            </w:tcBorders>
            <w:noWrap/>
            <w:vAlign w:val="bottom"/>
            <w:hideMark/>
          </w:tcPr>
          <w:p w14:paraId="5370E42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99,64%</w:t>
            </w:r>
          </w:p>
        </w:tc>
      </w:tr>
      <w:tr w:rsidR="00416D67" w:rsidRPr="00416D67" w14:paraId="245C256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D8C16ED" w14:textId="77777777" w:rsidR="00416D67" w:rsidRPr="00416D67" w:rsidRDefault="00416D67" w:rsidP="00416D67">
            <w:pPr>
              <w:rPr>
                <w:rFonts w:ascii="Arial" w:hAnsi="Arial" w:cs="Arial"/>
                <w:sz w:val="14"/>
                <w:szCs w:val="14"/>
              </w:rPr>
            </w:pPr>
            <w:r w:rsidRPr="00416D67">
              <w:rPr>
                <w:rFonts w:ascii="Arial" w:hAnsi="Arial" w:cs="Arial"/>
                <w:sz w:val="14"/>
                <w:szCs w:val="14"/>
              </w:rPr>
              <w:t>3111</w:t>
            </w:r>
          </w:p>
        </w:tc>
        <w:tc>
          <w:tcPr>
            <w:tcW w:w="8106" w:type="dxa"/>
            <w:tcBorders>
              <w:top w:val="single" w:sz="4" w:space="0" w:color="auto"/>
              <w:left w:val="nil"/>
              <w:bottom w:val="single" w:sz="4" w:space="0" w:color="auto"/>
              <w:right w:val="single" w:sz="4" w:space="0" w:color="auto"/>
            </w:tcBorders>
            <w:noWrap/>
            <w:vAlign w:val="bottom"/>
            <w:hideMark/>
          </w:tcPr>
          <w:p w14:paraId="62587D6E" w14:textId="77777777" w:rsidR="00416D67" w:rsidRPr="00416D67" w:rsidRDefault="00416D67" w:rsidP="00416D67">
            <w:pPr>
              <w:rPr>
                <w:rFonts w:ascii="Arial" w:hAnsi="Arial" w:cs="Arial"/>
                <w:sz w:val="14"/>
                <w:szCs w:val="14"/>
              </w:rPr>
            </w:pPr>
            <w:r w:rsidRPr="00416D67">
              <w:rPr>
                <w:rFonts w:ascii="Arial" w:hAnsi="Arial" w:cs="Arial"/>
                <w:sz w:val="14"/>
                <w:szCs w:val="14"/>
              </w:rPr>
              <w:t>Plaće za redovan rad</w:t>
            </w:r>
          </w:p>
        </w:tc>
        <w:tc>
          <w:tcPr>
            <w:tcW w:w="1095" w:type="dxa"/>
            <w:tcBorders>
              <w:top w:val="single" w:sz="4" w:space="0" w:color="auto"/>
              <w:left w:val="nil"/>
              <w:bottom w:val="single" w:sz="4" w:space="0" w:color="auto"/>
              <w:right w:val="single" w:sz="4" w:space="0" w:color="auto"/>
            </w:tcBorders>
            <w:noWrap/>
            <w:vAlign w:val="bottom"/>
            <w:hideMark/>
          </w:tcPr>
          <w:p w14:paraId="77D0BE0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E17D17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2CA91E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345.327,28</w:t>
            </w:r>
          </w:p>
        </w:tc>
        <w:tc>
          <w:tcPr>
            <w:tcW w:w="918" w:type="dxa"/>
            <w:tcBorders>
              <w:top w:val="single" w:sz="4" w:space="0" w:color="auto"/>
              <w:left w:val="nil"/>
              <w:bottom w:val="single" w:sz="4" w:space="0" w:color="auto"/>
              <w:right w:val="single" w:sz="4" w:space="0" w:color="auto"/>
            </w:tcBorders>
            <w:noWrap/>
            <w:vAlign w:val="bottom"/>
            <w:hideMark/>
          </w:tcPr>
          <w:p w14:paraId="004CFB9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E18263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E1287B9" w14:textId="77777777" w:rsidR="00416D67" w:rsidRPr="00416D67" w:rsidRDefault="00416D67" w:rsidP="00416D67">
            <w:pPr>
              <w:rPr>
                <w:rFonts w:ascii="Arial" w:hAnsi="Arial" w:cs="Arial"/>
                <w:sz w:val="14"/>
                <w:szCs w:val="14"/>
              </w:rPr>
            </w:pPr>
            <w:r w:rsidRPr="00416D67">
              <w:rPr>
                <w:rFonts w:ascii="Arial" w:hAnsi="Arial" w:cs="Arial"/>
                <w:sz w:val="14"/>
                <w:szCs w:val="14"/>
              </w:rPr>
              <w:t>3121</w:t>
            </w:r>
          </w:p>
        </w:tc>
        <w:tc>
          <w:tcPr>
            <w:tcW w:w="8106" w:type="dxa"/>
            <w:tcBorders>
              <w:top w:val="single" w:sz="4" w:space="0" w:color="auto"/>
              <w:left w:val="nil"/>
              <w:bottom w:val="single" w:sz="4" w:space="0" w:color="auto"/>
              <w:right w:val="single" w:sz="4" w:space="0" w:color="auto"/>
            </w:tcBorders>
            <w:noWrap/>
            <w:vAlign w:val="bottom"/>
            <w:hideMark/>
          </w:tcPr>
          <w:p w14:paraId="27EDC71C" w14:textId="77777777" w:rsidR="00416D67" w:rsidRPr="00416D67" w:rsidRDefault="00416D67" w:rsidP="00416D67">
            <w:pPr>
              <w:rPr>
                <w:rFonts w:ascii="Arial" w:hAnsi="Arial" w:cs="Arial"/>
                <w:sz w:val="14"/>
                <w:szCs w:val="14"/>
              </w:rPr>
            </w:pPr>
            <w:r w:rsidRPr="00416D67">
              <w:rPr>
                <w:rFonts w:ascii="Arial" w:hAnsi="Arial" w:cs="Arial"/>
                <w:sz w:val="14"/>
                <w:szCs w:val="14"/>
              </w:rPr>
              <w:t>Ostali rashodi za zaposlene</w:t>
            </w:r>
          </w:p>
        </w:tc>
        <w:tc>
          <w:tcPr>
            <w:tcW w:w="1095" w:type="dxa"/>
            <w:tcBorders>
              <w:top w:val="single" w:sz="4" w:space="0" w:color="auto"/>
              <w:left w:val="nil"/>
              <w:bottom w:val="single" w:sz="4" w:space="0" w:color="auto"/>
              <w:right w:val="single" w:sz="4" w:space="0" w:color="auto"/>
            </w:tcBorders>
            <w:noWrap/>
            <w:vAlign w:val="bottom"/>
            <w:hideMark/>
          </w:tcPr>
          <w:p w14:paraId="67FC3D3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2C60C4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2D0CAD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36.961,22</w:t>
            </w:r>
          </w:p>
        </w:tc>
        <w:tc>
          <w:tcPr>
            <w:tcW w:w="918" w:type="dxa"/>
            <w:tcBorders>
              <w:top w:val="single" w:sz="4" w:space="0" w:color="auto"/>
              <w:left w:val="nil"/>
              <w:bottom w:val="single" w:sz="4" w:space="0" w:color="auto"/>
              <w:right w:val="single" w:sz="4" w:space="0" w:color="auto"/>
            </w:tcBorders>
            <w:noWrap/>
            <w:vAlign w:val="bottom"/>
            <w:hideMark/>
          </w:tcPr>
          <w:p w14:paraId="6F0280E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F67EAC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F7ECF0B" w14:textId="77777777" w:rsidR="00416D67" w:rsidRPr="00416D67" w:rsidRDefault="00416D67" w:rsidP="00416D67">
            <w:pPr>
              <w:rPr>
                <w:rFonts w:ascii="Arial" w:hAnsi="Arial" w:cs="Arial"/>
                <w:sz w:val="14"/>
                <w:szCs w:val="14"/>
              </w:rPr>
            </w:pPr>
            <w:r w:rsidRPr="00416D67">
              <w:rPr>
                <w:rFonts w:ascii="Arial" w:hAnsi="Arial" w:cs="Arial"/>
                <w:sz w:val="14"/>
                <w:szCs w:val="14"/>
              </w:rPr>
              <w:t>3132</w:t>
            </w:r>
          </w:p>
        </w:tc>
        <w:tc>
          <w:tcPr>
            <w:tcW w:w="8106" w:type="dxa"/>
            <w:tcBorders>
              <w:top w:val="single" w:sz="4" w:space="0" w:color="auto"/>
              <w:left w:val="nil"/>
              <w:bottom w:val="single" w:sz="4" w:space="0" w:color="auto"/>
              <w:right w:val="single" w:sz="4" w:space="0" w:color="auto"/>
            </w:tcBorders>
            <w:noWrap/>
            <w:vAlign w:val="bottom"/>
            <w:hideMark/>
          </w:tcPr>
          <w:p w14:paraId="0ED9A247" w14:textId="77777777" w:rsidR="00416D67" w:rsidRPr="00416D67" w:rsidRDefault="00416D67" w:rsidP="00416D67">
            <w:pPr>
              <w:rPr>
                <w:rFonts w:ascii="Arial" w:hAnsi="Arial" w:cs="Arial"/>
                <w:sz w:val="14"/>
                <w:szCs w:val="14"/>
              </w:rPr>
            </w:pPr>
            <w:r w:rsidRPr="00416D67">
              <w:rPr>
                <w:rFonts w:ascii="Arial" w:hAnsi="Arial" w:cs="Arial"/>
                <w:sz w:val="14"/>
                <w:szCs w:val="14"/>
              </w:rPr>
              <w:t>Doprinosi za obvezno zdravstveno osiguranje</w:t>
            </w:r>
          </w:p>
        </w:tc>
        <w:tc>
          <w:tcPr>
            <w:tcW w:w="1095" w:type="dxa"/>
            <w:tcBorders>
              <w:top w:val="single" w:sz="4" w:space="0" w:color="auto"/>
              <w:left w:val="nil"/>
              <w:bottom w:val="single" w:sz="4" w:space="0" w:color="auto"/>
              <w:right w:val="single" w:sz="4" w:space="0" w:color="auto"/>
            </w:tcBorders>
            <w:noWrap/>
            <w:vAlign w:val="bottom"/>
            <w:hideMark/>
          </w:tcPr>
          <w:p w14:paraId="4E3349F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20AA8B1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9A5ACF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56.979,04</w:t>
            </w:r>
          </w:p>
        </w:tc>
        <w:tc>
          <w:tcPr>
            <w:tcW w:w="918" w:type="dxa"/>
            <w:tcBorders>
              <w:top w:val="single" w:sz="4" w:space="0" w:color="auto"/>
              <w:left w:val="nil"/>
              <w:bottom w:val="single" w:sz="4" w:space="0" w:color="auto"/>
              <w:right w:val="single" w:sz="4" w:space="0" w:color="auto"/>
            </w:tcBorders>
            <w:noWrap/>
            <w:vAlign w:val="bottom"/>
            <w:hideMark/>
          </w:tcPr>
          <w:p w14:paraId="73E97CD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3ADA81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0A77D1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24767AD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7052D59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31.455,00</w:t>
            </w:r>
          </w:p>
        </w:tc>
        <w:tc>
          <w:tcPr>
            <w:tcW w:w="1070" w:type="dxa"/>
            <w:tcBorders>
              <w:top w:val="single" w:sz="4" w:space="0" w:color="auto"/>
              <w:left w:val="nil"/>
              <w:bottom w:val="single" w:sz="4" w:space="0" w:color="auto"/>
              <w:right w:val="single" w:sz="4" w:space="0" w:color="auto"/>
            </w:tcBorders>
            <w:noWrap/>
            <w:vAlign w:val="bottom"/>
            <w:hideMark/>
          </w:tcPr>
          <w:p w14:paraId="34D8824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31.455,00</w:t>
            </w:r>
          </w:p>
        </w:tc>
        <w:tc>
          <w:tcPr>
            <w:tcW w:w="1095" w:type="dxa"/>
            <w:tcBorders>
              <w:top w:val="single" w:sz="4" w:space="0" w:color="auto"/>
              <w:left w:val="nil"/>
              <w:bottom w:val="single" w:sz="4" w:space="0" w:color="auto"/>
              <w:right w:val="single" w:sz="4" w:space="0" w:color="auto"/>
            </w:tcBorders>
            <w:noWrap/>
            <w:vAlign w:val="bottom"/>
            <w:hideMark/>
          </w:tcPr>
          <w:p w14:paraId="710BC7C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27.408,10</w:t>
            </w:r>
          </w:p>
        </w:tc>
        <w:tc>
          <w:tcPr>
            <w:tcW w:w="918" w:type="dxa"/>
            <w:tcBorders>
              <w:top w:val="single" w:sz="4" w:space="0" w:color="auto"/>
              <w:left w:val="nil"/>
              <w:bottom w:val="single" w:sz="4" w:space="0" w:color="auto"/>
              <w:right w:val="single" w:sz="4" w:space="0" w:color="auto"/>
            </w:tcBorders>
            <w:noWrap/>
            <w:vAlign w:val="bottom"/>
            <w:hideMark/>
          </w:tcPr>
          <w:p w14:paraId="6BFBBDC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87,13%</w:t>
            </w:r>
          </w:p>
        </w:tc>
      </w:tr>
      <w:tr w:rsidR="00416D67" w:rsidRPr="00416D67" w14:paraId="3C71477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8170208" w14:textId="77777777" w:rsidR="00416D67" w:rsidRPr="00416D67" w:rsidRDefault="00416D67" w:rsidP="00416D67">
            <w:pPr>
              <w:rPr>
                <w:rFonts w:ascii="Arial" w:hAnsi="Arial" w:cs="Arial"/>
                <w:sz w:val="14"/>
                <w:szCs w:val="14"/>
              </w:rPr>
            </w:pPr>
            <w:r w:rsidRPr="00416D67">
              <w:rPr>
                <w:rFonts w:ascii="Arial" w:hAnsi="Arial" w:cs="Arial"/>
                <w:sz w:val="14"/>
                <w:szCs w:val="14"/>
              </w:rPr>
              <w:t>3211</w:t>
            </w:r>
          </w:p>
        </w:tc>
        <w:tc>
          <w:tcPr>
            <w:tcW w:w="8106" w:type="dxa"/>
            <w:tcBorders>
              <w:top w:val="single" w:sz="4" w:space="0" w:color="auto"/>
              <w:left w:val="nil"/>
              <w:bottom w:val="single" w:sz="4" w:space="0" w:color="auto"/>
              <w:right w:val="single" w:sz="4" w:space="0" w:color="auto"/>
            </w:tcBorders>
            <w:noWrap/>
            <w:vAlign w:val="bottom"/>
            <w:hideMark/>
          </w:tcPr>
          <w:p w14:paraId="15B5A7CE" w14:textId="77777777" w:rsidR="00416D67" w:rsidRPr="00416D67" w:rsidRDefault="00416D67" w:rsidP="00416D67">
            <w:pPr>
              <w:rPr>
                <w:rFonts w:ascii="Arial" w:hAnsi="Arial" w:cs="Arial"/>
                <w:sz w:val="14"/>
                <w:szCs w:val="14"/>
              </w:rPr>
            </w:pPr>
            <w:r w:rsidRPr="00416D67">
              <w:rPr>
                <w:rFonts w:ascii="Arial" w:hAnsi="Arial" w:cs="Arial"/>
                <w:sz w:val="14"/>
                <w:szCs w:val="14"/>
              </w:rPr>
              <w:t>Službena putovanja</w:t>
            </w:r>
          </w:p>
        </w:tc>
        <w:tc>
          <w:tcPr>
            <w:tcW w:w="1095" w:type="dxa"/>
            <w:tcBorders>
              <w:top w:val="single" w:sz="4" w:space="0" w:color="auto"/>
              <w:left w:val="nil"/>
              <w:bottom w:val="single" w:sz="4" w:space="0" w:color="auto"/>
              <w:right w:val="single" w:sz="4" w:space="0" w:color="auto"/>
            </w:tcBorders>
            <w:noWrap/>
            <w:vAlign w:val="bottom"/>
            <w:hideMark/>
          </w:tcPr>
          <w:p w14:paraId="74F3347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130C6F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74EF19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2.379,15</w:t>
            </w:r>
          </w:p>
        </w:tc>
        <w:tc>
          <w:tcPr>
            <w:tcW w:w="918" w:type="dxa"/>
            <w:tcBorders>
              <w:top w:val="single" w:sz="4" w:space="0" w:color="auto"/>
              <w:left w:val="nil"/>
              <w:bottom w:val="single" w:sz="4" w:space="0" w:color="auto"/>
              <w:right w:val="single" w:sz="4" w:space="0" w:color="auto"/>
            </w:tcBorders>
            <w:noWrap/>
            <w:vAlign w:val="bottom"/>
            <w:hideMark/>
          </w:tcPr>
          <w:p w14:paraId="6A96F63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3D9A47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0CFA11B" w14:textId="77777777" w:rsidR="00416D67" w:rsidRPr="00416D67" w:rsidRDefault="00416D67" w:rsidP="00416D67">
            <w:pPr>
              <w:rPr>
                <w:rFonts w:ascii="Arial" w:hAnsi="Arial" w:cs="Arial"/>
                <w:sz w:val="14"/>
                <w:szCs w:val="14"/>
              </w:rPr>
            </w:pPr>
            <w:r w:rsidRPr="00416D67">
              <w:rPr>
                <w:rFonts w:ascii="Arial" w:hAnsi="Arial" w:cs="Arial"/>
                <w:sz w:val="14"/>
                <w:szCs w:val="14"/>
              </w:rPr>
              <w:t>3212</w:t>
            </w:r>
          </w:p>
        </w:tc>
        <w:tc>
          <w:tcPr>
            <w:tcW w:w="8106" w:type="dxa"/>
            <w:tcBorders>
              <w:top w:val="single" w:sz="4" w:space="0" w:color="auto"/>
              <w:left w:val="nil"/>
              <w:bottom w:val="single" w:sz="4" w:space="0" w:color="auto"/>
              <w:right w:val="single" w:sz="4" w:space="0" w:color="auto"/>
            </w:tcBorders>
            <w:noWrap/>
            <w:vAlign w:val="bottom"/>
            <w:hideMark/>
          </w:tcPr>
          <w:p w14:paraId="186472D6" w14:textId="77777777" w:rsidR="00416D67" w:rsidRPr="00416D67" w:rsidRDefault="00416D67" w:rsidP="00416D67">
            <w:pPr>
              <w:rPr>
                <w:rFonts w:ascii="Arial" w:hAnsi="Arial" w:cs="Arial"/>
                <w:sz w:val="14"/>
                <w:szCs w:val="14"/>
              </w:rPr>
            </w:pPr>
            <w:r w:rsidRPr="00416D67">
              <w:rPr>
                <w:rFonts w:ascii="Arial" w:hAnsi="Arial" w:cs="Arial"/>
                <w:sz w:val="14"/>
                <w:szCs w:val="14"/>
              </w:rPr>
              <w:t>Naknade za prijevoz, za rad na terenu i odvojeni život</w:t>
            </w:r>
          </w:p>
        </w:tc>
        <w:tc>
          <w:tcPr>
            <w:tcW w:w="1095" w:type="dxa"/>
            <w:tcBorders>
              <w:top w:val="single" w:sz="4" w:space="0" w:color="auto"/>
              <w:left w:val="nil"/>
              <w:bottom w:val="single" w:sz="4" w:space="0" w:color="auto"/>
              <w:right w:val="single" w:sz="4" w:space="0" w:color="auto"/>
            </w:tcBorders>
            <w:noWrap/>
            <w:vAlign w:val="bottom"/>
            <w:hideMark/>
          </w:tcPr>
          <w:p w14:paraId="6096300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CBDE79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C6A84A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18.852,70</w:t>
            </w:r>
          </w:p>
        </w:tc>
        <w:tc>
          <w:tcPr>
            <w:tcW w:w="918" w:type="dxa"/>
            <w:tcBorders>
              <w:top w:val="single" w:sz="4" w:space="0" w:color="auto"/>
              <w:left w:val="nil"/>
              <w:bottom w:val="single" w:sz="4" w:space="0" w:color="auto"/>
              <w:right w:val="single" w:sz="4" w:space="0" w:color="auto"/>
            </w:tcBorders>
            <w:noWrap/>
            <w:vAlign w:val="bottom"/>
            <w:hideMark/>
          </w:tcPr>
          <w:p w14:paraId="3D6F59E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939A73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F87ABD1" w14:textId="77777777" w:rsidR="00416D67" w:rsidRPr="00416D67" w:rsidRDefault="00416D67" w:rsidP="00416D67">
            <w:pPr>
              <w:rPr>
                <w:rFonts w:ascii="Arial" w:hAnsi="Arial" w:cs="Arial"/>
                <w:sz w:val="14"/>
                <w:szCs w:val="14"/>
              </w:rPr>
            </w:pPr>
            <w:r w:rsidRPr="00416D67">
              <w:rPr>
                <w:rFonts w:ascii="Arial" w:hAnsi="Arial" w:cs="Arial"/>
                <w:sz w:val="14"/>
                <w:szCs w:val="14"/>
              </w:rPr>
              <w:t>3213</w:t>
            </w:r>
          </w:p>
        </w:tc>
        <w:tc>
          <w:tcPr>
            <w:tcW w:w="8106" w:type="dxa"/>
            <w:tcBorders>
              <w:top w:val="single" w:sz="4" w:space="0" w:color="auto"/>
              <w:left w:val="nil"/>
              <w:bottom w:val="single" w:sz="4" w:space="0" w:color="auto"/>
              <w:right w:val="single" w:sz="4" w:space="0" w:color="auto"/>
            </w:tcBorders>
            <w:noWrap/>
            <w:vAlign w:val="bottom"/>
            <w:hideMark/>
          </w:tcPr>
          <w:p w14:paraId="12D7667E" w14:textId="77777777" w:rsidR="00416D67" w:rsidRPr="00416D67" w:rsidRDefault="00416D67" w:rsidP="00416D67">
            <w:pPr>
              <w:rPr>
                <w:rFonts w:ascii="Arial" w:hAnsi="Arial" w:cs="Arial"/>
                <w:sz w:val="14"/>
                <w:szCs w:val="14"/>
              </w:rPr>
            </w:pPr>
            <w:r w:rsidRPr="00416D67">
              <w:rPr>
                <w:rFonts w:ascii="Arial" w:hAnsi="Arial" w:cs="Arial"/>
                <w:sz w:val="14"/>
                <w:szCs w:val="14"/>
              </w:rPr>
              <w:t>Stručno usavršavanje zaposlenika</w:t>
            </w:r>
          </w:p>
        </w:tc>
        <w:tc>
          <w:tcPr>
            <w:tcW w:w="1095" w:type="dxa"/>
            <w:tcBorders>
              <w:top w:val="single" w:sz="4" w:space="0" w:color="auto"/>
              <w:left w:val="nil"/>
              <w:bottom w:val="single" w:sz="4" w:space="0" w:color="auto"/>
              <w:right w:val="single" w:sz="4" w:space="0" w:color="auto"/>
            </w:tcBorders>
            <w:noWrap/>
            <w:vAlign w:val="bottom"/>
            <w:hideMark/>
          </w:tcPr>
          <w:p w14:paraId="6C83A31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114E02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8E9265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1.840,75</w:t>
            </w:r>
          </w:p>
        </w:tc>
        <w:tc>
          <w:tcPr>
            <w:tcW w:w="918" w:type="dxa"/>
            <w:tcBorders>
              <w:top w:val="single" w:sz="4" w:space="0" w:color="auto"/>
              <w:left w:val="nil"/>
              <w:bottom w:val="single" w:sz="4" w:space="0" w:color="auto"/>
              <w:right w:val="single" w:sz="4" w:space="0" w:color="auto"/>
            </w:tcBorders>
            <w:noWrap/>
            <w:vAlign w:val="bottom"/>
            <w:hideMark/>
          </w:tcPr>
          <w:p w14:paraId="5370CB7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23008F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3D09172" w14:textId="77777777" w:rsidR="00416D67" w:rsidRPr="00416D67" w:rsidRDefault="00416D67" w:rsidP="00416D67">
            <w:pPr>
              <w:rPr>
                <w:rFonts w:ascii="Arial" w:hAnsi="Arial" w:cs="Arial"/>
                <w:sz w:val="14"/>
                <w:szCs w:val="14"/>
              </w:rPr>
            </w:pPr>
            <w:r w:rsidRPr="00416D67">
              <w:rPr>
                <w:rFonts w:ascii="Arial" w:hAnsi="Arial" w:cs="Arial"/>
                <w:sz w:val="14"/>
                <w:szCs w:val="14"/>
              </w:rPr>
              <w:t>3214</w:t>
            </w:r>
          </w:p>
        </w:tc>
        <w:tc>
          <w:tcPr>
            <w:tcW w:w="8106" w:type="dxa"/>
            <w:tcBorders>
              <w:top w:val="single" w:sz="4" w:space="0" w:color="auto"/>
              <w:left w:val="nil"/>
              <w:bottom w:val="single" w:sz="4" w:space="0" w:color="auto"/>
              <w:right w:val="single" w:sz="4" w:space="0" w:color="auto"/>
            </w:tcBorders>
            <w:noWrap/>
            <w:vAlign w:val="bottom"/>
            <w:hideMark/>
          </w:tcPr>
          <w:p w14:paraId="13687931" w14:textId="77777777" w:rsidR="00416D67" w:rsidRPr="00416D67" w:rsidRDefault="00416D67" w:rsidP="00416D67">
            <w:pPr>
              <w:rPr>
                <w:rFonts w:ascii="Arial" w:hAnsi="Arial" w:cs="Arial"/>
                <w:sz w:val="14"/>
                <w:szCs w:val="14"/>
              </w:rPr>
            </w:pPr>
            <w:r w:rsidRPr="00416D67">
              <w:rPr>
                <w:rFonts w:ascii="Arial" w:hAnsi="Arial" w:cs="Arial"/>
                <w:sz w:val="14"/>
                <w:szCs w:val="14"/>
              </w:rPr>
              <w:t>Ostale naknade troškova zaposlenima</w:t>
            </w:r>
          </w:p>
        </w:tc>
        <w:tc>
          <w:tcPr>
            <w:tcW w:w="1095" w:type="dxa"/>
            <w:tcBorders>
              <w:top w:val="single" w:sz="4" w:space="0" w:color="auto"/>
              <w:left w:val="nil"/>
              <w:bottom w:val="single" w:sz="4" w:space="0" w:color="auto"/>
              <w:right w:val="single" w:sz="4" w:space="0" w:color="auto"/>
            </w:tcBorders>
            <w:noWrap/>
            <w:vAlign w:val="bottom"/>
            <w:hideMark/>
          </w:tcPr>
          <w:p w14:paraId="29FDF7D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F18A41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F5B71F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915,50</w:t>
            </w:r>
          </w:p>
        </w:tc>
        <w:tc>
          <w:tcPr>
            <w:tcW w:w="918" w:type="dxa"/>
            <w:tcBorders>
              <w:top w:val="single" w:sz="4" w:space="0" w:color="auto"/>
              <w:left w:val="nil"/>
              <w:bottom w:val="single" w:sz="4" w:space="0" w:color="auto"/>
              <w:right w:val="single" w:sz="4" w:space="0" w:color="auto"/>
            </w:tcBorders>
            <w:noWrap/>
            <w:vAlign w:val="bottom"/>
            <w:hideMark/>
          </w:tcPr>
          <w:p w14:paraId="32304E1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899865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7D4D250" w14:textId="77777777" w:rsidR="00416D67" w:rsidRPr="00416D67" w:rsidRDefault="00416D67" w:rsidP="00416D67">
            <w:pPr>
              <w:rPr>
                <w:rFonts w:ascii="Arial" w:hAnsi="Arial" w:cs="Arial"/>
                <w:sz w:val="14"/>
                <w:szCs w:val="14"/>
              </w:rPr>
            </w:pPr>
            <w:r w:rsidRPr="00416D67">
              <w:rPr>
                <w:rFonts w:ascii="Arial" w:hAnsi="Arial" w:cs="Arial"/>
                <w:sz w:val="14"/>
                <w:szCs w:val="14"/>
              </w:rPr>
              <w:t>3236</w:t>
            </w:r>
          </w:p>
        </w:tc>
        <w:tc>
          <w:tcPr>
            <w:tcW w:w="8106" w:type="dxa"/>
            <w:tcBorders>
              <w:top w:val="single" w:sz="4" w:space="0" w:color="auto"/>
              <w:left w:val="nil"/>
              <w:bottom w:val="single" w:sz="4" w:space="0" w:color="auto"/>
              <w:right w:val="single" w:sz="4" w:space="0" w:color="auto"/>
            </w:tcBorders>
            <w:noWrap/>
            <w:vAlign w:val="bottom"/>
            <w:hideMark/>
          </w:tcPr>
          <w:p w14:paraId="0A94EDBB" w14:textId="77777777" w:rsidR="00416D67" w:rsidRPr="00416D67" w:rsidRDefault="00416D67" w:rsidP="00416D67">
            <w:pPr>
              <w:rPr>
                <w:rFonts w:ascii="Arial" w:hAnsi="Arial" w:cs="Arial"/>
                <w:sz w:val="14"/>
                <w:szCs w:val="14"/>
              </w:rPr>
            </w:pPr>
            <w:r w:rsidRPr="00416D67">
              <w:rPr>
                <w:rFonts w:ascii="Arial" w:hAnsi="Arial" w:cs="Arial"/>
                <w:sz w:val="14"/>
                <w:szCs w:val="14"/>
              </w:rPr>
              <w:t>Zdravstvene i veterinarske usluge</w:t>
            </w:r>
          </w:p>
        </w:tc>
        <w:tc>
          <w:tcPr>
            <w:tcW w:w="1095" w:type="dxa"/>
            <w:tcBorders>
              <w:top w:val="single" w:sz="4" w:space="0" w:color="auto"/>
              <w:left w:val="nil"/>
              <w:bottom w:val="single" w:sz="4" w:space="0" w:color="auto"/>
              <w:right w:val="single" w:sz="4" w:space="0" w:color="auto"/>
            </w:tcBorders>
            <w:noWrap/>
            <w:vAlign w:val="bottom"/>
            <w:hideMark/>
          </w:tcPr>
          <w:p w14:paraId="0E70DEE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B24863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33E8CD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3.420,00</w:t>
            </w:r>
          </w:p>
        </w:tc>
        <w:tc>
          <w:tcPr>
            <w:tcW w:w="918" w:type="dxa"/>
            <w:tcBorders>
              <w:top w:val="single" w:sz="4" w:space="0" w:color="auto"/>
              <w:left w:val="nil"/>
              <w:bottom w:val="single" w:sz="4" w:space="0" w:color="auto"/>
              <w:right w:val="single" w:sz="4" w:space="0" w:color="auto"/>
            </w:tcBorders>
            <w:noWrap/>
            <w:vAlign w:val="bottom"/>
            <w:hideMark/>
          </w:tcPr>
          <w:p w14:paraId="71AD837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04D9ED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4C4435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1857A11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74CAE1D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68.990,00</w:t>
            </w:r>
          </w:p>
        </w:tc>
        <w:tc>
          <w:tcPr>
            <w:tcW w:w="1070" w:type="dxa"/>
            <w:tcBorders>
              <w:top w:val="single" w:sz="4" w:space="0" w:color="auto"/>
              <w:left w:val="nil"/>
              <w:bottom w:val="single" w:sz="4" w:space="0" w:color="auto"/>
              <w:right w:val="single" w:sz="4" w:space="0" w:color="auto"/>
            </w:tcBorders>
            <w:noWrap/>
            <w:vAlign w:val="bottom"/>
            <w:hideMark/>
          </w:tcPr>
          <w:p w14:paraId="2645E43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68.990,00</w:t>
            </w:r>
          </w:p>
        </w:tc>
        <w:tc>
          <w:tcPr>
            <w:tcW w:w="1095" w:type="dxa"/>
            <w:tcBorders>
              <w:top w:val="single" w:sz="4" w:space="0" w:color="auto"/>
              <w:left w:val="nil"/>
              <w:bottom w:val="single" w:sz="4" w:space="0" w:color="auto"/>
              <w:right w:val="single" w:sz="4" w:space="0" w:color="auto"/>
            </w:tcBorders>
            <w:noWrap/>
            <w:vAlign w:val="bottom"/>
            <w:hideMark/>
          </w:tcPr>
          <w:p w14:paraId="625020E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25.980,25</w:t>
            </w:r>
          </w:p>
        </w:tc>
        <w:tc>
          <w:tcPr>
            <w:tcW w:w="918" w:type="dxa"/>
            <w:tcBorders>
              <w:top w:val="single" w:sz="4" w:space="0" w:color="auto"/>
              <w:left w:val="nil"/>
              <w:bottom w:val="single" w:sz="4" w:space="0" w:color="auto"/>
              <w:right w:val="single" w:sz="4" w:space="0" w:color="auto"/>
            </w:tcBorders>
            <w:noWrap/>
            <w:vAlign w:val="bottom"/>
            <w:hideMark/>
          </w:tcPr>
          <w:p w14:paraId="370B872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37,66%</w:t>
            </w:r>
          </w:p>
        </w:tc>
      </w:tr>
      <w:tr w:rsidR="00416D67" w:rsidRPr="00416D67" w14:paraId="2C1D32E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CD3819C" w14:textId="77777777" w:rsidR="00416D67" w:rsidRPr="00416D67" w:rsidRDefault="00416D67" w:rsidP="00416D67">
            <w:pPr>
              <w:rPr>
                <w:rFonts w:ascii="Arial" w:hAnsi="Arial" w:cs="Arial"/>
                <w:sz w:val="14"/>
                <w:szCs w:val="14"/>
              </w:rPr>
            </w:pPr>
            <w:r w:rsidRPr="00416D67">
              <w:rPr>
                <w:rFonts w:ascii="Arial" w:hAnsi="Arial" w:cs="Arial"/>
                <w:sz w:val="14"/>
                <w:szCs w:val="14"/>
              </w:rPr>
              <w:t>4221</w:t>
            </w:r>
          </w:p>
        </w:tc>
        <w:tc>
          <w:tcPr>
            <w:tcW w:w="8106" w:type="dxa"/>
            <w:tcBorders>
              <w:top w:val="single" w:sz="4" w:space="0" w:color="auto"/>
              <w:left w:val="nil"/>
              <w:bottom w:val="single" w:sz="4" w:space="0" w:color="auto"/>
              <w:right w:val="single" w:sz="4" w:space="0" w:color="auto"/>
            </w:tcBorders>
            <w:noWrap/>
            <w:vAlign w:val="bottom"/>
            <w:hideMark/>
          </w:tcPr>
          <w:p w14:paraId="69201FE7" w14:textId="77777777" w:rsidR="00416D67" w:rsidRPr="00416D67" w:rsidRDefault="00416D67" w:rsidP="00416D67">
            <w:pPr>
              <w:rPr>
                <w:rFonts w:ascii="Arial" w:hAnsi="Arial" w:cs="Arial"/>
                <w:sz w:val="14"/>
                <w:szCs w:val="14"/>
              </w:rPr>
            </w:pPr>
            <w:r w:rsidRPr="00416D67">
              <w:rPr>
                <w:rFonts w:ascii="Arial" w:hAnsi="Arial" w:cs="Arial"/>
                <w:sz w:val="14"/>
                <w:szCs w:val="14"/>
              </w:rPr>
              <w:t>Uredska oprema i namještaj</w:t>
            </w:r>
          </w:p>
        </w:tc>
        <w:tc>
          <w:tcPr>
            <w:tcW w:w="1095" w:type="dxa"/>
            <w:tcBorders>
              <w:top w:val="single" w:sz="4" w:space="0" w:color="auto"/>
              <w:left w:val="nil"/>
              <w:bottom w:val="single" w:sz="4" w:space="0" w:color="auto"/>
              <w:right w:val="single" w:sz="4" w:space="0" w:color="auto"/>
            </w:tcBorders>
            <w:noWrap/>
            <w:vAlign w:val="bottom"/>
            <w:hideMark/>
          </w:tcPr>
          <w:p w14:paraId="1074BFC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9EE0D7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C881FD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6.348,75</w:t>
            </w:r>
          </w:p>
        </w:tc>
        <w:tc>
          <w:tcPr>
            <w:tcW w:w="918" w:type="dxa"/>
            <w:tcBorders>
              <w:top w:val="single" w:sz="4" w:space="0" w:color="auto"/>
              <w:left w:val="nil"/>
              <w:bottom w:val="single" w:sz="4" w:space="0" w:color="auto"/>
              <w:right w:val="single" w:sz="4" w:space="0" w:color="auto"/>
            </w:tcBorders>
            <w:noWrap/>
            <w:vAlign w:val="bottom"/>
            <w:hideMark/>
          </w:tcPr>
          <w:p w14:paraId="3D3B6EF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51BA3F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735B535" w14:textId="77777777" w:rsidR="00416D67" w:rsidRPr="00416D67" w:rsidRDefault="00416D67" w:rsidP="00416D67">
            <w:pPr>
              <w:rPr>
                <w:rFonts w:ascii="Arial" w:hAnsi="Arial" w:cs="Arial"/>
                <w:sz w:val="14"/>
                <w:szCs w:val="14"/>
              </w:rPr>
            </w:pPr>
            <w:r w:rsidRPr="00416D67">
              <w:rPr>
                <w:rFonts w:ascii="Arial" w:hAnsi="Arial" w:cs="Arial"/>
                <w:sz w:val="14"/>
                <w:szCs w:val="14"/>
              </w:rPr>
              <w:t>4227</w:t>
            </w:r>
          </w:p>
        </w:tc>
        <w:tc>
          <w:tcPr>
            <w:tcW w:w="8106" w:type="dxa"/>
            <w:tcBorders>
              <w:top w:val="single" w:sz="4" w:space="0" w:color="auto"/>
              <w:left w:val="nil"/>
              <w:bottom w:val="single" w:sz="4" w:space="0" w:color="auto"/>
              <w:right w:val="single" w:sz="4" w:space="0" w:color="auto"/>
            </w:tcBorders>
            <w:noWrap/>
            <w:vAlign w:val="bottom"/>
            <w:hideMark/>
          </w:tcPr>
          <w:p w14:paraId="6275996E" w14:textId="77777777" w:rsidR="00416D67" w:rsidRPr="00416D67" w:rsidRDefault="00416D67" w:rsidP="00416D67">
            <w:pPr>
              <w:rPr>
                <w:rFonts w:ascii="Arial" w:hAnsi="Arial" w:cs="Arial"/>
                <w:sz w:val="14"/>
                <w:szCs w:val="14"/>
              </w:rPr>
            </w:pPr>
            <w:r w:rsidRPr="00416D67">
              <w:rPr>
                <w:rFonts w:ascii="Arial" w:hAnsi="Arial" w:cs="Arial"/>
                <w:sz w:val="14"/>
                <w:szCs w:val="14"/>
              </w:rPr>
              <w:t>Uređaji, strojevi i oprema za ostale namjene</w:t>
            </w:r>
          </w:p>
        </w:tc>
        <w:tc>
          <w:tcPr>
            <w:tcW w:w="1095" w:type="dxa"/>
            <w:tcBorders>
              <w:top w:val="single" w:sz="4" w:space="0" w:color="auto"/>
              <w:left w:val="nil"/>
              <w:bottom w:val="single" w:sz="4" w:space="0" w:color="auto"/>
              <w:right w:val="single" w:sz="4" w:space="0" w:color="auto"/>
            </w:tcBorders>
            <w:noWrap/>
            <w:vAlign w:val="bottom"/>
            <w:hideMark/>
          </w:tcPr>
          <w:p w14:paraId="548BEF7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76DC42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909E60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19.631,50</w:t>
            </w:r>
          </w:p>
        </w:tc>
        <w:tc>
          <w:tcPr>
            <w:tcW w:w="918" w:type="dxa"/>
            <w:tcBorders>
              <w:top w:val="single" w:sz="4" w:space="0" w:color="auto"/>
              <w:left w:val="nil"/>
              <w:bottom w:val="single" w:sz="4" w:space="0" w:color="auto"/>
              <w:right w:val="single" w:sz="4" w:space="0" w:color="auto"/>
            </w:tcBorders>
            <w:noWrap/>
            <w:vAlign w:val="bottom"/>
            <w:hideMark/>
          </w:tcPr>
          <w:p w14:paraId="3BCB662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9A772A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06D14F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51</w:t>
            </w:r>
          </w:p>
        </w:tc>
        <w:tc>
          <w:tcPr>
            <w:tcW w:w="8106" w:type="dxa"/>
            <w:tcBorders>
              <w:top w:val="single" w:sz="4" w:space="0" w:color="auto"/>
              <w:left w:val="nil"/>
              <w:bottom w:val="single" w:sz="4" w:space="0" w:color="auto"/>
              <w:right w:val="single" w:sz="4" w:space="0" w:color="auto"/>
            </w:tcBorders>
            <w:noWrap/>
            <w:vAlign w:val="bottom"/>
            <w:hideMark/>
          </w:tcPr>
          <w:p w14:paraId="43CB0FD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Izdaci za dane zajmove i </w:t>
            </w:r>
            <w:proofErr w:type="spellStart"/>
            <w:r w:rsidRPr="00416D67">
              <w:rPr>
                <w:rFonts w:ascii="Arial" w:hAnsi="Arial" w:cs="Arial"/>
                <w:b/>
                <w:bCs/>
                <w:sz w:val="14"/>
                <w:szCs w:val="14"/>
              </w:rPr>
              <w:t>jamčevne</w:t>
            </w:r>
            <w:proofErr w:type="spellEnd"/>
            <w:r w:rsidRPr="00416D67">
              <w:rPr>
                <w:rFonts w:ascii="Arial" w:hAnsi="Arial" w:cs="Arial"/>
                <w:b/>
                <w:bCs/>
                <w:sz w:val="14"/>
                <w:szCs w:val="14"/>
              </w:rPr>
              <w:t xml:space="preserve"> </w:t>
            </w:r>
            <w:proofErr w:type="spellStart"/>
            <w:r w:rsidRPr="00416D67">
              <w:rPr>
                <w:rFonts w:ascii="Arial" w:hAnsi="Arial" w:cs="Arial"/>
                <w:b/>
                <w:bCs/>
                <w:sz w:val="14"/>
                <w:szCs w:val="14"/>
              </w:rPr>
              <w:t>pologe</w:t>
            </w:r>
            <w:proofErr w:type="spellEnd"/>
          </w:p>
        </w:tc>
        <w:tc>
          <w:tcPr>
            <w:tcW w:w="1095" w:type="dxa"/>
            <w:tcBorders>
              <w:top w:val="single" w:sz="4" w:space="0" w:color="auto"/>
              <w:left w:val="nil"/>
              <w:bottom w:val="single" w:sz="4" w:space="0" w:color="auto"/>
              <w:right w:val="single" w:sz="4" w:space="0" w:color="auto"/>
            </w:tcBorders>
            <w:noWrap/>
            <w:vAlign w:val="bottom"/>
            <w:hideMark/>
          </w:tcPr>
          <w:p w14:paraId="602B947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6.500,00</w:t>
            </w:r>
          </w:p>
        </w:tc>
        <w:tc>
          <w:tcPr>
            <w:tcW w:w="1070" w:type="dxa"/>
            <w:tcBorders>
              <w:top w:val="single" w:sz="4" w:space="0" w:color="auto"/>
              <w:left w:val="nil"/>
              <w:bottom w:val="single" w:sz="4" w:space="0" w:color="auto"/>
              <w:right w:val="single" w:sz="4" w:space="0" w:color="auto"/>
            </w:tcBorders>
            <w:noWrap/>
            <w:vAlign w:val="bottom"/>
            <w:hideMark/>
          </w:tcPr>
          <w:p w14:paraId="02EB0ED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6.500,00</w:t>
            </w:r>
          </w:p>
        </w:tc>
        <w:tc>
          <w:tcPr>
            <w:tcW w:w="1095" w:type="dxa"/>
            <w:tcBorders>
              <w:top w:val="single" w:sz="4" w:space="0" w:color="auto"/>
              <w:left w:val="nil"/>
              <w:bottom w:val="single" w:sz="4" w:space="0" w:color="auto"/>
              <w:right w:val="single" w:sz="4" w:space="0" w:color="auto"/>
            </w:tcBorders>
            <w:noWrap/>
            <w:vAlign w:val="bottom"/>
            <w:hideMark/>
          </w:tcPr>
          <w:p w14:paraId="0EA4384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6.295,95</w:t>
            </w:r>
          </w:p>
        </w:tc>
        <w:tc>
          <w:tcPr>
            <w:tcW w:w="918" w:type="dxa"/>
            <w:tcBorders>
              <w:top w:val="single" w:sz="4" w:space="0" w:color="auto"/>
              <w:left w:val="nil"/>
              <w:bottom w:val="single" w:sz="4" w:space="0" w:color="auto"/>
              <w:right w:val="single" w:sz="4" w:space="0" w:color="auto"/>
            </w:tcBorders>
            <w:noWrap/>
            <w:vAlign w:val="bottom"/>
            <w:hideMark/>
          </w:tcPr>
          <w:p w14:paraId="4D0EBE4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96,86%</w:t>
            </w:r>
          </w:p>
        </w:tc>
      </w:tr>
      <w:tr w:rsidR="00416D67" w:rsidRPr="00416D67" w14:paraId="5F8CC06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7E652FA" w14:textId="77777777" w:rsidR="00416D67" w:rsidRPr="00416D67" w:rsidRDefault="00416D67" w:rsidP="00416D67">
            <w:pPr>
              <w:rPr>
                <w:rFonts w:ascii="Arial" w:hAnsi="Arial" w:cs="Arial"/>
                <w:sz w:val="14"/>
                <w:szCs w:val="14"/>
              </w:rPr>
            </w:pPr>
            <w:r w:rsidRPr="00416D67">
              <w:rPr>
                <w:rFonts w:ascii="Arial" w:hAnsi="Arial" w:cs="Arial"/>
                <w:sz w:val="14"/>
                <w:szCs w:val="14"/>
              </w:rPr>
              <w:t>5183</w:t>
            </w:r>
          </w:p>
        </w:tc>
        <w:tc>
          <w:tcPr>
            <w:tcW w:w="8106" w:type="dxa"/>
            <w:tcBorders>
              <w:top w:val="single" w:sz="4" w:space="0" w:color="auto"/>
              <w:left w:val="nil"/>
              <w:bottom w:val="single" w:sz="4" w:space="0" w:color="auto"/>
              <w:right w:val="single" w:sz="4" w:space="0" w:color="auto"/>
            </w:tcBorders>
            <w:noWrap/>
            <w:vAlign w:val="bottom"/>
            <w:hideMark/>
          </w:tcPr>
          <w:p w14:paraId="1A0A004A"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Izdaci za </w:t>
            </w:r>
            <w:proofErr w:type="spellStart"/>
            <w:r w:rsidRPr="00416D67">
              <w:rPr>
                <w:rFonts w:ascii="Arial" w:hAnsi="Arial" w:cs="Arial"/>
                <w:sz w:val="14"/>
                <w:szCs w:val="14"/>
              </w:rPr>
              <w:t>jamčevne</w:t>
            </w:r>
            <w:proofErr w:type="spellEnd"/>
            <w:r w:rsidRPr="00416D67">
              <w:rPr>
                <w:rFonts w:ascii="Arial" w:hAnsi="Arial" w:cs="Arial"/>
                <w:sz w:val="14"/>
                <w:szCs w:val="14"/>
              </w:rPr>
              <w:t xml:space="preserve"> </w:t>
            </w:r>
            <w:proofErr w:type="spellStart"/>
            <w:r w:rsidRPr="00416D67">
              <w:rPr>
                <w:rFonts w:ascii="Arial" w:hAnsi="Arial" w:cs="Arial"/>
                <w:sz w:val="14"/>
                <w:szCs w:val="14"/>
              </w:rPr>
              <w:t>pologe</w:t>
            </w:r>
            <w:proofErr w:type="spellEnd"/>
          </w:p>
        </w:tc>
        <w:tc>
          <w:tcPr>
            <w:tcW w:w="1095" w:type="dxa"/>
            <w:tcBorders>
              <w:top w:val="single" w:sz="4" w:space="0" w:color="auto"/>
              <w:left w:val="nil"/>
              <w:bottom w:val="single" w:sz="4" w:space="0" w:color="auto"/>
              <w:right w:val="single" w:sz="4" w:space="0" w:color="auto"/>
            </w:tcBorders>
            <w:noWrap/>
            <w:vAlign w:val="bottom"/>
            <w:hideMark/>
          </w:tcPr>
          <w:p w14:paraId="0CB9C49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DB7A70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990818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6.295,95</w:t>
            </w:r>
          </w:p>
        </w:tc>
        <w:tc>
          <w:tcPr>
            <w:tcW w:w="918" w:type="dxa"/>
            <w:tcBorders>
              <w:top w:val="single" w:sz="4" w:space="0" w:color="auto"/>
              <w:left w:val="nil"/>
              <w:bottom w:val="single" w:sz="4" w:space="0" w:color="auto"/>
              <w:right w:val="single" w:sz="4" w:space="0" w:color="auto"/>
            </w:tcBorders>
            <w:noWrap/>
            <w:vAlign w:val="bottom"/>
            <w:hideMark/>
          </w:tcPr>
          <w:p w14:paraId="57C5EFC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01AD91A" w14:textId="77777777" w:rsidTr="00BB1392">
        <w:trPr>
          <w:trHeight w:val="28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35BDBC6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Organizacijska klasifikacija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AF0BF56"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07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0E927E0"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BAB89D9"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9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ED442FD"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2025/2024.           (3/2)</w:t>
            </w:r>
          </w:p>
        </w:tc>
      </w:tr>
      <w:tr w:rsidR="00416D67" w:rsidRPr="00416D67" w14:paraId="108A28C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7107713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Izvori</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458F42B7"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23FF4A83"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13DA49E0"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3850D863" w14:textId="77777777" w:rsidR="00416D67" w:rsidRPr="00416D67" w:rsidRDefault="00416D67" w:rsidP="00416D67">
            <w:pPr>
              <w:rPr>
                <w:rFonts w:ascii="Arial" w:hAnsi="Arial" w:cs="Arial"/>
                <w:sz w:val="14"/>
                <w:szCs w:val="14"/>
              </w:rPr>
            </w:pPr>
          </w:p>
        </w:tc>
      </w:tr>
      <w:tr w:rsidR="00416D67" w:rsidRPr="00416D67" w14:paraId="1FBC0D5F"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000000"/>
            </w:tcBorders>
            <w:shd w:val="clear" w:color="000000" w:fill="D9D9D9"/>
            <w:hideMark/>
          </w:tcPr>
          <w:p w14:paraId="1F4B39D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Projekt/Aktivnost</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23F64432"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39A30543"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3E0D9FAD"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2BB37C80" w14:textId="77777777" w:rsidR="00416D67" w:rsidRPr="00416D67" w:rsidRDefault="00416D67" w:rsidP="00416D67">
            <w:pPr>
              <w:rPr>
                <w:rFonts w:ascii="Arial" w:hAnsi="Arial" w:cs="Arial"/>
                <w:sz w:val="14"/>
                <w:szCs w:val="14"/>
              </w:rPr>
            </w:pPr>
          </w:p>
        </w:tc>
      </w:tr>
      <w:tr w:rsidR="00416D67" w:rsidRPr="00416D67" w14:paraId="57BF2FF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C59CB4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A100002</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6BD9485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Rashodi za materija i energiju</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9B9767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88.750,00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2B01AD7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92.355,00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A693F1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83.790,34</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32A7504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90,73%</w:t>
            </w:r>
          </w:p>
        </w:tc>
      </w:tr>
      <w:tr w:rsidR="00416D67" w:rsidRPr="00416D67" w14:paraId="12761BD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CA0332E"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8D84FB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88.750,00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D77F24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92.355,00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D9782B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83.790,34</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87E5B0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90,73%</w:t>
            </w:r>
          </w:p>
        </w:tc>
      </w:tr>
      <w:tr w:rsidR="00416D67" w:rsidRPr="00416D67" w14:paraId="7C6B9E8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817D9B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607C83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88.750,00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39919E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92.355,00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382D18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83.790,34</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CAC635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90,73%</w:t>
            </w:r>
          </w:p>
        </w:tc>
      </w:tr>
      <w:tr w:rsidR="00416D67" w:rsidRPr="00416D67" w14:paraId="04B0E76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7AC809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3FCF31C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0AB6376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88.750,00</w:t>
            </w:r>
          </w:p>
        </w:tc>
        <w:tc>
          <w:tcPr>
            <w:tcW w:w="1070" w:type="dxa"/>
            <w:tcBorders>
              <w:top w:val="single" w:sz="4" w:space="0" w:color="auto"/>
              <w:left w:val="nil"/>
              <w:bottom w:val="single" w:sz="4" w:space="0" w:color="auto"/>
              <w:right w:val="single" w:sz="4" w:space="0" w:color="auto"/>
            </w:tcBorders>
            <w:noWrap/>
            <w:vAlign w:val="bottom"/>
            <w:hideMark/>
          </w:tcPr>
          <w:p w14:paraId="0B7736A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92.355,00</w:t>
            </w:r>
          </w:p>
        </w:tc>
        <w:tc>
          <w:tcPr>
            <w:tcW w:w="1095" w:type="dxa"/>
            <w:tcBorders>
              <w:top w:val="single" w:sz="4" w:space="0" w:color="auto"/>
              <w:left w:val="nil"/>
              <w:bottom w:val="single" w:sz="4" w:space="0" w:color="auto"/>
              <w:right w:val="single" w:sz="4" w:space="0" w:color="auto"/>
            </w:tcBorders>
            <w:noWrap/>
            <w:vAlign w:val="bottom"/>
            <w:hideMark/>
          </w:tcPr>
          <w:p w14:paraId="7778FAF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83.790,34</w:t>
            </w:r>
          </w:p>
        </w:tc>
        <w:tc>
          <w:tcPr>
            <w:tcW w:w="918" w:type="dxa"/>
            <w:tcBorders>
              <w:top w:val="single" w:sz="4" w:space="0" w:color="auto"/>
              <w:left w:val="nil"/>
              <w:bottom w:val="single" w:sz="4" w:space="0" w:color="auto"/>
              <w:right w:val="single" w:sz="4" w:space="0" w:color="auto"/>
            </w:tcBorders>
            <w:noWrap/>
            <w:vAlign w:val="bottom"/>
            <w:hideMark/>
          </w:tcPr>
          <w:p w14:paraId="77409C1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90,73%</w:t>
            </w:r>
          </w:p>
        </w:tc>
      </w:tr>
      <w:tr w:rsidR="00416D67" w:rsidRPr="00416D67" w14:paraId="416968E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1AA84E2" w14:textId="77777777" w:rsidR="00416D67" w:rsidRPr="00416D67" w:rsidRDefault="00416D67" w:rsidP="00416D67">
            <w:pPr>
              <w:rPr>
                <w:rFonts w:ascii="Arial" w:hAnsi="Arial" w:cs="Arial"/>
                <w:sz w:val="14"/>
                <w:szCs w:val="14"/>
              </w:rPr>
            </w:pPr>
            <w:r w:rsidRPr="00416D67">
              <w:rPr>
                <w:rFonts w:ascii="Arial" w:hAnsi="Arial" w:cs="Arial"/>
                <w:sz w:val="14"/>
                <w:szCs w:val="14"/>
              </w:rPr>
              <w:t>3221</w:t>
            </w:r>
          </w:p>
        </w:tc>
        <w:tc>
          <w:tcPr>
            <w:tcW w:w="8106" w:type="dxa"/>
            <w:tcBorders>
              <w:top w:val="single" w:sz="4" w:space="0" w:color="auto"/>
              <w:left w:val="nil"/>
              <w:bottom w:val="single" w:sz="4" w:space="0" w:color="auto"/>
              <w:right w:val="single" w:sz="4" w:space="0" w:color="auto"/>
            </w:tcBorders>
            <w:noWrap/>
            <w:vAlign w:val="bottom"/>
            <w:hideMark/>
          </w:tcPr>
          <w:p w14:paraId="55B88E7E" w14:textId="77777777" w:rsidR="00416D67" w:rsidRPr="00416D67" w:rsidRDefault="00416D67" w:rsidP="00416D67">
            <w:pPr>
              <w:rPr>
                <w:rFonts w:ascii="Arial" w:hAnsi="Arial" w:cs="Arial"/>
                <w:sz w:val="14"/>
                <w:szCs w:val="14"/>
              </w:rPr>
            </w:pPr>
            <w:r w:rsidRPr="00416D67">
              <w:rPr>
                <w:rFonts w:ascii="Arial" w:hAnsi="Arial" w:cs="Arial"/>
                <w:sz w:val="14"/>
                <w:szCs w:val="14"/>
              </w:rPr>
              <w:t>Uredski materijal i ostali materijalni rashodi</w:t>
            </w:r>
          </w:p>
        </w:tc>
        <w:tc>
          <w:tcPr>
            <w:tcW w:w="1095" w:type="dxa"/>
            <w:tcBorders>
              <w:top w:val="single" w:sz="4" w:space="0" w:color="auto"/>
              <w:left w:val="nil"/>
              <w:bottom w:val="single" w:sz="4" w:space="0" w:color="auto"/>
              <w:right w:val="single" w:sz="4" w:space="0" w:color="auto"/>
            </w:tcBorders>
            <w:noWrap/>
            <w:vAlign w:val="bottom"/>
            <w:hideMark/>
          </w:tcPr>
          <w:p w14:paraId="243F610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2E7AEB1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C98BF9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11.139,13</w:t>
            </w:r>
          </w:p>
        </w:tc>
        <w:tc>
          <w:tcPr>
            <w:tcW w:w="918" w:type="dxa"/>
            <w:tcBorders>
              <w:top w:val="single" w:sz="4" w:space="0" w:color="auto"/>
              <w:left w:val="nil"/>
              <w:bottom w:val="single" w:sz="4" w:space="0" w:color="auto"/>
              <w:right w:val="single" w:sz="4" w:space="0" w:color="auto"/>
            </w:tcBorders>
            <w:noWrap/>
            <w:vAlign w:val="bottom"/>
            <w:hideMark/>
          </w:tcPr>
          <w:p w14:paraId="4AFC057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20B656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3E9A615" w14:textId="77777777" w:rsidR="00416D67" w:rsidRPr="00416D67" w:rsidRDefault="00416D67" w:rsidP="00416D67">
            <w:pPr>
              <w:rPr>
                <w:rFonts w:ascii="Arial" w:hAnsi="Arial" w:cs="Arial"/>
                <w:sz w:val="14"/>
                <w:szCs w:val="14"/>
              </w:rPr>
            </w:pPr>
            <w:r w:rsidRPr="00416D67">
              <w:rPr>
                <w:rFonts w:ascii="Arial" w:hAnsi="Arial" w:cs="Arial"/>
                <w:sz w:val="14"/>
                <w:szCs w:val="14"/>
              </w:rPr>
              <w:t>3223</w:t>
            </w:r>
          </w:p>
        </w:tc>
        <w:tc>
          <w:tcPr>
            <w:tcW w:w="8106" w:type="dxa"/>
            <w:tcBorders>
              <w:top w:val="single" w:sz="4" w:space="0" w:color="auto"/>
              <w:left w:val="nil"/>
              <w:bottom w:val="single" w:sz="4" w:space="0" w:color="auto"/>
              <w:right w:val="single" w:sz="4" w:space="0" w:color="auto"/>
            </w:tcBorders>
            <w:noWrap/>
            <w:vAlign w:val="bottom"/>
            <w:hideMark/>
          </w:tcPr>
          <w:p w14:paraId="35953066" w14:textId="77777777" w:rsidR="00416D67" w:rsidRPr="00416D67" w:rsidRDefault="00416D67" w:rsidP="00416D67">
            <w:pPr>
              <w:rPr>
                <w:rFonts w:ascii="Arial" w:hAnsi="Arial" w:cs="Arial"/>
                <w:sz w:val="14"/>
                <w:szCs w:val="14"/>
              </w:rPr>
            </w:pPr>
            <w:r w:rsidRPr="00416D67">
              <w:rPr>
                <w:rFonts w:ascii="Arial" w:hAnsi="Arial" w:cs="Arial"/>
                <w:sz w:val="14"/>
                <w:szCs w:val="14"/>
              </w:rPr>
              <w:t>Energija</w:t>
            </w:r>
          </w:p>
        </w:tc>
        <w:tc>
          <w:tcPr>
            <w:tcW w:w="1095" w:type="dxa"/>
            <w:tcBorders>
              <w:top w:val="single" w:sz="4" w:space="0" w:color="auto"/>
              <w:left w:val="nil"/>
              <w:bottom w:val="single" w:sz="4" w:space="0" w:color="auto"/>
              <w:right w:val="single" w:sz="4" w:space="0" w:color="auto"/>
            </w:tcBorders>
            <w:noWrap/>
            <w:vAlign w:val="bottom"/>
            <w:hideMark/>
          </w:tcPr>
          <w:p w14:paraId="376E787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240F7A8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0DBF04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65.757,24</w:t>
            </w:r>
          </w:p>
        </w:tc>
        <w:tc>
          <w:tcPr>
            <w:tcW w:w="918" w:type="dxa"/>
            <w:tcBorders>
              <w:top w:val="single" w:sz="4" w:space="0" w:color="auto"/>
              <w:left w:val="nil"/>
              <w:bottom w:val="single" w:sz="4" w:space="0" w:color="auto"/>
              <w:right w:val="single" w:sz="4" w:space="0" w:color="auto"/>
            </w:tcBorders>
            <w:noWrap/>
            <w:vAlign w:val="bottom"/>
            <w:hideMark/>
          </w:tcPr>
          <w:p w14:paraId="109D6A8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78857D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A3DE88A" w14:textId="77777777" w:rsidR="00416D67" w:rsidRPr="00416D67" w:rsidRDefault="00416D67" w:rsidP="00416D67">
            <w:pPr>
              <w:rPr>
                <w:rFonts w:ascii="Arial" w:hAnsi="Arial" w:cs="Arial"/>
                <w:sz w:val="14"/>
                <w:szCs w:val="14"/>
              </w:rPr>
            </w:pPr>
            <w:r w:rsidRPr="00416D67">
              <w:rPr>
                <w:rFonts w:ascii="Arial" w:hAnsi="Arial" w:cs="Arial"/>
                <w:sz w:val="14"/>
                <w:szCs w:val="14"/>
              </w:rPr>
              <w:t>3225</w:t>
            </w:r>
          </w:p>
        </w:tc>
        <w:tc>
          <w:tcPr>
            <w:tcW w:w="8106" w:type="dxa"/>
            <w:tcBorders>
              <w:top w:val="single" w:sz="4" w:space="0" w:color="auto"/>
              <w:left w:val="nil"/>
              <w:bottom w:val="single" w:sz="4" w:space="0" w:color="auto"/>
              <w:right w:val="single" w:sz="4" w:space="0" w:color="auto"/>
            </w:tcBorders>
            <w:noWrap/>
            <w:vAlign w:val="bottom"/>
            <w:hideMark/>
          </w:tcPr>
          <w:p w14:paraId="040EB63E"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Sitni inventar i </w:t>
            </w:r>
            <w:proofErr w:type="spellStart"/>
            <w:r w:rsidRPr="00416D67">
              <w:rPr>
                <w:rFonts w:ascii="Arial" w:hAnsi="Arial" w:cs="Arial"/>
                <w:sz w:val="14"/>
                <w:szCs w:val="14"/>
              </w:rPr>
              <w:t>autogume</w:t>
            </w:r>
            <w:proofErr w:type="spellEnd"/>
          </w:p>
        </w:tc>
        <w:tc>
          <w:tcPr>
            <w:tcW w:w="1095" w:type="dxa"/>
            <w:tcBorders>
              <w:top w:val="single" w:sz="4" w:space="0" w:color="auto"/>
              <w:left w:val="nil"/>
              <w:bottom w:val="single" w:sz="4" w:space="0" w:color="auto"/>
              <w:right w:val="single" w:sz="4" w:space="0" w:color="auto"/>
            </w:tcBorders>
            <w:noWrap/>
            <w:vAlign w:val="bottom"/>
            <w:hideMark/>
          </w:tcPr>
          <w:p w14:paraId="4372088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8BEB34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6EF64F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6.491,43</w:t>
            </w:r>
          </w:p>
        </w:tc>
        <w:tc>
          <w:tcPr>
            <w:tcW w:w="918" w:type="dxa"/>
            <w:tcBorders>
              <w:top w:val="single" w:sz="4" w:space="0" w:color="auto"/>
              <w:left w:val="nil"/>
              <w:bottom w:val="single" w:sz="4" w:space="0" w:color="auto"/>
              <w:right w:val="single" w:sz="4" w:space="0" w:color="auto"/>
            </w:tcBorders>
            <w:noWrap/>
            <w:vAlign w:val="bottom"/>
            <w:hideMark/>
          </w:tcPr>
          <w:p w14:paraId="7901DD0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7CF72F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49DA87F" w14:textId="77777777" w:rsidR="00416D67" w:rsidRPr="00416D67" w:rsidRDefault="00416D67" w:rsidP="00416D67">
            <w:pPr>
              <w:rPr>
                <w:rFonts w:ascii="Arial" w:hAnsi="Arial" w:cs="Arial"/>
                <w:sz w:val="14"/>
                <w:szCs w:val="14"/>
              </w:rPr>
            </w:pPr>
            <w:r w:rsidRPr="00416D67">
              <w:rPr>
                <w:rFonts w:ascii="Arial" w:hAnsi="Arial" w:cs="Arial"/>
                <w:sz w:val="14"/>
                <w:szCs w:val="14"/>
              </w:rPr>
              <w:t>3227</w:t>
            </w:r>
          </w:p>
        </w:tc>
        <w:tc>
          <w:tcPr>
            <w:tcW w:w="8106" w:type="dxa"/>
            <w:tcBorders>
              <w:top w:val="single" w:sz="4" w:space="0" w:color="auto"/>
              <w:left w:val="nil"/>
              <w:bottom w:val="single" w:sz="4" w:space="0" w:color="auto"/>
              <w:right w:val="single" w:sz="4" w:space="0" w:color="auto"/>
            </w:tcBorders>
            <w:noWrap/>
            <w:vAlign w:val="bottom"/>
            <w:hideMark/>
          </w:tcPr>
          <w:p w14:paraId="4F55D31F" w14:textId="77777777" w:rsidR="00416D67" w:rsidRPr="00416D67" w:rsidRDefault="00416D67" w:rsidP="00416D67">
            <w:pPr>
              <w:rPr>
                <w:rFonts w:ascii="Arial" w:hAnsi="Arial" w:cs="Arial"/>
                <w:sz w:val="14"/>
                <w:szCs w:val="14"/>
              </w:rPr>
            </w:pPr>
            <w:r w:rsidRPr="00416D67">
              <w:rPr>
                <w:rFonts w:ascii="Arial" w:hAnsi="Arial" w:cs="Arial"/>
                <w:sz w:val="14"/>
                <w:szCs w:val="14"/>
              </w:rPr>
              <w:t>Službena, radna i zaštitna odjeća i obuća</w:t>
            </w:r>
          </w:p>
        </w:tc>
        <w:tc>
          <w:tcPr>
            <w:tcW w:w="1095" w:type="dxa"/>
            <w:tcBorders>
              <w:top w:val="single" w:sz="4" w:space="0" w:color="auto"/>
              <w:left w:val="nil"/>
              <w:bottom w:val="single" w:sz="4" w:space="0" w:color="auto"/>
              <w:right w:val="single" w:sz="4" w:space="0" w:color="auto"/>
            </w:tcBorders>
            <w:noWrap/>
            <w:vAlign w:val="bottom"/>
            <w:hideMark/>
          </w:tcPr>
          <w:p w14:paraId="2A9134F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FA8AB8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4C88FA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402,54</w:t>
            </w:r>
          </w:p>
        </w:tc>
        <w:tc>
          <w:tcPr>
            <w:tcW w:w="918" w:type="dxa"/>
            <w:tcBorders>
              <w:top w:val="single" w:sz="4" w:space="0" w:color="auto"/>
              <w:left w:val="nil"/>
              <w:bottom w:val="single" w:sz="4" w:space="0" w:color="auto"/>
              <w:right w:val="single" w:sz="4" w:space="0" w:color="auto"/>
            </w:tcBorders>
            <w:noWrap/>
            <w:vAlign w:val="bottom"/>
            <w:hideMark/>
          </w:tcPr>
          <w:p w14:paraId="3D3B524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DF2A85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C7B128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A100003</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78837F5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Rashodi za usluge</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7BA125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327.149,70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685D66E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326.444,70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241453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261.604,29</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7D0A447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80,14%</w:t>
            </w:r>
          </w:p>
        </w:tc>
      </w:tr>
      <w:tr w:rsidR="00416D67" w:rsidRPr="00416D67" w14:paraId="101CB38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130A9C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2EF376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312.099,50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E2C3B2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311.394,50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1E6733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247.430,16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0DE6D8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79,46%</w:t>
            </w:r>
          </w:p>
        </w:tc>
      </w:tr>
      <w:tr w:rsidR="00416D67" w:rsidRPr="00416D67" w14:paraId="096BAEA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81F1F1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CF7F31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312.099,50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F36B03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311.394,50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0134AE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247.430,16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F2C815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79,46%</w:t>
            </w:r>
          </w:p>
        </w:tc>
      </w:tr>
      <w:tr w:rsidR="00416D67" w:rsidRPr="00416D67" w14:paraId="1C41AD8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317ABF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3E2CC2C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563A026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312.099,50</w:t>
            </w:r>
          </w:p>
        </w:tc>
        <w:tc>
          <w:tcPr>
            <w:tcW w:w="1070" w:type="dxa"/>
            <w:tcBorders>
              <w:top w:val="single" w:sz="4" w:space="0" w:color="auto"/>
              <w:left w:val="nil"/>
              <w:bottom w:val="single" w:sz="4" w:space="0" w:color="auto"/>
              <w:right w:val="single" w:sz="4" w:space="0" w:color="auto"/>
            </w:tcBorders>
            <w:noWrap/>
            <w:vAlign w:val="bottom"/>
            <w:hideMark/>
          </w:tcPr>
          <w:p w14:paraId="0A7BD2D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311.394,50</w:t>
            </w:r>
          </w:p>
        </w:tc>
        <w:tc>
          <w:tcPr>
            <w:tcW w:w="1095" w:type="dxa"/>
            <w:tcBorders>
              <w:top w:val="single" w:sz="4" w:space="0" w:color="auto"/>
              <w:left w:val="nil"/>
              <w:bottom w:val="single" w:sz="4" w:space="0" w:color="auto"/>
              <w:right w:val="single" w:sz="4" w:space="0" w:color="auto"/>
            </w:tcBorders>
            <w:noWrap/>
            <w:vAlign w:val="bottom"/>
            <w:hideMark/>
          </w:tcPr>
          <w:p w14:paraId="4B53266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247.430,16</w:t>
            </w:r>
          </w:p>
        </w:tc>
        <w:tc>
          <w:tcPr>
            <w:tcW w:w="918" w:type="dxa"/>
            <w:tcBorders>
              <w:top w:val="single" w:sz="4" w:space="0" w:color="auto"/>
              <w:left w:val="nil"/>
              <w:bottom w:val="single" w:sz="4" w:space="0" w:color="auto"/>
              <w:right w:val="single" w:sz="4" w:space="0" w:color="auto"/>
            </w:tcBorders>
            <w:noWrap/>
            <w:vAlign w:val="bottom"/>
            <w:hideMark/>
          </w:tcPr>
          <w:p w14:paraId="4FF59AD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79,46%</w:t>
            </w:r>
          </w:p>
        </w:tc>
      </w:tr>
      <w:tr w:rsidR="00416D67" w:rsidRPr="00416D67" w14:paraId="33F859E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EABE1B3" w14:textId="77777777" w:rsidR="00416D67" w:rsidRPr="00416D67" w:rsidRDefault="00416D67" w:rsidP="00416D67">
            <w:pPr>
              <w:rPr>
                <w:rFonts w:ascii="Arial" w:hAnsi="Arial" w:cs="Arial"/>
                <w:sz w:val="14"/>
                <w:szCs w:val="14"/>
              </w:rPr>
            </w:pPr>
            <w:r w:rsidRPr="00416D67">
              <w:rPr>
                <w:rFonts w:ascii="Arial" w:hAnsi="Arial" w:cs="Arial"/>
                <w:sz w:val="14"/>
                <w:szCs w:val="14"/>
              </w:rPr>
              <w:t>3231</w:t>
            </w:r>
          </w:p>
        </w:tc>
        <w:tc>
          <w:tcPr>
            <w:tcW w:w="8106" w:type="dxa"/>
            <w:tcBorders>
              <w:top w:val="single" w:sz="4" w:space="0" w:color="auto"/>
              <w:left w:val="nil"/>
              <w:bottom w:val="single" w:sz="4" w:space="0" w:color="auto"/>
              <w:right w:val="single" w:sz="4" w:space="0" w:color="auto"/>
            </w:tcBorders>
            <w:noWrap/>
            <w:vAlign w:val="bottom"/>
            <w:hideMark/>
          </w:tcPr>
          <w:p w14:paraId="42FE63F2" w14:textId="77777777" w:rsidR="00416D67" w:rsidRPr="00416D67" w:rsidRDefault="00416D67" w:rsidP="00416D67">
            <w:pPr>
              <w:rPr>
                <w:rFonts w:ascii="Arial" w:hAnsi="Arial" w:cs="Arial"/>
                <w:sz w:val="14"/>
                <w:szCs w:val="14"/>
              </w:rPr>
            </w:pPr>
            <w:r w:rsidRPr="00416D67">
              <w:rPr>
                <w:rFonts w:ascii="Arial" w:hAnsi="Arial" w:cs="Arial"/>
                <w:sz w:val="14"/>
                <w:szCs w:val="14"/>
              </w:rPr>
              <w:t>Usluge telefona, interneta, pošte i prijevoza</w:t>
            </w:r>
          </w:p>
        </w:tc>
        <w:tc>
          <w:tcPr>
            <w:tcW w:w="1095" w:type="dxa"/>
            <w:tcBorders>
              <w:top w:val="single" w:sz="4" w:space="0" w:color="auto"/>
              <w:left w:val="nil"/>
              <w:bottom w:val="single" w:sz="4" w:space="0" w:color="auto"/>
              <w:right w:val="single" w:sz="4" w:space="0" w:color="auto"/>
            </w:tcBorders>
            <w:noWrap/>
            <w:vAlign w:val="bottom"/>
            <w:hideMark/>
          </w:tcPr>
          <w:p w14:paraId="344D258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EA5E4D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D47FCE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24.307,41</w:t>
            </w:r>
          </w:p>
        </w:tc>
        <w:tc>
          <w:tcPr>
            <w:tcW w:w="918" w:type="dxa"/>
            <w:tcBorders>
              <w:top w:val="single" w:sz="4" w:space="0" w:color="auto"/>
              <w:left w:val="nil"/>
              <w:bottom w:val="single" w:sz="4" w:space="0" w:color="auto"/>
              <w:right w:val="single" w:sz="4" w:space="0" w:color="auto"/>
            </w:tcBorders>
            <w:noWrap/>
            <w:vAlign w:val="bottom"/>
            <w:hideMark/>
          </w:tcPr>
          <w:p w14:paraId="1DBE98C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BEE3D5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99E72B9" w14:textId="77777777" w:rsidR="00416D67" w:rsidRPr="00416D67" w:rsidRDefault="00416D67" w:rsidP="00416D67">
            <w:pPr>
              <w:rPr>
                <w:rFonts w:ascii="Arial" w:hAnsi="Arial" w:cs="Arial"/>
                <w:sz w:val="14"/>
                <w:szCs w:val="14"/>
              </w:rPr>
            </w:pPr>
            <w:r w:rsidRPr="00416D67">
              <w:rPr>
                <w:rFonts w:ascii="Arial" w:hAnsi="Arial" w:cs="Arial"/>
                <w:sz w:val="14"/>
                <w:szCs w:val="14"/>
              </w:rPr>
              <w:t>3232</w:t>
            </w:r>
          </w:p>
        </w:tc>
        <w:tc>
          <w:tcPr>
            <w:tcW w:w="8106" w:type="dxa"/>
            <w:tcBorders>
              <w:top w:val="single" w:sz="4" w:space="0" w:color="auto"/>
              <w:left w:val="nil"/>
              <w:bottom w:val="single" w:sz="4" w:space="0" w:color="auto"/>
              <w:right w:val="single" w:sz="4" w:space="0" w:color="auto"/>
            </w:tcBorders>
            <w:noWrap/>
            <w:vAlign w:val="bottom"/>
            <w:hideMark/>
          </w:tcPr>
          <w:p w14:paraId="2EA401B1" w14:textId="77777777" w:rsidR="00416D67" w:rsidRPr="00416D67" w:rsidRDefault="00416D67" w:rsidP="00416D67">
            <w:pPr>
              <w:rPr>
                <w:rFonts w:ascii="Arial" w:hAnsi="Arial" w:cs="Arial"/>
                <w:sz w:val="14"/>
                <w:szCs w:val="14"/>
              </w:rPr>
            </w:pPr>
            <w:r w:rsidRPr="00416D67">
              <w:rPr>
                <w:rFonts w:ascii="Arial" w:hAnsi="Arial" w:cs="Arial"/>
                <w:sz w:val="14"/>
                <w:szCs w:val="14"/>
              </w:rPr>
              <w:t>Usluge tekućeg i investicijskog  održavanja</w:t>
            </w:r>
          </w:p>
        </w:tc>
        <w:tc>
          <w:tcPr>
            <w:tcW w:w="1095" w:type="dxa"/>
            <w:tcBorders>
              <w:top w:val="single" w:sz="4" w:space="0" w:color="auto"/>
              <w:left w:val="nil"/>
              <w:bottom w:val="single" w:sz="4" w:space="0" w:color="auto"/>
              <w:right w:val="single" w:sz="4" w:space="0" w:color="auto"/>
            </w:tcBorders>
            <w:noWrap/>
            <w:vAlign w:val="bottom"/>
            <w:hideMark/>
          </w:tcPr>
          <w:p w14:paraId="64E1BF0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369BC8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A71F96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22.239,00</w:t>
            </w:r>
          </w:p>
        </w:tc>
        <w:tc>
          <w:tcPr>
            <w:tcW w:w="918" w:type="dxa"/>
            <w:tcBorders>
              <w:top w:val="single" w:sz="4" w:space="0" w:color="auto"/>
              <w:left w:val="nil"/>
              <w:bottom w:val="single" w:sz="4" w:space="0" w:color="auto"/>
              <w:right w:val="single" w:sz="4" w:space="0" w:color="auto"/>
            </w:tcBorders>
            <w:noWrap/>
            <w:vAlign w:val="bottom"/>
            <w:hideMark/>
          </w:tcPr>
          <w:p w14:paraId="1179E26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5FDC6A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DB307FE" w14:textId="77777777" w:rsidR="00416D67" w:rsidRPr="00416D67" w:rsidRDefault="00416D67" w:rsidP="00416D67">
            <w:pPr>
              <w:rPr>
                <w:rFonts w:ascii="Arial" w:hAnsi="Arial" w:cs="Arial"/>
                <w:sz w:val="14"/>
                <w:szCs w:val="14"/>
              </w:rPr>
            </w:pPr>
            <w:r w:rsidRPr="00416D67">
              <w:rPr>
                <w:rFonts w:ascii="Arial" w:hAnsi="Arial" w:cs="Arial"/>
                <w:sz w:val="14"/>
                <w:szCs w:val="14"/>
              </w:rPr>
              <w:t>3233</w:t>
            </w:r>
          </w:p>
        </w:tc>
        <w:tc>
          <w:tcPr>
            <w:tcW w:w="8106" w:type="dxa"/>
            <w:tcBorders>
              <w:top w:val="single" w:sz="4" w:space="0" w:color="auto"/>
              <w:left w:val="nil"/>
              <w:bottom w:val="single" w:sz="4" w:space="0" w:color="auto"/>
              <w:right w:val="single" w:sz="4" w:space="0" w:color="auto"/>
            </w:tcBorders>
            <w:noWrap/>
            <w:vAlign w:val="bottom"/>
            <w:hideMark/>
          </w:tcPr>
          <w:p w14:paraId="6846849F" w14:textId="77777777" w:rsidR="00416D67" w:rsidRPr="00416D67" w:rsidRDefault="00416D67" w:rsidP="00416D67">
            <w:pPr>
              <w:rPr>
                <w:rFonts w:ascii="Arial" w:hAnsi="Arial" w:cs="Arial"/>
                <w:sz w:val="14"/>
                <w:szCs w:val="14"/>
              </w:rPr>
            </w:pPr>
            <w:r w:rsidRPr="00416D67">
              <w:rPr>
                <w:rFonts w:ascii="Arial" w:hAnsi="Arial" w:cs="Arial"/>
                <w:sz w:val="14"/>
                <w:szCs w:val="14"/>
              </w:rPr>
              <w:t>Usluge promidžbe i informiranja</w:t>
            </w:r>
          </w:p>
        </w:tc>
        <w:tc>
          <w:tcPr>
            <w:tcW w:w="1095" w:type="dxa"/>
            <w:tcBorders>
              <w:top w:val="single" w:sz="4" w:space="0" w:color="auto"/>
              <w:left w:val="nil"/>
              <w:bottom w:val="single" w:sz="4" w:space="0" w:color="auto"/>
              <w:right w:val="single" w:sz="4" w:space="0" w:color="auto"/>
            </w:tcBorders>
            <w:noWrap/>
            <w:vAlign w:val="bottom"/>
            <w:hideMark/>
          </w:tcPr>
          <w:p w14:paraId="745AB06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62F890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8A8072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25.769,42</w:t>
            </w:r>
          </w:p>
        </w:tc>
        <w:tc>
          <w:tcPr>
            <w:tcW w:w="918" w:type="dxa"/>
            <w:tcBorders>
              <w:top w:val="single" w:sz="4" w:space="0" w:color="auto"/>
              <w:left w:val="nil"/>
              <w:bottom w:val="single" w:sz="4" w:space="0" w:color="auto"/>
              <w:right w:val="single" w:sz="4" w:space="0" w:color="auto"/>
            </w:tcBorders>
            <w:noWrap/>
            <w:vAlign w:val="bottom"/>
            <w:hideMark/>
          </w:tcPr>
          <w:p w14:paraId="6126BBC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30ABB4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3BA27CB" w14:textId="77777777" w:rsidR="00416D67" w:rsidRPr="00416D67" w:rsidRDefault="00416D67" w:rsidP="00416D67">
            <w:pPr>
              <w:rPr>
                <w:rFonts w:ascii="Arial" w:hAnsi="Arial" w:cs="Arial"/>
                <w:sz w:val="14"/>
                <w:szCs w:val="14"/>
              </w:rPr>
            </w:pPr>
            <w:r w:rsidRPr="00416D67">
              <w:rPr>
                <w:rFonts w:ascii="Arial" w:hAnsi="Arial" w:cs="Arial"/>
                <w:sz w:val="14"/>
                <w:szCs w:val="14"/>
              </w:rPr>
              <w:lastRenderedPageBreak/>
              <w:t>3234</w:t>
            </w:r>
          </w:p>
        </w:tc>
        <w:tc>
          <w:tcPr>
            <w:tcW w:w="8106" w:type="dxa"/>
            <w:tcBorders>
              <w:top w:val="single" w:sz="4" w:space="0" w:color="auto"/>
              <w:left w:val="nil"/>
              <w:bottom w:val="single" w:sz="4" w:space="0" w:color="auto"/>
              <w:right w:val="single" w:sz="4" w:space="0" w:color="auto"/>
            </w:tcBorders>
            <w:noWrap/>
            <w:vAlign w:val="bottom"/>
            <w:hideMark/>
          </w:tcPr>
          <w:p w14:paraId="679562A5" w14:textId="77777777" w:rsidR="00416D67" w:rsidRPr="00416D67" w:rsidRDefault="00416D67" w:rsidP="00416D67">
            <w:pPr>
              <w:rPr>
                <w:rFonts w:ascii="Arial" w:hAnsi="Arial" w:cs="Arial"/>
                <w:sz w:val="14"/>
                <w:szCs w:val="14"/>
              </w:rPr>
            </w:pPr>
            <w:r w:rsidRPr="00416D67">
              <w:rPr>
                <w:rFonts w:ascii="Arial" w:hAnsi="Arial" w:cs="Arial"/>
                <w:sz w:val="14"/>
                <w:szCs w:val="14"/>
              </w:rPr>
              <w:t>Komunalne usluge</w:t>
            </w:r>
          </w:p>
        </w:tc>
        <w:tc>
          <w:tcPr>
            <w:tcW w:w="1095" w:type="dxa"/>
            <w:tcBorders>
              <w:top w:val="single" w:sz="4" w:space="0" w:color="auto"/>
              <w:left w:val="nil"/>
              <w:bottom w:val="single" w:sz="4" w:space="0" w:color="auto"/>
              <w:right w:val="single" w:sz="4" w:space="0" w:color="auto"/>
            </w:tcBorders>
            <w:noWrap/>
            <w:vAlign w:val="bottom"/>
            <w:hideMark/>
          </w:tcPr>
          <w:p w14:paraId="68F6543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D09C0F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A3D58D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14.584,26</w:t>
            </w:r>
          </w:p>
        </w:tc>
        <w:tc>
          <w:tcPr>
            <w:tcW w:w="918" w:type="dxa"/>
            <w:tcBorders>
              <w:top w:val="single" w:sz="4" w:space="0" w:color="auto"/>
              <w:left w:val="nil"/>
              <w:bottom w:val="single" w:sz="4" w:space="0" w:color="auto"/>
              <w:right w:val="single" w:sz="4" w:space="0" w:color="auto"/>
            </w:tcBorders>
            <w:noWrap/>
            <w:vAlign w:val="bottom"/>
            <w:hideMark/>
          </w:tcPr>
          <w:p w14:paraId="6E85188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D8B434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DBF4A2A" w14:textId="77777777" w:rsidR="00416D67" w:rsidRPr="00416D67" w:rsidRDefault="00416D67" w:rsidP="00416D67">
            <w:pPr>
              <w:rPr>
                <w:rFonts w:ascii="Arial" w:hAnsi="Arial" w:cs="Arial"/>
                <w:sz w:val="14"/>
                <w:szCs w:val="14"/>
              </w:rPr>
            </w:pPr>
            <w:r w:rsidRPr="00416D67">
              <w:rPr>
                <w:rFonts w:ascii="Arial" w:hAnsi="Arial" w:cs="Arial"/>
                <w:sz w:val="14"/>
                <w:szCs w:val="14"/>
              </w:rPr>
              <w:t>3235</w:t>
            </w:r>
          </w:p>
        </w:tc>
        <w:tc>
          <w:tcPr>
            <w:tcW w:w="8106" w:type="dxa"/>
            <w:tcBorders>
              <w:top w:val="single" w:sz="4" w:space="0" w:color="auto"/>
              <w:left w:val="nil"/>
              <w:bottom w:val="single" w:sz="4" w:space="0" w:color="auto"/>
              <w:right w:val="single" w:sz="4" w:space="0" w:color="auto"/>
            </w:tcBorders>
            <w:noWrap/>
            <w:vAlign w:val="bottom"/>
            <w:hideMark/>
          </w:tcPr>
          <w:p w14:paraId="3E8D1004" w14:textId="77777777" w:rsidR="00416D67" w:rsidRPr="00416D67" w:rsidRDefault="00416D67" w:rsidP="00416D67">
            <w:pPr>
              <w:rPr>
                <w:rFonts w:ascii="Arial" w:hAnsi="Arial" w:cs="Arial"/>
                <w:sz w:val="14"/>
                <w:szCs w:val="14"/>
              </w:rPr>
            </w:pPr>
            <w:r w:rsidRPr="00416D67">
              <w:rPr>
                <w:rFonts w:ascii="Arial" w:hAnsi="Arial" w:cs="Arial"/>
                <w:sz w:val="14"/>
                <w:szCs w:val="14"/>
              </w:rPr>
              <w:t>Zakupnine i najamnine</w:t>
            </w:r>
          </w:p>
        </w:tc>
        <w:tc>
          <w:tcPr>
            <w:tcW w:w="1095" w:type="dxa"/>
            <w:tcBorders>
              <w:top w:val="single" w:sz="4" w:space="0" w:color="auto"/>
              <w:left w:val="nil"/>
              <w:bottom w:val="single" w:sz="4" w:space="0" w:color="auto"/>
              <w:right w:val="single" w:sz="4" w:space="0" w:color="auto"/>
            </w:tcBorders>
            <w:noWrap/>
            <w:vAlign w:val="bottom"/>
            <w:hideMark/>
          </w:tcPr>
          <w:p w14:paraId="44AC435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FA145C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8FF2BA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7.252,13</w:t>
            </w:r>
          </w:p>
        </w:tc>
        <w:tc>
          <w:tcPr>
            <w:tcW w:w="918" w:type="dxa"/>
            <w:tcBorders>
              <w:top w:val="single" w:sz="4" w:space="0" w:color="auto"/>
              <w:left w:val="nil"/>
              <w:bottom w:val="single" w:sz="4" w:space="0" w:color="auto"/>
              <w:right w:val="single" w:sz="4" w:space="0" w:color="auto"/>
            </w:tcBorders>
            <w:noWrap/>
            <w:vAlign w:val="bottom"/>
            <w:hideMark/>
          </w:tcPr>
          <w:p w14:paraId="403A744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C1170F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2A19859" w14:textId="77777777" w:rsidR="00416D67" w:rsidRPr="00416D67" w:rsidRDefault="00416D67" w:rsidP="00416D67">
            <w:pPr>
              <w:rPr>
                <w:rFonts w:ascii="Arial" w:hAnsi="Arial" w:cs="Arial"/>
                <w:sz w:val="14"/>
                <w:szCs w:val="14"/>
              </w:rPr>
            </w:pPr>
            <w:r w:rsidRPr="00416D67">
              <w:rPr>
                <w:rFonts w:ascii="Arial" w:hAnsi="Arial" w:cs="Arial"/>
                <w:sz w:val="14"/>
                <w:szCs w:val="14"/>
              </w:rPr>
              <w:t>3237</w:t>
            </w:r>
          </w:p>
        </w:tc>
        <w:tc>
          <w:tcPr>
            <w:tcW w:w="8106" w:type="dxa"/>
            <w:tcBorders>
              <w:top w:val="single" w:sz="4" w:space="0" w:color="auto"/>
              <w:left w:val="nil"/>
              <w:bottom w:val="single" w:sz="4" w:space="0" w:color="auto"/>
              <w:right w:val="single" w:sz="4" w:space="0" w:color="auto"/>
            </w:tcBorders>
            <w:noWrap/>
            <w:vAlign w:val="bottom"/>
            <w:hideMark/>
          </w:tcPr>
          <w:p w14:paraId="0C5E4ABA" w14:textId="77777777" w:rsidR="00416D67" w:rsidRPr="00416D67" w:rsidRDefault="00416D67" w:rsidP="00416D67">
            <w:pPr>
              <w:rPr>
                <w:rFonts w:ascii="Arial" w:hAnsi="Arial" w:cs="Arial"/>
                <w:sz w:val="14"/>
                <w:szCs w:val="14"/>
              </w:rPr>
            </w:pPr>
            <w:r w:rsidRPr="00416D67">
              <w:rPr>
                <w:rFonts w:ascii="Arial" w:hAnsi="Arial" w:cs="Arial"/>
                <w:sz w:val="14"/>
                <w:szCs w:val="14"/>
              </w:rPr>
              <w:t>Intelektualne i osobne usluge</w:t>
            </w:r>
          </w:p>
        </w:tc>
        <w:tc>
          <w:tcPr>
            <w:tcW w:w="1095" w:type="dxa"/>
            <w:tcBorders>
              <w:top w:val="single" w:sz="4" w:space="0" w:color="auto"/>
              <w:left w:val="nil"/>
              <w:bottom w:val="single" w:sz="4" w:space="0" w:color="auto"/>
              <w:right w:val="single" w:sz="4" w:space="0" w:color="auto"/>
            </w:tcBorders>
            <w:noWrap/>
            <w:vAlign w:val="bottom"/>
            <w:hideMark/>
          </w:tcPr>
          <w:p w14:paraId="1865847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9985B6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4F6A11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62.039,27</w:t>
            </w:r>
          </w:p>
        </w:tc>
        <w:tc>
          <w:tcPr>
            <w:tcW w:w="918" w:type="dxa"/>
            <w:tcBorders>
              <w:top w:val="single" w:sz="4" w:space="0" w:color="auto"/>
              <w:left w:val="nil"/>
              <w:bottom w:val="single" w:sz="4" w:space="0" w:color="auto"/>
              <w:right w:val="single" w:sz="4" w:space="0" w:color="auto"/>
            </w:tcBorders>
            <w:noWrap/>
            <w:vAlign w:val="bottom"/>
            <w:hideMark/>
          </w:tcPr>
          <w:p w14:paraId="748EF9C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93B0D3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427AD57" w14:textId="77777777" w:rsidR="00416D67" w:rsidRPr="00416D67" w:rsidRDefault="00416D67" w:rsidP="00416D67">
            <w:pPr>
              <w:rPr>
                <w:rFonts w:ascii="Arial" w:hAnsi="Arial" w:cs="Arial"/>
                <w:sz w:val="14"/>
                <w:szCs w:val="14"/>
              </w:rPr>
            </w:pPr>
            <w:r w:rsidRPr="00416D67">
              <w:rPr>
                <w:rFonts w:ascii="Arial" w:hAnsi="Arial" w:cs="Arial"/>
                <w:sz w:val="14"/>
                <w:szCs w:val="14"/>
              </w:rPr>
              <w:t>3238</w:t>
            </w:r>
          </w:p>
        </w:tc>
        <w:tc>
          <w:tcPr>
            <w:tcW w:w="8106" w:type="dxa"/>
            <w:tcBorders>
              <w:top w:val="single" w:sz="4" w:space="0" w:color="auto"/>
              <w:left w:val="nil"/>
              <w:bottom w:val="single" w:sz="4" w:space="0" w:color="auto"/>
              <w:right w:val="single" w:sz="4" w:space="0" w:color="auto"/>
            </w:tcBorders>
            <w:noWrap/>
            <w:vAlign w:val="bottom"/>
            <w:hideMark/>
          </w:tcPr>
          <w:p w14:paraId="7131B4E0" w14:textId="77777777" w:rsidR="00416D67" w:rsidRPr="00416D67" w:rsidRDefault="00416D67" w:rsidP="00416D67">
            <w:pPr>
              <w:rPr>
                <w:rFonts w:ascii="Arial" w:hAnsi="Arial" w:cs="Arial"/>
                <w:sz w:val="14"/>
                <w:szCs w:val="14"/>
              </w:rPr>
            </w:pPr>
            <w:r w:rsidRPr="00416D67">
              <w:rPr>
                <w:rFonts w:ascii="Arial" w:hAnsi="Arial" w:cs="Arial"/>
                <w:sz w:val="14"/>
                <w:szCs w:val="14"/>
              </w:rPr>
              <w:t>Računalne usluge</w:t>
            </w:r>
          </w:p>
        </w:tc>
        <w:tc>
          <w:tcPr>
            <w:tcW w:w="1095" w:type="dxa"/>
            <w:tcBorders>
              <w:top w:val="single" w:sz="4" w:space="0" w:color="auto"/>
              <w:left w:val="nil"/>
              <w:bottom w:val="single" w:sz="4" w:space="0" w:color="auto"/>
              <w:right w:val="single" w:sz="4" w:space="0" w:color="auto"/>
            </w:tcBorders>
            <w:noWrap/>
            <w:vAlign w:val="bottom"/>
            <w:hideMark/>
          </w:tcPr>
          <w:p w14:paraId="1AF4E02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F47E58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43C353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6.552,50</w:t>
            </w:r>
          </w:p>
        </w:tc>
        <w:tc>
          <w:tcPr>
            <w:tcW w:w="918" w:type="dxa"/>
            <w:tcBorders>
              <w:top w:val="single" w:sz="4" w:space="0" w:color="auto"/>
              <w:left w:val="nil"/>
              <w:bottom w:val="single" w:sz="4" w:space="0" w:color="auto"/>
              <w:right w:val="single" w:sz="4" w:space="0" w:color="auto"/>
            </w:tcBorders>
            <w:noWrap/>
            <w:vAlign w:val="bottom"/>
            <w:hideMark/>
          </w:tcPr>
          <w:p w14:paraId="54D2776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458EDE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9761725" w14:textId="77777777" w:rsidR="00416D67" w:rsidRPr="00416D67" w:rsidRDefault="00416D67" w:rsidP="00416D67">
            <w:pPr>
              <w:rPr>
                <w:rFonts w:ascii="Arial" w:hAnsi="Arial" w:cs="Arial"/>
                <w:sz w:val="14"/>
                <w:szCs w:val="14"/>
              </w:rPr>
            </w:pPr>
            <w:r w:rsidRPr="00416D67">
              <w:rPr>
                <w:rFonts w:ascii="Arial" w:hAnsi="Arial" w:cs="Arial"/>
                <w:sz w:val="14"/>
                <w:szCs w:val="14"/>
              </w:rPr>
              <w:t>3239</w:t>
            </w:r>
          </w:p>
        </w:tc>
        <w:tc>
          <w:tcPr>
            <w:tcW w:w="8106" w:type="dxa"/>
            <w:tcBorders>
              <w:top w:val="single" w:sz="4" w:space="0" w:color="auto"/>
              <w:left w:val="nil"/>
              <w:bottom w:val="single" w:sz="4" w:space="0" w:color="auto"/>
              <w:right w:val="single" w:sz="4" w:space="0" w:color="auto"/>
            </w:tcBorders>
            <w:noWrap/>
            <w:vAlign w:val="bottom"/>
            <w:hideMark/>
          </w:tcPr>
          <w:p w14:paraId="2262DA6F" w14:textId="77777777" w:rsidR="00416D67" w:rsidRPr="00416D67" w:rsidRDefault="00416D67" w:rsidP="00416D67">
            <w:pPr>
              <w:rPr>
                <w:rFonts w:ascii="Arial" w:hAnsi="Arial" w:cs="Arial"/>
                <w:sz w:val="14"/>
                <w:szCs w:val="14"/>
              </w:rPr>
            </w:pPr>
            <w:r w:rsidRPr="00416D67">
              <w:rPr>
                <w:rFonts w:ascii="Arial" w:hAnsi="Arial" w:cs="Arial"/>
                <w:sz w:val="14"/>
                <w:szCs w:val="14"/>
              </w:rPr>
              <w:t>Ostale usluge</w:t>
            </w:r>
          </w:p>
        </w:tc>
        <w:tc>
          <w:tcPr>
            <w:tcW w:w="1095" w:type="dxa"/>
            <w:tcBorders>
              <w:top w:val="single" w:sz="4" w:space="0" w:color="auto"/>
              <w:left w:val="nil"/>
              <w:bottom w:val="single" w:sz="4" w:space="0" w:color="auto"/>
              <w:right w:val="single" w:sz="4" w:space="0" w:color="auto"/>
            </w:tcBorders>
            <w:noWrap/>
            <w:vAlign w:val="bottom"/>
            <w:hideMark/>
          </w:tcPr>
          <w:p w14:paraId="45628EB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109093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2B493C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55.937,89</w:t>
            </w:r>
          </w:p>
        </w:tc>
        <w:tc>
          <w:tcPr>
            <w:tcW w:w="918" w:type="dxa"/>
            <w:tcBorders>
              <w:top w:val="single" w:sz="4" w:space="0" w:color="auto"/>
              <w:left w:val="nil"/>
              <w:bottom w:val="single" w:sz="4" w:space="0" w:color="auto"/>
              <w:right w:val="single" w:sz="4" w:space="0" w:color="auto"/>
            </w:tcBorders>
            <w:noWrap/>
            <w:vAlign w:val="bottom"/>
            <w:hideMark/>
          </w:tcPr>
          <w:p w14:paraId="6495DD5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8FFD34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2AAC613" w14:textId="77777777" w:rsidR="00416D67" w:rsidRPr="00416D67" w:rsidRDefault="00416D67" w:rsidP="00416D67">
            <w:pPr>
              <w:rPr>
                <w:rFonts w:ascii="Arial" w:hAnsi="Arial" w:cs="Arial"/>
                <w:sz w:val="14"/>
                <w:szCs w:val="14"/>
              </w:rPr>
            </w:pPr>
            <w:r w:rsidRPr="00416D67">
              <w:rPr>
                <w:rFonts w:ascii="Arial" w:hAnsi="Arial" w:cs="Arial"/>
                <w:sz w:val="14"/>
                <w:szCs w:val="14"/>
              </w:rPr>
              <w:t>3292</w:t>
            </w:r>
          </w:p>
        </w:tc>
        <w:tc>
          <w:tcPr>
            <w:tcW w:w="8106" w:type="dxa"/>
            <w:tcBorders>
              <w:top w:val="single" w:sz="4" w:space="0" w:color="auto"/>
              <w:left w:val="nil"/>
              <w:bottom w:val="single" w:sz="4" w:space="0" w:color="auto"/>
              <w:right w:val="single" w:sz="4" w:space="0" w:color="auto"/>
            </w:tcBorders>
            <w:noWrap/>
            <w:vAlign w:val="bottom"/>
            <w:hideMark/>
          </w:tcPr>
          <w:p w14:paraId="2C7DB1FA" w14:textId="77777777" w:rsidR="00416D67" w:rsidRPr="00416D67" w:rsidRDefault="00416D67" w:rsidP="00416D67">
            <w:pPr>
              <w:rPr>
                <w:rFonts w:ascii="Arial" w:hAnsi="Arial" w:cs="Arial"/>
                <w:sz w:val="14"/>
                <w:szCs w:val="14"/>
              </w:rPr>
            </w:pPr>
            <w:r w:rsidRPr="00416D67">
              <w:rPr>
                <w:rFonts w:ascii="Arial" w:hAnsi="Arial" w:cs="Arial"/>
                <w:sz w:val="14"/>
                <w:szCs w:val="14"/>
              </w:rPr>
              <w:t>Premije osiguranja</w:t>
            </w:r>
          </w:p>
        </w:tc>
        <w:tc>
          <w:tcPr>
            <w:tcW w:w="1095" w:type="dxa"/>
            <w:tcBorders>
              <w:top w:val="single" w:sz="4" w:space="0" w:color="auto"/>
              <w:left w:val="nil"/>
              <w:bottom w:val="single" w:sz="4" w:space="0" w:color="auto"/>
              <w:right w:val="single" w:sz="4" w:space="0" w:color="auto"/>
            </w:tcBorders>
            <w:noWrap/>
            <w:vAlign w:val="bottom"/>
            <w:hideMark/>
          </w:tcPr>
          <w:p w14:paraId="6D218CF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B292AE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55FDE0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13.940,89</w:t>
            </w:r>
          </w:p>
        </w:tc>
        <w:tc>
          <w:tcPr>
            <w:tcW w:w="918" w:type="dxa"/>
            <w:tcBorders>
              <w:top w:val="single" w:sz="4" w:space="0" w:color="auto"/>
              <w:left w:val="nil"/>
              <w:bottom w:val="single" w:sz="4" w:space="0" w:color="auto"/>
              <w:right w:val="single" w:sz="4" w:space="0" w:color="auto"/>
            </w:tcBorders>
            <w:noWrap/>
            <w:vAlign w:val="bottom"/>
            <w:hideMark/>
          </w:tcPr>
          <w:p w14:paraId="39D55A8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CD5184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9590E88" w14:textId="77777777" w:rsidR="00416D67" w:rsidRPr="00416D67" w:rsidRDefault="00416D67" w:rsidP="00416D67">
            <w:pPr>
              <w:rPr>
                <w:rFonts w:ascii="Arial" w:hAnsi="Arial" w:cs="Arial"/>
                <w:sz w:val="14"/>
                <w:szCs w:val="14"/>
              </w:rPr>
            </w:pPr>
            <w:r w:rsidRPr="00416D67">
              <w:rPr>
                <w:rFonts w:ascii="Arial" w:hAnsi="Arial" w:cs="Arial"/>
                <w:sz w:val="14"/>
                <w:szCs w:val="14"/>
              </w:rPr>
              <w:t>3293</w:t>
            </w:r>
          </w:p>
        </w:tc>
        <w:tc>
          <w:tcPr>
            <w:tcW w:w="8106" w:type="dxa"/>
            <w:tcBorders>
              <w:top w:val="single" w:sz="4" w:space="0" w:color="auto"/>
              <w:left w:val="nil"/>
              <w:bottom w:val="single" w:sz="4" w:space="0" w:color="auto"/>
              <w:right w:val="single" w:sz="4" w:space="0" w:color="auto"/>
            </w:tcBorders>
            <w:noWrap/>
            <w:vAlign w:val="bottom"/>
            <w:hideMark/>
          </w:tcPr>
          <w:p w14:paraId="088F32AE" w14:textId="77777777" w:rsidR="00416D67" w:rsidRPr="00416D67" w:rsidRDefault="00416D67" w:rsidP="00416D67">
            <w:pPr>
              <w:rPr>
                <w:rFonts w:ascii="Arial" w:hAnsi="Arial" w:cs="Arial"/>
                <w:sz w:val="14"/>
                <w:szCs w:val="14"/>
              </w:rPr>
            </w:pPr>
            <w:r w:rsidRPr="00416D67">
              <w:rPr>
                <w:rFonts w:ascii="Arial" w:hAnsi="Arial" w:cs="Arial"/>
                <w:sz w:val="14"/>
                <w:szCs w:val="14"/>
              </w:rPr>
              <w:t>Reprezentacija</w:t>
            </w:r>
          </w:p>
        </w:tc>
        <w:tc>
          <w:tcPr>
            <w:tcW w:w="1095" w:type="dxa"/>
            <w:tcBorders>
              <w:top w:val="single" w:sz="4" w:space="0" w:color="auto"/>
              <w:left w:val="nil"/>
              <w:bottom w:val="single" w:sz="4" w:space="0" w:color="auto"/>
              <w:right w:val="single" w:sz="4" w:space="0" w:color="auto"/>
            </w:tcBorders>
            <w:noWrap/>
            <w:vAlign w:val="bottom"/>
            <w:hideMark/>
          </w:tcPr>
          <w:p w14:paraId="7897E45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61F16F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1C0372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1.149,90</w:t>
            </w:r>
          </w:p>
        </w:tc>
        <w:tc>
          <w:tcPr>
            <w:tcW w:w="918" w:type="dxa"/>
            <w:tcBorders>
              <w:top w:val="single" w:sz="4" w:space="0" w:color="auto"/>
              <w:left w:val="nil"/>
              <w:bottom w:val="single" w:sz="4" w:space="0" w:color="auto"/>
              <w:right w:val="single" w:sz="4" w:space="0" w:color="auto"/>
            </w:tcBorders>
            <w:noWrap/>
            <w:vAlign w:val="bottom"/>
            <w:hideMark/>
          </w:tcPr>
          <w:p w14:paraId="66119D8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10CB5D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610A27A" w14:textId="77777777" w:rsidR="00416D67" w:rsidRPr="00416D67" w:rsidRDefault="00416D67" w:rsidP="00416D67">
            <w:pPr>
              <w:rPr>
                <w:rFonts w:ascii="Arial" w:hAnsi="Arial" w:cs="Arial"/>
                <w:sz w:val="14"/>
                <w:szCs w:val="14"/>
              </w:rPr>
            </w:pPr>
            <w:r w:rsidRPr="00416D67">
              <w:rPr>
                <w:rFonts w:ascii="Arial" w:hAnsi="Arial" w:cs="Arial"/>
                <w:sz w:val="14"/>
                <w:szCs w:val="14"/>
              </w:rPr>
              <w:t>3294</w:t>
            </w:r>
          </w:p>
        </w:tc>
        <w:tc>
          <w:tcPr>
            <w:tcW w:w="8106" w:type="dxa"/>
            <w:tcBorders>
              <w:top w:val="single" w:sz="4" w:space="0" w:color="auto"/>
              <w:left w:val="nil"/>
              <w:bottom w:val="single" w:sz="4" w:space="0" w:color="auto"/>
              <w:right w:val="single" w:sz="4" w:space="0" w:color="auto"/>
            </w:tcBorders>
            <w:noWrap/>
            <w:vAlign w:val="bottom"/>
            <w:hideMark/>
          </w:tcPr>
          <w:p w14:paraId="6735D784" w14:textId="77777777" w:rsidR="00416D67" w:rsidRPr="00416D67" w:rsidRDefault="00416D67" w:rsidP="00416D67">
            <w:pPr>
              <w:rPr>
                <w:rFonts w:ascii="Arial" w:hAnsi="Arial" w:cs="Arial"/>
                <w:sz w:val="14"/>
                <w:szCs w:val="14"/>
              </w:rPr>
            </w:pPr>
            <w:r w:rsidRPr="00416D67">
              <w:rPr>
                <w:rFonts w:ascii="Arial" w:hAnsi="Arial" w:cs="Arial"/>
                <w:sz w:val="14"/>
                <w:szCs w:val="14"/>
              </w:rPr>
              <w:t>Članarine i norme</w:t>
            </w:r>
          </w:p>
        </w:tc>
        <w:tc>
          <w:tcPr>
            <w:tcW w:w="1095" w:type="dxa"/>
            <w:tcBorders>
              <w:top w:val="single" w:sz="4" w:space="0" w:color="auto"/>
              <w:left w:val="nil"/>
              <w:bottom w:val="single" w:sz="4" w:space="0" w:color="auto"/>
              <w:right w:val="single" w:sz="4" w:space="0" w:color="auto"/>
            </w:tcBorders>
            <w:noWrap/>
            <w:vAlign w:val="bottom"/>
            <w:hideMark/>
          </w:tcPr>
          <w:p w14:paraId="1799E1C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578898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C40FD3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8.355,90</w:t>
            </w:r>
          </w:p>
        </w:tc>
        <w:tc>
          <w:tcPr>
            <w:tcW w:w="918" w:type="dxa"/>
            <w:tcBorders>
              <w:top w:val="single" w:sz="4" w:space="0" w:color="auto"/>
              <w:left w:val="nil"/>
              <w:bottom w:val="single" w:sz="4" w:space="0" w:color="auto"/>
              <w:right w:val="single" w:sz="4" w:space="0" w:color="auto"/>
            </w:tcBorders>
            <w:noWrap/>
            <w:vAlign w:val="bottom"/>
            <w:hideMark/>
          </w:tcPr>
          <w:p w14:paraId="644047B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A2FBA9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FA9AC76" w14:textId="77777777" w:rsidR="00416D67" w:rsidRPr="00416D67" w:rsidRDefault="00416D67" w:rsidP="00416D67">
            <w:pPr>
              <w:rPr>
                <w:rFonts w:ascii="Arial" w:hAnsi="Arial" w:cs="Arial"/>
                <w:sz w:val="14"/>
                <w:szCs w:val="14"/>
              </w:rPr>
            </w:pPr>
            <w:r w:rsidRPr="00416D67">
              <w:rPr>
                <w:rFonts w:ascii="Arial" w:hAnsi="Arial" w:cs="Arial"/>
                <w:sz w:val="14"/>
                <w:szCs w:val="14"/>
              </w:rPr>
              <w:t>3295</w:t>
            </w:r>
          </w:p>
        </w:tc>
        <w:tc>
          <w:tcPr>
            <w:tcW w:w="8106" w:type="dxa"/>
            <w:tcBorders>
              <w:top w:val="single" w:sz="4" w:space="0" w:color="auto"/>
              <w:left w:val="nil"/>
              <w:bottom w:val="single" w:sz="4" w:space="0" w:color="auto"/>
              <w:right w:val="single" w:sz="4" w:space="0" w:color="auto"/>
            </w:tcBorders>
            <w:noWrap/>
            <w:vAlign w:val="bottom"/>
            <w:hideMark/>
          </w:tcPr>
          <w:p w14:paraId="1B4A0828" w14:textId="77777777" w:rsidR="00416D67" w:rsidRPr="00416D67" w:rsidRDefault="00416D67" w:rsidP="00416D67">
            <w:pPr>
              <w:rPr>
                <w:rFonts w:ascii="Arial" w:hAnsi="Arial" w:cs="Arial"/>
                <w:sz w:val="14"/>
                <w:szCs w:val="14"/>
              </w:rPr>
            </w:pPr>
            <w:r w:rsidRPr="00416D67">
              <w:rPr>
                <w:rFonts w:ascii="Arial" w:hAnsi="Arial" w:cs="Arial"/>
                <w:sz w:val="14"/>
                <w:szCs w:val="14"/>
              </w:rPr>
              <w:t>Pristojbe i naknade</w:t>
            </w:r>
          </w:p>
        </w:tc>
        <w:tc>
          <w:tcPr>
            <w:tcW w:w="1095" w:type="dxa"/>
            <w:tcBorders>
              <w:top w:val="single" w:sz="4" w:space="0" w:color="auto"/>
              <w:left w:val="nil"/>
              <w:bottom w:val="single" w:sz="4" w:space="0" w:color="auto"/>
              <w:right w:val="single" w:sz="4" w:space="0" w:color="auto"/>
            </w:tcBorders>
            <w:noWrap/>
            <w:vAlign w:val="bottom"/>
            <w:hideMark/>
          </w:tcPr>
          <w:p w14:paraId="02279F7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51DE6F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732247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4.968,32</w:t>
            </w:r>
          </w:p>
        </w:tc>
        <w:tc>
          <w:tcPr>
            <w:tcW w:w="918" w:type="dxa"/>
            <w:tcBorders>
              <w:top w:val="single" w:sz="4" w:space="0" w:color="auto"/>
              <w:left w:val="nil"/>
              <w:bottom w:val="single" w:sz="4" w:space="0" w:color="auto"/>
              <w:right w:val="single" w:sz="4" w:space="0" w:color="auto"/>
            </w:tcBorders>
            <w:noWrap/>
            <w:vAlign w:val="bottom"/>
            <w:hideMark/>
          </w:tcPr>
          <w:p w14:paraId="49ADC37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84289A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4151177" w14:textId="77777777" w:rsidR="00416D67" w:rsidRPr="00416D67" w:rsidRDefault="00416D67" w:rsidP="00416D67">
            <w:pPr>
              <w:rPr>
                <w:rFonts w:ascii="Arial" w:hAnsi="Arial" w:cs="Arial"/>
                <w:sz w:val="14"/>
                <w:szCs w:val="14"/>
              </w:rPr>
            </w:pPr>
            <w:r w:rsidRPr="00416D67">
              <w:rPr>
                <w:rFonts w:ascii="Arial" w:hAnsi="Arial" w:cs="Arial"/>
                <w:sz w:val="14"/>
                <w:szCs w:val="14"/>
              </w:rPr>
              <w:t>3299</w:t>
            </w:r>
          </w:p>
        </w:tc>
        <w:tc>
          <w:tcPr>
            <w:tcW w:w="8106" w:type="dxa"/>
            <w:tcBorders>
              <w:top w:val="single" w:sz="4" w:space="0" w:color="auto"/>
              <w:left w:val="nil"/>
              <w:bottom w:val="single" w:sz="4" w:space="0" w:color="auto"/>
              <w:right w:val="single" w:sz="4" w:space="0" w:color="auto"/>
            </w:tcBorders>
            <w:noWrap/>
            <w:vAlign w:val="bottom"/>
            <w:hideMark/>
          </w:tcPr>
          <w:p w14:paraId="374BABF7" w14:textId="77777777" w:rsidR="00416D67" w:rsidRPr="00416D67" w:rsidRDefault="00416D67" w:rsidP="00416D67">
            <w:pPr>
              <w:rPr>
                <w:rFonts w:ascii="Arial" w:hAnsi="Arial" w:cs="Arial"/>
                <w:sz w:val="14"/>
                <w:szCs w:val="14"/>
              </w:rPr>
            </w:pPr>
            <w:r w:rsidRPr="00416D67">
              <w:rPr>
                <w:rFonts w:ascii="Arial" w:hAnsi="Arial" w:cs="Arial"/>
                <w:sz w:val="14"/>
                <w:szCs w:val="14"/>
              </w:rPr>
              <w:t>Ostali nespomenuti rashodi poslovanja</w:t>
            </w:r>
          </w:p>
        </w:tc>
        <w:tc>
          <w:tcPr>
            <w:tcW w:w="1095" w:type="dxa"/>
            <w:tcBorders>
              <w:top w:val="single" w:sz="4" w:space="0" w:color="auto"/>
              <w:left w:val="nil"/>
              <w:bottom w:val="single" w:sz="4" w:space="0" w:color="auto"/>
              <w:right w:val="single" w:sz="4" w:space="0" w:color="auto"/>
            </w:tcBorders>
            <w:noWrap/>
            <w:vAlign w:val="bottom"/>
            <w:hideMark/>
          </w:tcPr>
          <w:p w14:paraId="6D11033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0B6133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40B75D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333,27</w:t>
            </w:r>
          </w:p>
        </w:tc>
        <w:tc>
          <w:tcPr>
            <w:tcW w:w="918" w:type="dxa"/>
            <w:tcBorders>
              <w:top w:val="single" w:sz="4" w:space="0" w:color="auto"/>
              <w:left w:val="nil"/>
              <w:bottom w:val="single" w:sz="4" w:space="0" w:color="auto"/>
              <w:right w:val="single" w:sz="4" w:space="0" w:color="auto"/>
            </w:tcBorders>
            <w:noWrap/>
            <w:vAlign w:val="bottom"/>
            <w:hideMark/>
          </w:tcPr>
          <w:p w14:paraId="66B4FC5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8677F4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A6930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3. Vlastiti prihodi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063F7A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14.600,20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61F547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14.600,20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AF7706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13.510,52</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1A0299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92,54%</w:t>
            </w:r>
          </w:p>
        </w:tc>
      </w:tr>
      <w:tr w:rsidR="00416D67" w:rsidRPr="00416D67" w14:paraId="15C43BC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58AE4A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3.1. 03 Vlastiti prihodi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C73431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14.600,20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CE1DAC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14.600,20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F9366F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13.510,52</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4E163F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92,54%</w:t>
            </w:r>
          </w:p>
        </w:tc>
      </w:tr>
      <w:tr w:rsidR="00416D67" w:rsidRPr="00416D67" w14:paraId="31D45D5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4369E6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5E67D67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509AA50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14.600,20</w:t>
            </w:r>
          </w:p>
        </w:tc>
        <w:tc>
          <w:tcPr>
            <w:tcW w:w="1070" w:type="dxa"/>
            <w:tcBorders>
              <w:top w:val="single" w:sz="4" w:space="0" w:color="auto"/>
              <w:left w:val="nil"/>
              <w:bottom w:val="single" w:sz="4" w:space="0" w:color="auto"/>
              <w:right w:val="single" w:sz="4" w:space="0" w:color="auto"/>
            </w:tcBorders>
            <w:noWrap/>
            <w:vAlign w:val="bottom"/>
            <w:hideMark/>
          </w:tcPr>
          <w:p w14:paraId="57B9368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14.600,20</w:t>
            </w:r>
          </w:p>
        </w:tc>
        <w:tc>
          <w:tcPr>
            <w:tcW w:w="1095" w:type="dxa"/>
            <w:tcBorders>
              <w:top w:val="single" w:sz="4" w:space="0" w:color="auto"/>
              <w:left w:val="nil"/>
              <w:bottom w:val="single" w:sz="4" w:space="0" w:color="auto"/>
              <w:right w:val="single" w:sz="4" w:space="0" w:color="auto"/>
            </w:tcBorders>
            <w:noWrap/>
            <w:vAlign w:val="bottom"/>
            <w:hideMark/>
          </w:tcPr>
          <w:p w14:paraId="776D11E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13.510,52</w:t>
            </w:r>
          </w:p>
        </w:tc>
        <w:tc>
          <w:tcPr>
            <w:tcW w:w="918" w:type="dxa"/>
            <w:tcBorders>
              <w:top w:val="single" w:sz="4" w:space="0" w:color="auto"/>
              <w:left w:val="nil"/>
              <w:bottom w:val="single" w:sz="4" w:space="0" w:color="auto"/>
              <w:right w:val="single" w:sz="4" w:space="0" w:color="auto"/>
            </w:tcBorders>
            <w:noWrap/>
            <w:vAlign w:val="bottom"/>
            <w:hideMark/>
          </w:tcPr>
          <w:p w14:paraId="2E55EF9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92,54%</w:t>
            </w:r>
          </w:p>
        </w:tc>
      </w:tr>
      <w:tr w:rsidR="00416D67" w:rsidRPr="00416D67" w14:paraId="23D5CF0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B0D1637" w14:textId="77777777" w:rsidR="00416D67" w:rsidRPr="00416D67" w:rsidRDefault="00416D67" w:rsidP="00416D67">
            <w:pPr>
              <w:rPr>
                <w:rFonts w:ascii="Arial" w:hAnsi="Arial" w:cs="Arial"/>
                <w:sz w:val="14"/>
                <w:szCs w:val="14"/>
              </w:rPr>
            </w:pPr>
            <w:r w:rsidRPr="00416D67">
              <w:rPr>
                <w:rFonts w:ascii="Arial" w:hAnsi="Arial" w:cs="Arial"/>
                <w:sz w:val="14"/>
                <w:szCs w:val="14"/>
              </w:rPr>
              <w:t>3238</w:t>
            </w:r>
          </w:p>
        </w:tc>
        <w:tc>
          <w:tcPr>
            <w:tcW w:w="8106" w:type="dxa"/>
            <w:tcBorders>
              <w:top w:val="single" w:sz="4" w:space="0" w:color="auto"/>
              <w:left w:val="nil"/>
              <w:bottom w:val="single" w:sz="4" w:space="0" w:color="auto"/>
              <w:right w:val="single" w:sz="4" w:space="0" w:color="auto"/>
            </w:tcBorders>
            <w:noWrap/>
            <w:vAlign w:val="bottom"/>
            <w:hideMark/>
          </w:tcPr>
          <w:p w14:paraId="001A0663" w14:textId="77777777" w:rsidR="00416D67" w:rsidRPr="00416D67" w:rsidRDefault="00416D67" w:rsidP="00416D67">
            <w:pPr>
              <w:rPr>
                <w:rFonts w:ascii="Arial" w:hAnsi="Arial" w:cs="Arial"/>
                <w:sz w:val="14"/>
                <w:szCs w:val="14"/>
              </w:rPr>
            </w:pPr>
            <w:r w:rsidRPr="00416D67">
              <w:rPr>
                <w:rFonts w:ascii="Arial" w:hAnsi="Arial" w:cs="Arial"/>
                <w:sz w:val="14"/>
                <w:szCs w:val="14"/>
              </w:rPr>
              <w:t>Računalne usluge</w:t>
            </w:r>
          </w:p>
        </w:tc>
        <w:tc>
          <w:tcPr>
            <w:tcW w:w="1095" w:type="dxa"/>
            <w:tcBorders>
              <w:top w:val="single" w:sz="4" w:space="0" w:color="auto"/>
              <w:left w:val="nil"/>
              <w:bottom w:val="single" w:sz="4" w:space="0" w:color="auto"/>
              <w:right w:val="single" w:sz="4" w:space="0" w:color="auto"/>
            </w:tcBorders>
            <w:noWrap/>
            <w:vAlign w:val="bottom"/>
            <w:hideMark/>
          </w:tcPr>
          <w:p w14:paraId="0173C59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170834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4693D4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13.510,52</w:t>
            </w:r>
          </w:p>
        </w:tc>
        <w:tc>
          <w:tcPr>
            <w:tcW w:w="918" w:type="dxa"/>
            <w:tcBorders>
              <w:top w:val="single" w:sz="4" w:space="0" w:color="auto"/>
              <w:left w:val="nil"/>
              <w:bottom w:val="single" w:sz="4" w:space="0" w:color="auto"/>
              <w:right w:val="single" w:sz="4" w:space="0" w:color="auto"/>
            </w:tcBorders>
            <w:noWrap/>
            <w:vAlign w:val="bottom"/>
            <w:hideMark/>
          </w:tcPr>
          <w:p w14:paraId="3461B7D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58ABB5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C73196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6A3500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450,00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242DA5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450,00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9BE15D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C59A13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2070430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418B8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4.3.13 Naknada za koncesiju taxi prijevoz</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B93EB6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450,00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4BBA5D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450,00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DD5080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0A120B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4225D0F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DC9234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785A9D8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4759216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450,00</w:t>
            </w:r>
          </w:p>
        </w:tc>
        <w:tc>
          <w:tcPr>
            <w:tcW w:w="1070" w:type="dxa"/>
            <w:tcBorders>
              <w:top w:val="single" w:sz="4" w:space="0" w:color="auto"/>
              <w:left w:val="nil"/>
              <w:bottom w:val="single" w:sz="4" w:space="0" w:color="auto"/>
              <w:right w:val="single" w:sz="4" w:space="0" w:color="auto"/>
            </w:tcBorders>
            <w:noWrap/>
            <w:vAlign w:val="bottom"/>
            <w:hideMark/>
          </w:tcPr>
          <w:p w14:paraId="41622CA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450,00</w:t>
            </w:r>
          </w:p>
        </w:tc>
        <w:tc>
          <w:tcPr>
            <w:tcW w:w="1095" w:type="dxa"/>
            <w:tcBorders>
              <w:top w:val="single" w:sz="4" w:space="0" w:color="auto"/>
              <w:left w:val="nil"/>
              <w:bottom w:val="single" w:sz="4" w:space="0" w:color="auto"/>
              <w:right w:val="single" w:sz="4" w:space="0" w:color="auto"/>
            </w:tcBorders>
            <w:noWrap/>
            <w:vAlign w:val="bottom"/>
            <w:hideMark/>
          </w:tcPr>
          <w:p w14:paraId="6E58C9A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5F3CFF9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0C25F07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FCE8BC4"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 Pomoći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1D4B79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 </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894107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347B12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663,61</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0648A9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 </w:t>
            </w:r>
          </w:p>
        </w:tc>
      </w:tr>
      <w:tr w:rsidR="00416D67" w:rsidRPr="00416D67" w14:paraId="2FE9225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686D9C0"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5.6.6 Pomoći EU  (program razvoja kružnog </w:t>
            </w:r>
            <w:proofErr w:type="spellStart"/>
            <w:r w:rsidRPr="00416D67">
              <w:rPr>
                <w:rFonts w:ascii="Arial" w:hAnsi="Arial" w:cs="Arial"/>
                <w:b/>
                <w:bCs/>
                <w:color w:val="333333"/>
                <w:sz w:val="14"/>
                <w:szCs w:val="14"/>
              </w:rPr>
              <w:t>gospod</w:t>
            </w:r>
            <w:proofErr w:type="spellEnd"/>
            <w:r w:rsidRPr="00416D67">
              <w:rPr>
                <w:rFonts w:ascii="Arial" w:hAnsi="Arial" w:cs="Arial"/>
                <w:b/>
                <w:bCs/>
                <w:color w:val="333333"/>
                <w:sz w:val="14"/>
                <w:szCs w:val="14"/>
              </w:rPr>
              <w:t xml:space="preserve"> prostorom i </w:t>
            </w:r>
            <w:proofErr w:type="spellStart"/>
            <w:r w:rsidRPr="00416D67">
              <w:rPr>
                <w:rFonts w:ascii="Arial" w:hAnsi="Arial" w:cs="Arial"/>
                <w:b/>
                <w:bCs/>
                <w:color w:val="333333"/>
                <w:sz w:val="14"/>
                <w:szCs w:val="14"/>
              </w:rPr>
              <w:t>zgrad</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E5C706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 </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B509DC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EC1688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663,61</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CD4EF3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 </w:t>
            </w:r>
          </w:p>
        </w:tc>
      </w:tr>
      <w:tr w:rsidR="00416D67" w:rsidRPr="00416D67" w14:paraId="5102124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DD6260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3B7E125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6E92831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5BC3AB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1095" w:type="dxa"/>
            <w:tcBorders>
              <w:top w:val="single" w:sz="4" w:space="0" w:color="auto"/>
              <w:left w:val="nil"/>
              <w:bottom w:val="single" w:sz="4" w:space="0" w:color="auto"/>
              <w:right w:val="single" w:sz="4" w:space="0" w:color="auto"/>
            </w:tcBorders>
            <w:noWrap/>
            <w:vAlign w:val="bottom"/>
            <w:hideMark/>
          </w:tcPr>
          <w:p w14:paraId="21252FD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663,61</w:t>
            </w:r>
          </w:p>
        </w:tc>
        <w:tc>
          <w:tcPr>
            <w:tcW w:w="918" w:type="dxa"/>
            <w:tcBorders>
              <w:top w:val="single" w:sz="4" w:space="0" w:color="auto"/>
              <w:left w:val="nil"/>
              <w:bottom w:val="single" w:sz="4" w:space="0" w:color="auto"/>
              <w:right w:val="single" w:sz="4" w:space="0" w:color="auto"/>
            </w:tcBorders>
            <w:noWrap/>
            <w:vAlign w:val="bottom"/>
            <w:hideMark/>
          </w:tcPr>
          <w:p w14:paraId="2AA9D94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r>
      <w:tr w:rsidR="00416D67" w:rsidRPr="00416D67" w14:paraId="312DD3F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784D7B5" w14:textId="77777777" w:rsidR="00416D67" w:rsidRPr="00416D67" w:rsidRDefault="00416D67" w:rsidP="00416D67">
            <w:pPr>
              <w:rPr>
                <w:rFonts w:ascii="Arial" w:hAnsi="Arial" w:cs="Arial"/>
                <w:sz w:val="14"/>
                <w:szCs w:val="14"/>
              </w:rPr>
            </w:pPr>
            <w:r w:rsidRPr="00416D67">
              <w:rPr>
                <w:rFonts w:ascii="Arial" w:hAnsi="Arial" w:cs="Arial"/>
                <w:sz w:val="14"/>
                <w:szCs w:val="14"/>
              </w:rPr>
              <w:t>3237</w:t>
            </w:r>
          </w:p>
        </w:tc>
        <w:tc>
          <w:tcPr>
            <w:tcW w:w="8106" w:type="dxa"/>
            <w:tcBorders>
              <w:top w:val="single" w:sz="4" w:space="0" w:color="auto"/>
              <w:left w:val="nil"/>
              <w:bottom w:val="single" w:sz="4" w:space="0" w:color="auto"/>
              <w:right w:val="single" w:sz="4" w:space="0" w:color="auto"/>
            </w:tcBorders>
            <w:noWrap/>
            <w:vAlign w:val="bottom"/>
            <w:hideMark/>
          </w:tcPr>
          <w:p w14:paraId="1E541C63" w14:textId="77777777" w:rsidR="00416D67" w:rsidRPr="00416D67" w:rsidRDefault="00416D67" w:rsidP="00416D67">
            <w:pPr>
              <w:rPr>
                <w:rFonts w:ascii="Arial" w:hAnsi="Arial" w:cs="Arial"/>
                <w:sz w:val="14"/>
                <w:szCs w:val="14"/>
              </w:rPr>
            </w:pPr>
            <w:r w:rsidRPr="00416D67">
              <w:rPr>
                <w:rFonts w:ascii="Arial" w:hAnsi="Arial" w:cs="Arial"/>
                <w:sz w:val="14"/>
                <w:szCs w:val="14"/>
              </w:rPr>
              <w:t>Intelektualne i osobne usluge</w:t>
            </w:r>
          </w:p>
        </w:tc>
        <w:tc>
          <w:tcPr>
            <w:tcW w:w="1095" w:type="dxa"/>
            <w:tcBorders>
              <w:top w:val="single" w:sz="4" w:space="0" w:color="auto"/>
              <w:left w:val="nil"/>
              <w:bottom w:val="single" w:sz="4" w:space="0" w:color="auto"/>
              <w:right w:val="single" w:sz="4" w:space="0" w:color="auto"/>
            </w:tcBorders>
            <w:noWrap/>
            <w:vAlign w:val="bottom"/>
            <w:hideMark/>
          </w:tcPr>
          <w:p w14:paraId="1BD1CF7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B0FF4D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E30F7A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663,61</w:t>
            </w:r>
          </w:p>
        </w:tc>
        <w:tc>
          <w:tcPr>
            <w:tcW w:w="918" w:type="dxa"/>
            <w:tcBorders>
              <w:top w:val="single" w:sz="4" w:space="0" w:color="auto"/>
              <w:left w:val="nil"/>
              <w:bottom w:val="single" w:sz="4" w:space="0" w:color="auto"/>
              <w:right w:val="single" w:sz="4" w:space="0" w:color="auto"/>
            </w:tcBorders>
            <w:noWrap/>
            <w:vAlign w:val="bottom"/>
            <w:hideMark/>
          </w:tcPr>
          <w:p w14:paraId="0799C52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7D90834" w14:textId="77777777" w:rsidTr="00BB1392">
        <w:trPr>
          <w:trHeight w:val="28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462A9B2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Organizacijska klasifikacija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B8F05E0"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07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8E152FD"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739B46A"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9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BCB0DB0"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2025/2024.           (3/2)</w:t>
            </w:r>
          </w:p>
        </w:tc>
      </w:tr>
      <w:tr w:rsidR="00416D67" w:rsidRPr="00416D67" w14:paraId="143C5CC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0C1CA90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Izvori</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428E42B8"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66A2755E"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017D7FE7"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46A071D9" w14:textId="77777777" w:rsidR="00416D67" w:rsidRPr="00416D67" w:rsidRDefault="00416D67" w:rsidP="00416D67">
            <w:pPr>
              <w:rPr>
                <w:rFonts w:ascii="Arial" w:hAnsi="Arial" w:cs="Arial"/>
                <w:sz w:val="14"/>
                <w:szCs w:val="14"/>
              </w:rPr>
            </w:pPr>
          </w:p>
        </w:tc>
      </w:tr>
      <w:tr w:rsidR="00416D67" w:rsidRPr="00416D67" w14:paraId="558DE9F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000000"/>
            </w:tcBorders>
            <w:shd w:val="clear" w:color="000000" w:fill="D9D9D9"/>
            <w:hideMark/>
          </w:tcPr>
          <w:p w14:paraId="6ABF7C5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Projekt/Aktivnost</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4F128EE4"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1600A6E2"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320EEEB7"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01E8A851" w14:textId="77777777" w:rsidR="00416D67" w:rsidRPr="00416D67" w:rsidRDefault="00416D67" w:rsidP="00416D67">
            <w:pPr>
              <w:rPr>
                <w:rFonts w:ascii="Arial" w:hAnsi="Arial" w:cs="Arial"/>
                <w:sz w:val="14"/>
                <w:szCs w:val="14"/>
              </w:rPr>
            </w:pPr>
          </w:p>
        </w:tc>
      </w:tr>
      <w:tr w:rsidR="00416D67" w:rsidRPr="00416D67" w14:paraId="508EF44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056827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A100004</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51D76A1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Financijski rashodi</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00CE46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32.270,72</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19A3B95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32.270,72</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909D14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25.054,03</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48ADD9F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77,64%</w:t>
            </w:r>
          </w:p>
        </w:tc>
      </w:tr>
      <w:tr w:rsidR="00416D67" w:rsidRPr="00416D67" w14:paraId="36EC700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3D2534"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FC8E93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29.420,70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9A8056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29.420,70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DE4F8A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25.054,03</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423A7E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85,16%</w:t>
            </w:r>
          </w:p>
        </w:tc>
      </w:tr>
      <w:tr w:rsidR="00416D67" w:rsidRPr="00416D67" w14:paraId="2FB0DCD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793929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36B8BF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29.420,70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FE545C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29.420,70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9B3460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25.054,03</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D9246B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85,16%</w:t>
            </w:r>
          </w:p>
        </w:tc>
      </w:tr>
      <w:tr w:rsidR="00416D67" w:rsidRPr="00416D67" w14:paraId="004B26D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F13DFB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34</w:t>
            </w:r>
          </w:p>
        </w:tc>
        <w:tc>
          <w:tcPr>
            <w:tcW w:w="8106" w:type="dxa"/>
            <w:tcBorders>
              <w:top w:val="single" w:sz="4" w:space="0" w:color="auto"/>
              <w:left w:val="nil"/>
              <w:bottom w:val="single" w:sz="4" w:space="0" w:color="auto"/>
              <w:right w:val="single" w:sz="4" w:space="0" w:color="auto"/>
            </w:tcBorders>
            <w:noWrap/>
            <w:vAlign w:val="bottom"/>
            <w:hideMark/>
          </w:tcPr>
          <w:p w14:paraId="287A6C9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Financijski rashodi</w:t>
            </w:r>
          </w:p>
        </w:tc>
        <w:tc>
          <w:tcPr>
            <w:tcW w:w="1095" w:type="dxa"/>
            <w:tcBorders>
              <w:top w:val="single" w:sz="4" w:space="0" w:color="auto"/>
              <w:left w:val="nil"/>
              <w:bottom w:val="single" w:sz="4" w:space="0" w:color="auto"/>
              <w:right w:val="single" w:sz="4" w:space="0" w:color="auto"/>
            </w:tcBorders>
            <w:noWrap/>
            <w:vAlign w:val="bottom"/>
            <w:hideMark/>
          </w:tcPr>
          <w:p w14:paraId="7BA5838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29.420,70</w:t>
            </w:r>
          </w:p>
        </w:tc>
        <w:tc>
          <w:tcPr>
            <w:tcW w:w="1070" w:type="dxa"/>
            <w:tcBorders>
              <w:top w:val="single" w:sz="4" w:space="0" w:color="auto"/>
              <w:left w:val="nil"/>
              <w:bottom w:val="single" w:sz="4" w:space="0" w:color="auto"/>
              <w:right w:val="single" w:sz="4" w:space="0" w:color="auto"/>
            </w:tcBorders>
            <w:noWrap/>
            <w:vAlign w:val="bottom"/>
            <w:hideMark/>
          </w:tcPr>
          <w:p w14:paraId="17B47AC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29.420,70</w:t>
            </w:r>
          </w:p>
        </w:tc>
        <w:tc>
          <w:tcPr>
            <w:tcW w:w="1095" w:type="dxa"/>
            <w:tcBorders>
              <w:top w:val="single" w:sz="4" w:space="0" w:color="auto"/>
              <w:left w:val="nil"/>
              <w:bottom w:val="single" w:sz="4" w:space="0" w:color="auto"/>
              <w:right w:val="single" w:sz="4" w:space="0" w:color="auto"/>
            </w:tcBorders>
            <w:noWrap/>
            <w:vAlign w:val="bottom"/>
            <w:hideMark/>
          </w:tcPr>
          <w:p w14:paraId="01D649B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25.054,03</w:t>
            </w:r>
          </w:p>
        </w:tc>
        <w:tc>
          <w:tcPr>
            <w:tcW w:w="918" w:type="dxa"/>
            <w:tcBorders>
              <w:top w:val="single" w:sz="4" w:space="0" w:color="auto"/>
              <w:left w:val="nil"/>
              <w:bottom w:val="single" w:sz="4" w:space="0" w:color="auto"/>
              <w:right w:val="single" w:sz="4" w:space="0" w:color="auto"/>
            </w:tcBorders>
            <w:noWrap/>
            <w:vAlign w:val="bottom"/>
            <w:hideMark/>
          </w:tcPr>
          <w:p w14:paraId="14D6677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85,16%</w:t>
            </w:r>
          </w:p>
        </w:tc>
      </w:tr>
      <w:tr w:rsidR="00416D67" w:rsidRPr="00416D67" w14:paraId="18FB38E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E1E7101" w14:textId="77777777" w:rsidR="00416D67" w:rsidRPr="00416D67" w:rsidRDefault="00416D67" w:rsidP="00416D67">
            <w:pPr>
              <w:rPr>
                <w:rFonts w:ascii="Arial" w:hAnsi="Arial" w:cs="Arial"/>
                <w:sz w:val="14"/>
                <w:szCs w:val="14"/>
              </w:rPr>
            </w:pPr>
            <w:r w:rsidRPr="00416D67">
              <w:rPr>
                <w:rFonts w:ascii="Arial" w:hAnsi="Arial" w:cs="Arial"/>
                <w:sz w:val="14"/>
                <w:szCs w:val="14"/>
              </w:rPr>
              <w:t>3431</w:t>
            </w:r>
          </w:p>
        </w:tc>
        <w:tc>
          <w:tcPr>
            <w:tcW w:w="8106" w:type="dxa"/>
            <w:tcBorders>
              <w:top w:val="single" w:sz="4" w:space="0" w:color="auto"/>
              <w:left w:val="nil"/>
              <w:bottom w:val="single" w:sz="4" w:space="0" w:color="auto"/>
              <w:right w:val="single" w:sz="4" w:space="0" w:color="auto"/>
            </w:tcBorders>
            <w:noWrap/>
            <w:vAlign w:val="bottom"/>
            <w:hideMark/>
          </w:tcPr>
          <w:p w14:paraId="50E21E36" w14:textId="77777777" w:rsidR="00416D67" w:rsidRPr="00416D67" w:rsidRDefault="00416D67" w:rsidP="00416D67">
            <w:pPr>
              <w:rPr>
                <w:rFonts w:ascii="Arial" w:hAnsi="Arial" w:cs="Arial"/>
                <w:sz w:val="14"/>
                <w:szCs w:val="14"/>
              </w:rPr>
            </w:pPr>
            <w:r w:rsidRPr="00416D67">
              <w:rPr>
                <w:rFonts w:ascii="Arial" w:hAnsi="Arial" w:cs="Arial"/>
                <w:sz w:val="14"/>
                <w:szCs w:val="14"/>
              </w:rPr>
              <w:t>Bankarske usluge i usluge platnog prometa</w:t>
            </w:r>
          </w:p>
        </w:tc>
        <w:tc>
          <w:tcPr>
            <w:tcW w:w="1095" w:type="dxa"/>
            <w:tcBorders>
              <w:top w:val="single" w:sz="4" w:space="0" w:color="auto"/>
              <w:left w:val="nil"/>
              <w:bottom w:val="single" w:sz="4" w:space="0" w:color="auto"/>
              <w:right w:val="single" w:sz="4" w:space="0" w:color="auto"/>
            </w:tcBorders>
            <w:noWrap/>
            <w:vAlign w:val="bottom"/>
            <w:hideMark/>
          </w:tcPr>
          <w:p w14:paraId="0DADE69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3741B0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83EA6A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3.243,92</w:t>
            </w:r>
          </w:p>
        </w:tc>
        <w:tc>
          <w:tcPr>
            <w:tcW w:w="918" w:type="dxa"/>
            <w:tcBorders>
              <w:top w:val="single" w:sz="4" w:space="0" w:color="auto"/>
              <w:left w:val="nil"/>
              <w:bottom w:val="single" w:sz="4" w:space="0" w:color="auto"/>
              <w:right w:val="single" w:sz="4" w:space="0" w:color="auto"/>
            </w:tcBorders>
            <w:noWrap/>
            <w:vAlign w:val="bottom"/>
            <w:hideMark/>
          </w:tcPr>
          <w:p w14:paraId="168C21D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410319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8C2E329" w14:textId="77777777" w:rsidR="00416D67" w:rsidRPr="00416D67" w:rsidRDefault="00416D67" w:rsidP="00416D67">
            <w:pPr>
              <w:rPr>
                <w:rFonts w:ascii="Arial" w:hAnsi="Arial" w:cs="Arial"/>
                <w:sz w:val="14"/>
                <w:szCs w:val="14"/>
              </w:rPr>
            </w:pPr>
            <w:r w:rsidRPr="00416D67">
              <w:rPr>
                <w:rFonts w:ascii="Arial" w:hAnsi="Arial" w:cs="Arial"/>
                <w:sz w:val="14"/>
                <w:szCs w:val="14"/>
              </w:rPr>
              <w:t>3433</w:t>
            </w:r>
          </w:p>
        </w:tc>
        <w:tc>
          <w:tcPr>
            <w:tcW w:w="8106" w:type="dxa"/>
            <w:tcBorders>
              <w:top w:val="single" w:sz="4" w:space="0" w:color="auto"/>
              <w:left w:val="nil"/>
              <w:bottom w:val="single" w:sz="4" w:space="0" w:color="auto"/>
              <w:right w:val="single" w:sz="4" w:space="0" w:color="auto"/>
            </w:tcBorders>
            <w:noWrap/>
            <w:vAlign w:val="bottom"/>
            <w:hideMark/>
          </w:tcPr>
          <w:p w14:paraId="679195A7" w14:textId="77777777" w:rsidR="00416D67" w:rsidRPr="00416D67" w:rsidRDefault="00416D67" w:rsidP="00416D67">
            <w:pPr>
              <w:rPr>
                <w:rFonts w:ascii="Arial" w:hAnsi="Arial" w:cs="Arial"/>
                <w:sz w:val="14"/>
                <w:szCs w:val="14"/>
              </w:rPr>
            </w:pPr>
            <w:r w:rsidRPr="00416D67">
              <w:rPr>
                <w:rFonts w:ascii="Arial" w:hAnsi="Arial" w:cs="Arial"/>
                <w:sz w:val="14"/>
                <w:szCs w:val="14"/>
              </w:rPr>
              <w:t>Zatezne kamate</w:t>
            </w:r>
          </w:p>
        </w:tc>
        <w:tc>
          <w:tcPr>
            <w:tcW w:w="1095" w:type="dxa"/>
            <w:tcBorders>
              <w:top w:val="single" w:sz="4" w:space="0" w:color="auto"/>
              <w:left w:val="nil"/>
              <w:bottom w:val="single" w:sz="4" w:space="0" w:color="auto"/>
              <w:right w:val="single" w:sz="4" w:space="0" w:color="auto"/>
            </w:tcBorders>
            <w:noWrap/>
            <w:vAlign w:val="bottom"/>
            <w:hideMark/>
          </w:tcPr>
          <w:p w14:paraId="572707F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F68DEC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537488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26,27</w:t>
            </w:r>
          </w:p>
        </w:tc>
        <w:tc>
          <w:tcPr>
            <w:tcW w:w="918" w:type="dxa"/>
            <w:tcBorders>
              <w:top w:val="single" w:sz="4" w:space="0" w:color="auto"/>
              <w:left w:val="nil"/>
              <w:bottom w:val="single" w:sz="4" w:space="0" w:color="auto"/>
              <w:right w:val="single" w:sz="4" w:space="0" w:color="auto"/>
            </w:tcBorders>
            <w:noWrap/>
            <w:vAlign w:val="bottom"/>
            <w:hideMark/>
          </w:tcPr>
          <w:p w14:paraId="74E6C49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30A229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C4A4C63" w14:textId="77777777" w:rsidR="00416D67" w:rsidRPr="00416D67" w:rsidRDefault="00416D67" w:rsidP="00416D67">
            <w:pPr>
              <w:rPr>
                <w:rFonts w:ascii="Arial" w:hAnsi="Arial" w:cs="Arial"/>
                <w:sz w:val="14"/>
                <w:szCs w:val="14"/>
              </w:rPr>
            </w:pPr>
            <w:r w:rsidRPr="00416D67">
              <w:rPr>
                <w:rFonts w:ascii="Arial" w:hAnsi="Arial" w:cs="Arial"/>
                <w:sz w:val="14"/>
                <w:szCs w:val="14"/>
              </w:rPr>
              <w:t>3434</w:t>
            </w:r>
          </w:p>
        </w:tc>
        <w:tc>
          <w:tcPr>
            <w:tcW w:w="8106" w:type="dxa"/>
            <w:tcBorders>
              <w:top w:val="single" w:sz="4" w:space="0" w:color="auto"/>
              <w:left w:val="nil"/>
              <w:bottom w:val="single" w:sz="4" w:space="0" w:color="auto"/>
              <w:right w:val="single" w:sz="4" w:space="0" w:color="auto"/>
            </w:tcBorders>
            <w:noWrap/>
            <w:vAlign w:val="bottom"/>
            <w:hideMark/>
          </w:tcPr>
          <w:p w14:paraId="19613B19" w14:textId="77777777" w:rsidR="00416D67" w:rsidRPr="00416D67" w:rsidRDefault="00416D67" w:rsidP="00416D67">
            <w:pPr>
              <w:rPr>
                <w:rFonts w:ascii="Arial" w:hAnsi="Arial" w:cs="Arial"/>
                <w:sz w:val="14"/>
                <w:szCs w:val="14"/>
              </w:rPr>
            </w:pPr>
            <w:r w:rsidRPr="00416D67">
              <w:rPr>
                <w:rFonts w:ascii="Arial" w:hAnsi="Arial" w:cs="Arial"/>
                <w:sz w:val="14"/>
                <w:szCs w:val="14"/>
              </w:rPr>
              <w:t>Ostali nespomenuti financijski rashodi</w:t>
            </w:r>
          </w:p>
        </w:tc>
        <w:tc>
          <w:tcPr>
            <w:tcW w:w="1095" w:type="dxa"/>
            <w:tcBorders>
              <w:top w:val="single" w:sz="4" w:space="0" w:color="auto"/>
              <w:left w:val="nil"/>
              <w:bottom w:val="single" w:sz="4" w:space="0" w:color="auto"/>
              <w:right w:val="single" w:sz="4" w:space="0" w:color="auto"/>
            </w:tcBorders>
            <w:noWrap/>
            <w:vAlign w:val="bottom"/>
            <w:hideMark/>
          </w:tcPr>
          <w:p w14:paraId="4224EC5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D8BEA0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B9CC96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21.783,84</w:t>
            </w:r>
          </w:p>
        </w:tc>
        <w:tc>
          <w:tcPr>
            <w:tcW w:w="918" w:type="dxa"/>
            <w:tcBorders>
              <w:top w:val="single" w:sz="4" w:space="0" w:color="auto"/>
              <w:left w:val="nil"/>
              <w:bottom w:val="single" w:sz="4" w:space="0" w:color="auto"/>
              <w:right w:val="single" w:sz="4" w:space="0" w:color="auto"/>
            </w:tcBorders>
            <w:noWrap/>
            <w:vAlign w:val="bottom"/>
            <w:hideMark/>
          </w:tcPr>
          <w:p w14:paraId="68E7789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2A89C6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6DD6CE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7A8557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265,00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FE3141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265,00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5858A4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F1563F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7C1576A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83D7B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4.3.12 Koncesija pružanja javne usluge pražnjenja </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1F7038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265,00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C4E7A6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265,00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9B9A12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167F45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11340EF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E760F0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34</w:t>
            </w:r>
          </w:p>
        </w:tc>
        <w:tc>
          <w:tcPr>
            <w:tcW w:w="8106" w:type="dxa"/>
            <w:tcBorders>
              <w:top w:val="single" w:sz="4" w:space="0" w:color="auto"/>
              <w:left w:val="nil"/>
              <w:bottom w:val="single" w:sz="4" w:space="0" w:color="auto"/>
              <w:right w:val="single" w:sz="4" w:space="0" w:color="auto"/>
            </w:tcBorders>
            <w:noWrap/>
            <w:vAlign w:val="bottom"/>
            <w:hideMark/>
          </w:tcPr>
          <w:p w14:paraId="722C680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Financijski rashodi</w:t>
            </w:r>
          </w:p>
        </w:tc>
        <w:tc>
          <w:tcPr>
            <w:tcW w:w="1095" w:type="dxa"/>
            <w:tcBorders>
              <w:top w:val="single" w:sz="4" w:space="0" w:color="auto"/>
              <w:left w:val="nil"/>
              <w:bottom w:val="single" w:sz="4" w:space="0" w:color="auto"/>
              <w:right w:val="single" w:sz="4" w:space="0" w:color="auto"/>
            </w:tcBorders>
            <w:noWrap/>
            <w:vAlign w:val="bottom"/>
            <w:hideMark/>
          </w:tcPr>
          <w:p w14:paraId="2C9F832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265,00</w:t>
            </w:r>
          </w:p>
        </w:tc>
        <w:tc>
          <w:tcPr>
            <w:tcW w:w="1070" w:type="dxa"/>
            <w:tcBorders>
              <w:top w:val="single" w:sz="4" w:space="0" w:color="auto"/>
              <w:left w:val="nil"/>
              <w:bottom w:val="single" w:sz="4" w:space="0" w:color="auto"/>
              <w:right w:val="single" w:sz="4" w:space="0" w:color="auto"/>
            </w:tcBorders>
            <w:noWrap/>
            <w:vAlign w:val="bottom"/>
            <w:hideMark/>
          </w:tcPr>
          <w:p w14:paraId="7E77220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265,00</w:t>
            </w:r>
          </w:p>
        </w:tc>
        <w:tc>
          <w:tcPr>
            <w:tcW w:w="1095" w:type="dxa"/>
            <w:tcBorders>
              <w:top w:val="single" w:sz="4" w:space="0" w:color="auto"/>
              <w:left w:val="nil"/>
              <w:bottom w:val="single" w:sz="4" w:space="0" w:color="auto"/>
              <w:right w:val="single" w:sz="4" w:space="0" w:color="auto"/>
            </w:tcBorders>
            <w:noWrap/>
            <w:vAlign w:val="bottom"/>
            <w:hideMark/>
          </w:tcPr>
          <w:p w14:paraId="3B61E6A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35DA427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57F4444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52E133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 Višak prihoda ranijih godina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3A4BCE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2.585,02</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1F027D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2.585,02</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5360E5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5D2182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2637A4F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EC9B5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9.4.312 Višak koncesija javne usluge pražnjenja i dovoza otpadnih vo</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010CF0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2.585,02</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FE3C2C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2.585,02</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FB4D1D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6E40F9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75A6951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FC09B1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34</w:t>
            </w:r>
          </w:p>
        </w:tc>
        <w:tc>
          <w:tcPr>
            <w:tcW w:w="8106" w:type="dxa"/>
            <w:tcBorders>
              <w:top w:val="single" w:sz="4" w:space="0" w:color="auto"/>
              <w:left w:val="nil"/>
              <w:bottom w:val="single" w:sz="4" w:space="0" w:color="auto"/>
              <w:right w:val="single" w:sz="4" w:space="0" w:color="auto"/>
            </w:tcBorders>
            <w:noWrap/>
            <w:vAlign w:val="bottom"/>
            <w:hideMark/>
          </w:tcPr>
          <w:p w14:paraId="5B0A381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Financijski rashodi</w:t>
            </w:r>
          </w:p>
        </w:tc>
        <w:tc>
          <w:tcPr>
            <w:tcW w:w="1095" w:type="dxa"/>
            <w:tcBorders>
              <w:top w:val="single" w:sz="4" w:space="0" w:color="auto"/>
              <w:left w:val="nil"/>
              <w:bottom w:val="single" w:sz="4" w:space="0" w:color="auto"/>
              <w:right w:val="single" w:sz="4" w:space="0" w:color="auto"/>
            </w:tcBorders>
            <w:noWrap/>
            <w:vAlign w:val="bottom"/>
            <w:hideMark/>
          </w:tcPr>
          <w:p w14:paraId="3215A9E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2.585,02</w:t>
            </w:r>
          </w:p>
        </w:tc>
        <w:tc>
          <w:tcPr>
            <w:tcW w:w="1070" w:type="dxa"/>
            <w:tcBorders>
              <w:top w:val="single" w:sz="4" w:space="0" w:color="auto"/>
              <w:left w:val="nil"/>
              <w:bottom w:val="single" w:sz="4" w:space="0" w:color="auto"/>
              <w:right w:val="single" w:sz="4" w:space="0" w:color="auto"/>
            </w:tcBorders>
            <w:noWrap/>
            <w:vAlign w:val="bottom"/>
            <w:hideMark/>
          </w:tcPr>
          <w:p w14:paraId="042513C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2.585,02</w:t>
            </w:r>
          </w:p>
        </w:tc>
        <w:tc>
          <w:tcPr>
            <w:tcW w:w="1095" w:type="dxa"/>
            <w:tcBorders>
              <w:top w:val="single" w:sz="4" w:space="0" w:color="auto"/>
              <w:left w:val="nil"/>
              <w:bottom w:val="single" w:sz="4" w:space="0" w:color="auto"/>
              <w:right w:val="single" w:sz="4" w:space="0" w:color="auto"/>
            </w:tcBorders>
            <w:noWrap/>
            <w:vAlign w:val="bottom"/>
            <w:hideMark/>
          </w:tcPr>
          <w:p w14:paraId="1D74D75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26751B5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0D79BAB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2B1C3C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A100009</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48B0AD6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Izdaci za dane  zajmove</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CF8B81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2CBAE6E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9390DA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3CCC879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645513F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1FCCDA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A6B65D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52E32C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85F086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0D2716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37CBCBFF"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EB061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955EF7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0D0377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EEBBF0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50BFBE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7289701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05DD1E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51</w:t>
            </w:r>
          </w:p>
        </w:tc>
        <w:tc>
          <w:tcPr>
            <w:tcW w:w="8106" w:type="dxa"/>
            <w:tcBorders>
              <w:top w:val="single" w:sz="4" w:space="0" w:color="auto"/>
              <w:left w:val="nil"/>
              <w:bottom w:val="single" w:sz="4" w:space="0" w:color="auto"/>
              <w:right w:val="single" w:sz="4" w:space="0" w:color="auto"/>
            </w:tcBorders>
            <w:noWrap/>
            <w:vAlign w:val="bottom"/>
            <w:hideMark/>
          </w:tcPr>
          <w:p w14:paraId="4A4948D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Izdaci za dane zajmove i </w:t>
            </w:r>
            <w:proofErr w:type="spellStart"/>
            <w:r w:rsidRPr="00416D67">
              <w:rPr>
                <w:rFonts w:ascii="Arial" w:hAnsi="Arial" w:cs="Arial"/>
                <w:b/>
                <w:bCs/>
                <w:sz w:val="14"/>
                <w:szCs w:val="14"/>
              </w:rPr>
              <w:t>jamčevne</w:t>
            </w:r>
            <w:proofErr w:type="spellEnd"/>
            <w:r w:rsidRPr="00416D67">
              <w:rPr>
                <w:rFonts w:ascii="Arial" w:hAnsi="Arial" w:cs="Arial"/>
                <w:b/>
                <w:bCs/>
                <w:sz w:val="14"/>
                <w:szCs w:val="14"/>
              </w:rPr>
              <w:t xml:space="preserve"> </w:t>
            </w:r>
            <w:proofErr w:type="spellStart"/>
            <w:r w:rsidRPr="00416D67">
              <w:rPr>
                <w:rFonts w:ascii="Arial" w:hAnsi="Arial" w:cs="Arial"/>
                <w:b/>
                <w:bCs/>
                <w:sz w:val="14"/>
                <w:szCs w:val="14"/>
              </w:rPr>
              <w:t>pologe</w:t>
            </w:r>
            <w:proofErr w:type="spellEnd"/>
          </w:p>
        </w:tc>
        <w:tc>
          <w:tcPr>
            <w:tcW w:w="1095" w:type="dxa"/>
            <w:tcBorders>
              <w:top w:val="single" w:sz="4" w:space="0" w:color="auto"/>
              <w:left w:val="nil"/>
              <w:bottom w:val="single" w:sz="4" w:space="0" w:color="auto"/>
              <w:right w:val="single" w:sz="4" w:space="0" w:color="auto"/>
            </w:tcBorders>
            <w:noWrap/>
            <w:vAlign w:val="bottom"/>
            <w:hideMark/>
          </w:tcPr>
          <w:p w14:paraId="787CC22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40.000,00</w:t>
            </w:r>
          </w:p>
        </w:tc>
        <w:tc>
          <w:tcPr>
            <w:tcW w:w="1070" w:type="dxa"/>
            <w:tcBorders>
              <w:top w:val="single" w:sz="4" w:space="0" w:color="auto"/>
              <w:left w:val="nil"/>
              <w:bottom w:val="single" w:sz="4" w:space="0" w:color="auto"/>
              <w:right w:val="single" w:sz="4" w:space="0" w:color="auto"/>
            </w:tcBorders>
            <w:noWrap/>
            <w:vAlign w:val="bottom"/>
            <w:hideMark/>
          </w:tcPr>
          <w:p w14:paraId="65319F7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40.000,00</w:t>
            </w:r>
          </w:p>
        </w:tc>
        <w:tc>
          <w:tcPr>
            <w:tcW w:w="1095" w:type="dxa"/>
            <w:tcBorders>
              <w:top w:val="single" w:sz="4" w:space="0" w:color="auto"/>
              <w:left w:val="nil"/>
              <w:bottom w:val="single" w:sz="4" w:space="0" w:color="auto"/>
              <w:right w:val="single" w:sz="4" w:space="0" w:color="auto"/>
            </w:tcBorders>
            <w:noWrap/>
            <w:vAlign w:val="bottom"/>
            <w:hideMark/>
          </w:tcPr>
          <w:p w14:paraId="3BBFB31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40.000,00</w:t>
            </w:r>
          </w:p>
        </w:tc>
        <w:tc>
          <w:tcPr>
            <w:tcW w:w="918" w:type="dxa"/>
            <w:tcBorders>
              <w:top w:val="single" w:sz="4" w:space="0" w:color="auto"/>
              <w:left w:val="nil"/>
              <w:bottom w:val="single" w:sz="4" w:space="0" w:color="auto"/>
              <w:right w:val="single" w:sz="4" w:space="0" w:color="auto"/>
            </w:tcBorders>
            <w:noWrap/>
            <w:vAlign w:val="bottom"/>
            <w:hideMark/>
          </w:tcPr>
          <w:p w14:paraId="4446FDF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11DB042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D9E75F5" w14:textId="77777777" w:rsidR="00416D67" w:rsidRPr="00416D67" w:rsidRDefault="00416D67" w:rsidP="00416D67">
            <w:pPr>
              <w:rPr>
                <w:rFonts w:ascii="Arial" w:hAnsi="Arial" w:cs="Arial"/>
                <w:sz w:val="14"/>
                <w:szCs w:val="14"/>
              </w:rPr>
            </w:pPr>
            <w:r w:rsidRPr="00416D67">
              <w:rPr>
                <w:rFonts w:ascii="Arial" w:hAnsi="Arial" w:cs="Arial"/>
                <w:sz w:val="14"/>
                <w:szCs w:val="14"/>
              </w:rPr>
              <w:t>5121</w:t>
            </w:r>
          </w:p>
        </w:tc>
        <w:tc>
          <w:tcPr>
            <w:tcW w:w="8106" w:type="dxa"/>
            <w:tcBorders>
              <w:top w:val="single" w:sz="4" w:space="0" w:color="auto"/>
              <w:left w:val="nil"/>
              <w:bottom w:val="single" w:sz="4" w:space="0" w:color="auto"/>
              <w:right w:val="single" w:sz="4" w:space="0" w:color="auto"/>
            </w:tcBorders>
            <w:noWrap/>
            <w:vAlign w:val="bottom"/>
            <w:hideMark/>
          </w:tcPr>
          <w:p w14:paraId="631FE9AE" w14:textId="77777777" w:rsidR="00416D67" w:rsidRPr="00416D67" w:rsidRDefault="00416D67" w:rsidP="00416D67">
            <w:pPr>
              <w:rPr>
                <w:rFonts w:ascii="Arial" w:hAnsi="Arial" w:cs="Arial"/>
                <w:sz w:val="14"/>
                <w:szCs w:val="14"/>
              </w:rPr>
            </w:pPr>
            <w:r w:rsidRPr="00416D67">
              <w:rPr>
                <w:rFonts w:ascii="Arial" w:hAnsi="Arial" w:cs="Arial"/>
                <w:sz w:val="14"/>
                <w:szCs w:val="14"/>
              </w:rPr>
              <w:t>Dani zajmovi neprofitnim organizacijama, građanima i kućanstvima u tuzemstvu</w:t>
            </w:r>
          </w:p>
        </w:tc>
        <w:tc>
          <w:tcPr>
            <w:tcW w:w="1095" w:type="dxa"/>
            <w:tcBorders>
              <w:top w:val="single" w:sz="4" w:space="0" w:color="auto"/>
              <w:left w:val="nil"/>
              <w:bottom w:val="single" w:sz="4" w:space="0" w:color="auto"/>
              <w:right w:val="single" w:sz="4" w:space="0" w:color="auto"/>
            </w:tcBorders>
            <w:noWrap/>
            <w:vAlign w:val="bottom"/>
            <w:hideMark/>
          </w:tcPr>
          <w:p w14:paraId="5A54A27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BE9521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0FE682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40.000,00</w:t>
            </w:r>
          </w:p>
        </w:tc>
        <w:tc>
          <w:tcPr>
            <w:tcW w:w="918" w:type="dxa"/>
            <w:tcBorders>
              <w:top w:val="single" w:sz="4" w:space="0" w:color="auto"/>
              <w:left w:val="nil"/>
              <w:bottom w:val="single" w:sz="4" w:space="0" w:color="auto"/>
              <w:right w:val="single" w:sz="4" w:space="0" w:color="auto"/>
            </w:tcBorders>
            <w:noWrap/>
            <w:vAlign w:val="bottom"/>
            <w:hideMark/>
          </w:tcPr>
          <w:p w14:paraId="7AEDDA4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E28E72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A39F3B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A100010</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3C46FD1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Upravljanje javnim financijama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A67ED6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116.979,76</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500BCCB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116.979,76</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FB9F7E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75.238,93</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4C67335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64,32%</w:t>
            </w:r>
          </w:p>
        </w:tc>
      </w:tr>
      <w:tr w:rsidR="00416D67" w:rsidRPr="00416D67" w14:paraId="26DE4EF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2394BA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lastRenderedPageBreak/>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B1899F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116.979,76</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9D67CA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116.979,76</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479052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75.238,93</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1C7BE5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64,32%</w:t>
            </w:r>
          </w:p>
        </w:tc>
      </w:tr>
      <w:tr w:rsidR="00416D67" w:rsidRPr="00416D67" w14:paraId="5C3A85A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9887CD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42A7B3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116.979,76</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CC65D9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116.979,76</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100B3C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75.238,93</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2FCEDC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64,32%</w:t>
            </w:r>
          </w:p>
        </w:tc>
      </w:tr>
      <w:tr w:rsidR="00416D67" w:rsidRPr="00416D67" w14:paraId="37BAB57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C26C89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34</w:t>
            </w:r>
          </w:p>
        </w:tc>
        <w:tc>
          <w:tcPr>
            <w:tcW w:w="8106" w:type="dxa"/>
            <w:tcBorders>
              <w:top w:val="single" w:sz="4" w:space="0" w:color="auto"/>
              <w:left w:val="nil"/>
              <w:bottom w:val="single" w:sz="4" w:space="0" w:color="auto"/>
              <w:right w:val="single" w:sz="4" w:space="0" w:color="auto"/>
            </w:tcBorders>
            <w:noWrap/>
            <w:vAlign w:val="bottom"/>
            <w:hideMark/>
          </w:tcPr>
          <w:p w14:paraId="06E9152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Financijski rashodi</w:t>
            </w:r>
          </w:p>
        </w:tc>
        <w:tc>
          <w:tcPr>
            <w:tcW w:w="1095" w:type="dxa"/>
            <w:tcBorders>
              <w:top w:val="single" w:sz="4" w:space="0" w:color="auto"/>
              <w:left w:val="nil"/>
              <w:bottom w:val="single" w:sz="4" w:space="0" w:color="auto"/>
              <w:right w:val="single" w:sz="4" w:space="0" w:color="auto"/>
            </w:tcBorders>
            <w:noWrap/>
            <w:vAlign w:val="bottom"/>
            <w:hideMark/>
          </w:tcPr>
          <w:p w14:paraId="36DE498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5.550,00</w:t>
            </w:r>
          </w:p>
        </w:tc>
        <w:tc>
          <w:tcPr>
            <w:tcW w:w="1070" w:type="dxa"/>
            <w:tcBorders>
              <w:top w:val="single" w:sz="4" w:space="0" w:color="auto"/>
              <w:left w:val="nil"/>
              <w:bottom w:val="single" w:sz="4" w:space="0" w:color="auto"/>
              <w:right w:val="single" w:sz="4" w:space="0" w:color="auto"/>
            </w:tcBorders>
            <w:noWrap/>
            <w:vAlign w:val="bottom"/>
            <w:hideMark/>
          </w:tcPr>
          <w:p w14:paraId="08B75BE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5.550,00</w:t>
            </w:r>
          </w:p>
        </w:tc>
        <w:tc>
          <w:tcPr>
            <w:tcW w:w="1095" w:type="dxa"/>
            <w:tcBorders>
              <w:top w:val="single" w:sz="4" w:space="0" w:color="auto"/>
              <w:left w:val="nil"/>
              <w:bottom w:val="single" w:sz="4" w:space="0" w:color="auto"/>
              <w:right w:val="single" w:sz="4" w:space="0" w:color="auto"/>
            </w:tcBorders>
            <w:noWrap/>
            <w:vAlign w:val="bottom"/>
            <w:hideMark/>
          </w:tcPr>
          <w:p w14:paraId="7D4E0FB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3.809,17</w:t>
            </w:r>
          </w:p>
        </w:tc>
        <w:tc>
          <w:tcPr>
            <w:tcW w:w="918" w:type="dxa"/>
            <w:tcBorders>
              <w:top w:val="single" w:sz="4" w:space="0" w:color="auto"/>
              <w:left w:val="nil"/>
              <w:bottom w:val="single" w:sz="4" w:space="0" w:color="auto"/>
              <w:right w:val="single" w:sz="4" w:space="0" w:color="auto"/>
            </w:tcBorders>
            <w:noWrap/>
            <w:vAlign w:val="bottom"/>
            <w:hideMark/>
          </w:tcPr>
          <w:p w14:paraId="36BE25B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68,63%</w:t>
            </w:r>
          </w:p>
        </w:tc>
      </w:tr>
      <w:tr w:rsidR="00416D67" w:rsidRPr="00416D67" w14:paraId="1677800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0D0DFCA" w14:textId="77777777" w:rsidR="00416D67" w:rsidRPr="00416D67" w:rsidRDefault="00416D67" w:rsidP="00416D67">
            <w:pPr>
              <w:rPr>
                <w:rFonts w:ascii="Arial" w:hAnsi="Arial" w:cs="Arial"/>
                <w:sz w:val="14"/>
                <w:szCs w:val="14"/>
              </w:rPr>
            </w:pPr>
            <w:r w:rsidRPr="00416D67">
              <w:rPr>
                <w:rFonts w:ascii="Arial" w:hAnsi="Arial" w:cs="Arial"/>
                <w:sz w:val="14"/>
                <w:szCs w:val="14"/>
              </w:rPr>
              <w:t>3423</w:t>
            </w:r>
          </w:p>
        </w:tc>
        <w:tc>
          <w:tcPr>
            <w:tcW w:w="8106" w:type="dxa"/>
            <w:tcBorders>
              <w:top w:val="single" w:sz="4" w:space="0" w:color="auto"/>
              <w:left w:val="nil"/>
              <w:bottom w:val="single" w:sz="4" w:space="0" w:color="auto"/>
              <w:right w:val="single" w:sz="4" w:space="0" w:color="auto"/>
            </w:tcBorders>
            <w:noWrap/>
            <w:vAlign w:val="bottom"/>
            <w:hideMark/>
          </w:tcPr>
          <w:p w14:paraId="38261363" w14:textId="77777777" w:rsidR="00416D67" w:rsidRPr="00416D67" w:rsidRDefault="00416D67" w:rsidP="00416D67">
            <w:pPr>
              <w:rPr>
                <w:rFonts w:ascii="Arial" w:hAnsi="Arial" w:cs="Arial"/>
                <w:sz w:val="14"/>
                <w:szCs w:val="14"/>
              </w:rPr>
            </w:pPr>
            <w:r w:rsidRPr="00416D67">
              <w:rPr>
                <w:rFonts w:ascii="Arial" w:hAnsi="Arial" w:cs="Arial"/>
                <w:sz w:val="14"/>
                <w:szCs w:val="14"/>
              </w:rPr>
              <w:t>Kamate za primljene kredite i zajmove od kreditnih i ostalih financijskih institucija izvan javnog s</w:t>
            </w:r>
          </w:p>
        </w:tc>
        <w:tc>
          <w:tcPr>
            <w:tcW w:w="1095" w:type="dxa"/>
            <w:tcBorders>
              <w:top w:val="single" w:sz="4" w:space="0" w:color="auto"/>
              <w:left w:val="nil"/>
              <w:bottom w:val="single" w:sz="4" w:space="0" w:color="auto"/>
              <w:right w:val="single" w:sz="4" w:space="0" w:color="auto"/>
            </w:tcBorders>
            <w:noWrap/>
            <w:vAlign w:val="bottom"/>
            <w:hideMark/>
          </w:tcPr>
          <w:p w14:paraId="27C28FF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E1A9A4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D9D669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3.809,17</w:t>
            </w:r>
          </w:p>
        </w:tc>
        <w:tc>
          <w:tcPr>
            <w:tcW w:w="918" w:type="dxa"/>
            <w:tcBorders>
              <w:top w:val="single" w:sz="4" w:space="0" w:color="auto"/>
              <w:left w:val="nil"/>
              <w:bottom w:val="single" w:sz="4" w:space="0" w:color="auto"/>
              <w:right w:val="single" w:sz="4" w:space="0" w:color="auto"/>
            </w:tcBorders>
            <w:noWrap/>
            <w:vAlign w:val="bottom"/>
            <w:hideMark/>
          </w:tcPr>
          <w:p w14:paraId="6A749B5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10D262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177E50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51</w:t>
            </w:r>
          </w:p>
        </w:tc>
        <w:tc>
          <w:tcPr>
            <w:tcW w:w="8106" w:type="dxa"/>
            <w:tcBorders>
              <w:top w:val="single" w:sz="4" w:space="0" w:color="auto"/>
              <w:left w:val="nil"/>
              <w:bottom w:val="single" w:sz="4" w:space="0" w:color="auto"/>
              <w:right w:val="single" w:sz="4" w:space="0" w:color="auto"/>
            </w:tcBorders>
            <w:noWrap/>
            <w:vAlign w:val="bottom"/>
            <w:hideMark/>
          </w:tcPr>
          <w:p w14:paraId="6F9974B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Izdaci za dane zajmove i </w:t>
            </w:r>
            <w:proofErr w:type="spellStart"/>
            <w:r w:rsidRPr="00416D67">
              <w:rPr>
                <w:rFonts w:ascii="Arial" w:hAnsi="Arial" w:cs="Arial"/>
                <w:b/>
                <w:bCs/>
                <w:sz w:val="14"/>
                <w:szCs w:val="14"/>
              </w:rPr>
              <w:t>jamčevne</w:t>
            </w:r>
            <w:proofErr w:type="spellEnd"/>
            <w:r w:rsidRPr="00416D67">
              <w:rPr>
                <w:rFonts w:ascii="Arial" w:hAnsi="Arial" w:cs="Arial"/>
                <w:b/>
                <w:bCs/>
                <w:sz w:val="14"/>
                <w:szCs w:val="14"/>
              </w:rPr>
              <w:t xml:space="preserve"> </w:t>
            </w:r>
            <w:proofErr w:type="spellStart"/>
            <w:r w:rsidRPr="00416D67">
              <w:rPr>
                <w:rFonts w:ascii="Arial" w:hAnsi="Arial" w:cs="Arial"/>
                <w:b/>
                <w:bCs/>
                <w:sz w:val="14"/>
                <w:szCs w:val="14"/>
              </w:rPr>
              <w:t>pologe</w:t>
            </w:r>
            <w:proofErr w:type="spellEnd"/>
          </w:p>
        </w:tc>
        <w:tc>
          <w:tcPr>
            <w:tcW w:w="1095" w:type="dxa"/>
            <w:tcBorders>
              <w:top w:val="single" w:sz="4" w:space="0" w:color="auto"/>
              <w:left w:val="nil"/>
              <w:bottom w:val="single" w:sz="4" w:space="0" w:color="auto"/>
              <w:right w:val="single" w:sz="4" w:space="0" w:color="auto"/>
            </w:tcBorders>
            <w:noWrap/>
            <w:vAlign w:val="bottom"/>
            <w:hideMark/>
          </w:tcPr>
          <w:p w14:paraId="6D1F550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40.000,00</w:t>
            </w:r>
          </w:p>
        </w:tc>
        <w:tc>
          <w:tcPr>
            <w:tcW w:w="1070" w:type="dxa"/>
            <w:tcBorders>
              <w:top w:val="single" w:sz="4" w:space="0" w:color="auto"/>
              <w:left w:val="nil"/>
              <w:bottom w:val="single" w:sz="4" w:space="0" w:color="auto"/>
              <w:right w:val="single" w:sz="4" w:space="0" w:color="auto"/>
            </w:tcBorders>
            <w:noWrap/>
            <w:vAlign w:val="bottom"/>
            <w:hideMark/>
          </w:tcPr>
          <w:p w14:paraId="660E4DC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40.000,00</w:t>
            </w:r>
          </w:p>
        </w:tc>
        <w:tc>
          <w:tcPr>
            <w:tcW w:w="1095" w:type="dxa"/>
            <w:tcBorders>
              <w:top w:val="single" w:sz="4" w:space="0" w:color="auto"/>
              <w:left w:val="nil"/>
              <w:bottom w:val="single" w:sz="4" w:space="0" w:color="auto"/>
              <w:right w:val="single" w:sz="4" w:space="0" w:color="auto"/>
            </w:tcBorders>
            <w:noWrap/>
            <w:vAlign w:val="bottom"/>
            <w:hideMark/>
          </w:tcPr>
          <w:p w14:paraId="4DCBA45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186C628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166DA19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07E17E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54</w:t>
            </w:r>
          </w:p>
        </w:tc>
        <w:tc>
          <w:tcPr>
            <w:tcW w:w="8106" w:type="dxa"/>
            <w:tcBorders>
              <w:top w:val="single" w:sz="4" w:space="0" w:color="auto"/>
              <w:left w:val="nil"/>
              <w:bottom w:val="single" w:sz="4" w:space="0" w:color="auto"/>
              <w:right w:val="single" w:sz="4" w:space="0" w:color="auto"/>
            </w:tcBorders>
            <w:noWrap/>
            <w:vAlign w:val="bottom"/>
            <w:hideMark/>
          </w:tcPr>
          <w:p w14:paraId="4067384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Izdaci za otplatu glavnice primljenih kredita i zajmova</w:t>
            </w:r>
          </w:p>
        </w:tc>
        <w:tc>
          <w:tcPr>
            <w:tcW w:w="1095" w:type="dxa"/>
            <w:tcBorders>
              <w:top w:val="single" w:sz="4" w:space="0" w:color="auto"/>
              <w:left w:val="nil"/>
              <w:bottom w:val="single" w:sz="4" w:space="0" w:color="auto"/>
              <w:right w:val="single" w:sz="4" w:space="0" w:color="auto"/>
            </w:tcBorders>
            <w:noWrap/>
            <w:vAlign w:val="bottom"/>
            <w:hideMark/>
          </w:tcPr>
          <w:p w14:paraId="52E5F8D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71.429,76</w:t>
            </w:r>
          </w:p>
        </w:tc>
        <w:tc>
          <w:tcPr>
            <w:tcW w:w="1070" w:type="dxa"/>
            <w:tcBorders>
              <w:top w:val="single" w:sz="4" w:space="0" w:color="auto"/>
              <w:left w:val="nil"/>
              <w:bottom w:val="single" w:sz="4" w:space="0" w:color="auto"/>
              <w:right w:val="single" w:sz="4" w:space="0" w:color="auto"/>
            </w:tcBorders>
            <w:noWrap/>
            <w:vAlign w:val="bottom"/>
            <w:hideMark/>
          </w:tcPr>
          <w:p w14:paraId="5B8756A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71.429,76</w:t>
            </w:r>
          </w:p>
        </w:tc>
        <w:tc>
          <w:tcPr>
            <w:tcW w:w="1095" w:type="dxa"/>
            <w:tcBorders>
              <w:top w:val="single" w:sz="4" w:space="0" w:color="auto"/>
              <w:left w:val="nil"/>
              <w:bottom w:val="single" w:sz="4" w:space="0" w:color="auto"/>
              <w:right w:val="single" w:sz="4" w:space="0" w:color="auto"/>
            </w:tcBorders>
            <w:noWrap/>
            <w:vAlign w:val="bottom"/>
            <w:hideMark/>
          </w:tcPr>
          <w:p w14:paraId="7213E74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71.429,76</w:t>
            </w:r>
          </w:p>
        </w:tc>
        <w:tc>
          <w:tcPr>
            <w:tcW w:w="918" w:type="dxa"/>
            <w:tcBorders>
              <w:top w:val="single" w:sz="4" w:space="0" w:color="auto"/>
              <w:left w:val="nil"/>
              <w:bottom w:val="single" w:sz="4" w:space="0" w:color="auto"/>
              <w:right w:val="single" w:sz="4" w:space="0" w:color="auto"/>
            </w:tcBorders>
            <w:noWrap/>
            <w:vAlign w:val="bottom"/>
            <w:hideMark/>
          </w:tcPr>
          <w:p w14:paraId="009CB23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3163B2F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6DD5E93" w14:textId="77777777" w:rsidR="00416D67" w:rsidRPr="00416D67" w:rsidRDefault="00416D67" w:rsidP="00416D67">
            <w:pPr>
              <w:rPr>
                <w:rFonts w:ascii="Arial" w:hAnsi="Arial" w:cs="Arial"/>
                <w:sz w:val="14"/>
                <w:szCs w:val="14"/>
              </w:rPr>
            </w:pPr>
            <w:r w:rsidRPr="00416D67">
              <w:rPr>
                <w:rFonts w:ascii="Arial" w:hAnsi="Arial" w:cs="Arial"/>
                <w:sz w:val="14"/>
                <w:szCs w:val="14"/>
              </w:rPr>
              <w:t>5443</w:t>
            </w:r>
          </w:p>
        </w:tc>
        <w:tc>
          <w:tcPr>
            <w:tcW w:w="8106" w:type="dxa"/>
            <w:tcBorders>
              <w:top w:val="single" w:sz="4" w:space="0" w:color="auto"/>
              <w:left w:val="nil"/>
              <w:bottom w:val="single" w:sz="4" w:space="0" w:color="auto"/>
              <w:right w:val="single" w:sz="4" w:space="0" w:color="auto"/>
            </w:tcBorders>
            <w:noWrap/>
            <w:vAlign w:val="bottom"/>
            <w:hideMark/>
          </w:tcPr>
          <w:p w14:paraId="7581F345" w14:textId="77777777" w:rsidR="00416D67" w:rsidRPr="00416D67" w:rsidRDefault="00416D67" w:rsidP="00416D67">
            <w:pPr>
              <w:rPr>
                <w:rFonts w:ascii="Arial" w:hAnsi="Arial" w:cs="Arial"/>
                <w:sz w:val="14"/>
                <w:szCs w:val="14"/>
              </w:rPr>
            </w:pPr>
            <w:r w:rsidRPr="00416D67">
              <w:rPr>
                <w:rFonts w:ascii="Arial" w:hAnsi="Arial" w:cs="Arial"/>
                <w:sz w:val="14"/>
                <w:szCs w:val="14"/>
              </w:rPr>
              <w:t>Otplata glavnice primljenih kredita od tuzemnih kreditnih institucija izvan javnog sektora</w:t>
            </w:r>
          </w:p>
        </w:tc>
        <w:tc>
          <w:tcPr>
            <w:tcW w:w="1095" w:type="dxa"/>
            <w:tcBorders>
              <w:top w:val="single" w:sz="4" w:space="0" w:color="auto"/>
              <w:left w:val="nil"/>
              <w:bottom w:val="single" w:sz="4" w:space="0" w:color="auto"/>
              <w:right w:val="single" w:sz="4" w:space="0" w:color="auto"/>
            </w:tcBorders>
            <w:noWrap/>
            <w:vAlign w:val="bottom"/>
            <w:hideMark/>
          </w:tcPr>
          <w:p w14:paraId="155E99A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939C6B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889C1B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71.429,76</w:t>
            </w:r>
          </w:p>
        </w:tc>
        <w:tc>
          <w:tcPr>
            <w:tcW w:w="918" w:type="dxa"/>
            <w:tcBorders>
              <w:top w:val="single" w:sz="4" w:space="0" w:color="auto"/>
              <w:left w:val="nil"/>
              <w:bottom w:val="single" w:sz="4" w:space="0" w:color="auto"/>
              <w:right w:val="single" w:sz="4" w:space="0" w:color="auto"/>
            </w:tcBorders>
            <w:noWrap/>
            <w:vAlign w:val="bottom"/>
            <w:hideMark/>
          </w:tcPr>
          <w:p w14:paraId="07D92B6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1EE7FE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8D47FD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A100039</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6B3884F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Potpora Sveučilištu Jurja Dobrile u Puli  za uređenje studentskog centra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250C95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204A27C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7E547F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1207024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05CC9C5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5ADD0A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 Višak prihoda ranijih godina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829992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EE5B09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CB4132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350976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33919A8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5967440"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9.1.1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7F6690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328311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7EF5F3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524E5D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5792B57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3E1324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36</w:t>
            </w:r>
          </w:p>
        </w:tc>
        <w:tc>
          <w:tcPr>
            <w:tcW w:w="8106" w:type="dxa"/>
            <w:tcBorders>
              <w:top w:val="single" w:sz="4" w:space="0" w:color="auto"/>
              <w:left w:val="nil"/>
              <w:bottom w:val="single" w:sz="4" w:space="0" w:color="auto"/>
              <w:right w:val="single" w:sz="4" w:space="0" w:color="auto"/>
            </w:tcBorders>
            <w:noWrap/>
            <w:vAlign w:val="bottom"/>
            <w:hideMark/>
          </w:tcPr>
          <w:p w14:paraId="2153ECA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Pomoći dane u inozemstvo i unutar općeg proračuna</w:t>
            </w:r>
          </w:p>
        </w:tc>
        <w:tc>
          <w:tcPr>
            <w:tcW w:w="1095" w:type="dxa"/>
            <w:tcBorders>
              <w:top w:val="single" w:sz="4" w:space="0" w:color="auto"/>
              <w:left w:val="nil"/>
              <w:bottom w:val="single" w:sz="4" w:space="0" w:color="auto"/>
              <w:right w:val="single" w:sz="4" w:space="0" w:color="auto"/>
            </w:tcBorders>
            <w:noWrap/>
            <w:vAlign w:val="bottom"/>
            <w:hideMark/>
          </w:tcPr>
          <w:p w14:paraId="2BAB529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10.000,00</w:t>
            </w:r>
          </w:p>
        </w:tc>
        <w:tc>
          <w:tcPr>
            <w:tcW w:w="1070" w:type="dxa"/>
            <w:tcBorders>
              <w:top w:val="single" w:sz="4" w:space="0" w:color="auto"/>
              <w:left w:val="nil"/>
              <w:bottom w:val="single" w:sz="4" w:space="0" w:color="auto"/>
              <w:right w:val="single" w:sz="4" w:space="0" w:color="auto"/>
            </w:tcBorders>
            <w:noWrap/>
            <w:vAlign w:val="bottom"/>
            <w:hideMark/>
          </w:tcPr>
          <w:p w14:paraId="668BFEA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10.000,00</w:t>
            </w:r>
          </w:p>
        </w:tc>
        <w:tc>
          <w:tcPr>
            <w:tcW w:w="1095" w:type="dxa"/>
            <w:tcBorders>
              <w:top w:val="single" w:sz="4" w:space="0" w:color="auto"/>
              <w:left w:val="nil"/>
              <w:bottom w:val="single" w:sz="4" w:space="0" w:color="auto"/>
              <w:right w:val="single" w:sz="4" w:space="0" w:color="auto"/>
            </w:tcBorders>
            <w:noWrap/>
            <w:vAlign w:val="bottom"/>
            <w:hideMark/>
          </w:tcPr>
          <w:p w14:paraId="23B48B4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10.000,00</w:t>
            </w:r>
          </w:p>
        </w:tc>
        <w:tc>
          <w:tcPr>
            <w:tcW w:w="918" w:type="dxa"/>
            <w:tcBorders>
              <w:top w:val="single" w:sz="4" w:space="0" w:color="auto"/>
              <w:left w:val="nil"/>
              <w:bottom w:val="single" w:sz="4" w:space="0" w:color="auto"/>
              <w:right w:val="single" w:sz="4" w:space="0" w:color="auto"/>
            </w:tcBorders>
            <w:noWrap/>
            <w:vAlign w:val="bottom"/>
            <w:hideMark/>
          </w:tcPr>
          <w:p w14:paraId="604F26D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6C86591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2496802" w14:textId="77777777" w:rsidR="00416D67" w:rsidRPr="00416D67" w:rsidRDefault="00416D67" w:rsidP="00416D67">
            <w:pPr>
              <w:rPr>
                <w:rFonts w:ascii="Arial" w:hAnsi="Arial" w:cs="Arial"/>
                <w:sz w:val="14"/>
                <w:szCs w:val="14"/>
              </w:rPr>
            </w:pPr>
            <w:r w:rsidRPr="00416D67">
              <w:rPr>
                <w:rFonts w:ascii="Arial" w:hAnsi="Arial" w:cs="Arial"/>
                <w:sz w:val="14"/>
                <w:szCs w:val="14"/>
              </w:rPr>
              <w:t>3662</w:t>
            </w:r>
          </w:p>
        </w:tc>
        <w:tc>
          <w:tcPr>
            <w:tcW w:w="8106" w:type="dxa"/>
            <w:tcBorders>
              <w:top w:val="single" w:sz="4" w:space="0" w:color="auto"/>
              <w:left w:val="nil"/>
              <w:bottom w:val="single" w:sz="4" w:space="0" w:color="auto"/>
              <w:right w:val="single" w:sz="4" w:space="0" w:color="auto"/>
            </w:tcBorders>
            <w:noWrap/>
            <w:vAlign w:val="bottom"/>
            <w:hideMark/>
          </w:tcPr>
          <w:p w14:paraId="4527E846" w14:textId="77777777" w:rsidR="00416D67" w:rsidRPr="00416D67" w:rsidRDefault="00416D67" w:rsidP="00416D67">
            <w:pPr>
              <w:rPr>
                <w:rFonts w:ascii="Arial" w:hAnsi="Arial" w:cs="Arial"/>
                <w:sz w:val="14"/>
                <w:szCs w:val="14"/>
              </w:rPr>
            </w:pPr>
            <w:r w:rsidRPr="00416D67">
              <w:rPr>
                <w:rFonts w:ascii="Arial" w:hAnsi="Arial" w:cs="Arial"/>
                <w:sz w:val="14"/>
                <w:szCs w:val="14"/>
              </w:rPr>
              <w:t>Kapitalne pomoći proračunskim korisnicima drugih proračuna</w:t>
            </w:r>
          </w:p>
        </w:tc>
        <w:tc>
          <w:tcPr>
            <w:tcW w:w="1095" w:type="dxa"/>
            <w:tcBorders>
              <w:top w:val="single" w:sz="4" w:space="0" w:color="auto"/>
              <w:left w:val="nil"/>
              <w:bottom w:val="single" w:sz="4" w:space="0" w:color="auto"/>
              <w:right w:val="single" w:sz="4" w:space="0" w:color="auto"/>
            </w:tcBorders>
            <w:noWrap/>
            <w:vAlign w:val="bottom"/>
            <w:hideMark/>
          </w:tcPr>
          <w:p w14:paraId="27068D3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1642AE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ACEDB6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10.000,00</w:t>
            </w:r>
          </w:p>
        </w:tc>
        <w:tc>
          <w:tcPr>
            <w:tcW w:w="918" w:type="dxa"/>
            <w:tcBorders>
              <w:top w:val="single" w:sz="4" w:space="0" w:color="auto"/>
              <w:left w:val="nil"/>
              <w:bottom w:val="single" w:sz="4" w:space="0" w:color="auto"/>
              <w:right w:val="single" w:sz="4" w:space="0" w:color="auto"/>
            </w:tcBorders>
            <w:noWrap/>
            <w:vAlign w:val="bottom"/>
            <w:hideMark/>
          </w:tcPr>
          <w:p w14:paraId="2CC3BF1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5B8F42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915176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A100040</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3930C0D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Aktivnost: Potpora Istarskoj </w:t>
            </w:r>
            <w:proofErr w:type="spellStart"/>
            <w:r w:rsidRPr="00416D67">
              <w:rPr>
                <w:rFonts w:ascii="Arial" w:hAnsi="Arial" w:cs="Arial"/>
                <w:b/>
                <w:bCs/>
                <w:sz w:val="14"/>
                <w:szCs w:val="14"/>
              </w:rPr>
              <w:t>županij</w:t>
            </w:r>
            <w:proofErr w:type="spellEnd"/>
            <w:r w:rsidRPr="00416D67">
              <w:rPr>
                <w:rFonts w:ascii="Arial" w:hAnsi="Arial" w:cs="Arial"/>
                <w:b/>
                <w:bCs/>
                <w:sz w:val="14"/>
                <w:szCs w:val="14"/>
              </w:rPr>
              <w:t xml:space="preserve"> -sufinanciranje rada na izdavanju rješenja za legalizaciju objekata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E629E8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10.500,00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48691B4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10.500,00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3494CE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9.273,00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2E177A3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88,31%</w:t>
            </w:r>
          </w:p>
        </w:tc>
      </w:tr>
      <w:tr w:rsidR="00416D67" w:rsidRPr="00416D67" w14:paraId="0D2DD72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37AD73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A9FB73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C44AF7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20B628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9.273,00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9D0DFF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88,31%</w:t>
            </w:r>
          </w:p>
        </w:tc>
      </w:tr>
      <w:tr w:rsidR="00416D67" w:rsidRPr="00416D67" w14:paraId="334D929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A4091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9FDEFA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DE0B9C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1430F4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9.273,00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4AD316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88,31%</w:t>
            </w:r>
          </w:p>
        </w:tc>
      </w:tr>
      <w:tr w:rsidR="00416D67" w:rsidRPr="00416D67" w14:paraId="70E07E8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1FC7D3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36</w:t>
            </w:r>
          </w:p>
        </w:tc>
        <w:tc>
          <w:tcPr>
            <w:tcW w:w="8106" w:type="dxa"/>
            <w:tcBorders>
              <w:top w:val="single" w:sz="4" w:space="0" w:color="auto"/>
              <w:left w:val="nil"/>
              <w:bottom w:val="single" w:sz="4" w:space="0" w:color="auto"/>
              <w:right w:val="single" w:sz="4" w:space="0" w:color="auto"/>
            </w:tcBorders>
            <w:noWrap/>
            <w:vAlign w:val="bottom"/>
            <w:hideMark/>
          </w:tcPr>
          <w:p w14:paraId="0E5DB90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Pomoći dane u inozemstvo i unutar općeg proračuna</w:t>
            </w:r>
          </w:p>
        </w:tc>
        <w:tc>
          <w:tcPr>
            <w:tcW w:w="1095" w:type="dxa"/>
            <w:tcBorders>
              <w:top w:val="single" w:sz="4" w:space="0" w:color="auto"/>
              <w:left w:val="nil"/>
              <w:bottom w:val="single" w:sz="4" w:space="0" w:color="auto"/>
              <w:right w:val="single" w:sz="4" w:space="0" w:color="auto"/>
            </w:tcBorders>
            <w:noWrap/>
            <w:vAlign w:val="bottom"/>
            <w:hideMark/>
          </w:tcPr>
          <w:p w14:paraId="3C90CF1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10.500,00</w:t>
            </w:r>
          </w:p>
        </w:tc>
        <w:tc>
          <w:tcPr>
            <w:tcW w:w="1070" w:type="dxa"/>
            <w:tcBorders>
              <w:top w:val="single" w:sz="4" w:space="0" w:color="auto"/>
              <w:left w:val="nil"/>
              <w:bottom w:val="single" w:sz="4" w:space="0" w:color="auto"/>
              <w:right w:val="single" w:sz="4" w:space="0" w:color="auto"/>
            </w:tcBorders>
            <w:noWrap/>
            <w:vAlign w:val="bottom"/>
            <w:hideMark/>
          </w:tcPr>
          <w:p w14:paraId="1A645A2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10.500,00</w:t>
            </w:r>
          </w:p>
        </w:tc>
        <w:tc>
          <w:tcPr>
            <w:tcW w:w="1095" w:type="dxa"/>
            <w:tcBorders>
              <w:top w:val="single" w:sz="4" w:space="0" w:color="auto"/>
              <w:left w:val="nil"/>
              <w:bottom w:val="single" w:sz="4" w:space="0" w:color="auto"/>
              <w:right w:val="single" w:sz="4" w:space="0" w:color="auto"/>
            </w:tcBorders>
            <w:noWrap/>
            <w:vAlign w:val="bottom"/>
            <w:hideMark/>
          </w:tcPr>
          <w:p w14:paraId="16E34CA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9.273,00</w:t>
            </w:r>
          </w:p>
        </w:tc>
        <w:tc>
          <w:tcPr>
            <w:tcW w:w="918" w:type="dxa"/>
            <w:tcBorders>
              <w:top w:val="single" w:sz="4" w:space="0" w:color="auto"/>
              <w:left w:val="nil"/>
              <w:bottom w:val="single" w:sz="4" w:space="0" w:color="auto"/>
              <w:right w:val="single" w:sz="4" w:space="0" w:color="auto"/>
            </w:tcBorders>
            <w:noWrap/>
            <w:vAlign w:val="bottom"/>
            <w:hideMark/>
          </w:tcPr>
          <w:p w14:paraId="28FF9AC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88,31%</w:t>
            </w:r>
          </w:p>
        </w:tc>
      </w:tr>
      <w:tr w:rsidR="00416D67" w:rsidRPr="00416D67" w14:paraId="70DCFCB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F640060" w14:textId="77777777" w:rsidR="00416D67" w:rsidRPr="00416D67" w:rsidRDefault="00416D67" w:rsidP="00416D67">
            <w:pPr>
              <w:rPr>
                <w:rFonts w:ascii="Arial" w:hAnsi="Arial" w:cs="Arial"/>
                <w:sz w:val="14"/>
                <w:szCs w:val="14"/>
              </w:rPr>
            </w:pPr>
            <w:r w:rsidRPr="00416D67">
              <w:rPr>
                <w:rFonts w:ascii="Arial" w:hAnsi="Arial" w:cs="Arial"/>
                <w:sz w:val="14"/>
                <w:szCs w:val="14"/>
              </w:rPr>
              <w:t>3661</w:t>
            </w:r>
          </w:p>
        </w:tc>
        <w:tc>
          <w:tcPr>
            <w:tcW w:w="8106" w:type="dxa"/>
            <w:tcBorders>
              <w:top w:val="single" w:sz="4" w:space="0" w:color="auto"/>
              <w:left w:val="nil"/>
              <w:bottom w:val="single" w:sz="4" w:space="0" w:color="auto"/>
              <w:right w:val="single" w:sz="4" w:space="0" w:color="auto"/>
            </w:tcBorders>
            <w:noWrap/>
            <w:vAlign w:val="bottom"/>
            <w:hideMark/>
          </w:tcPr>
          <w:p w14:paraId="6A6F4734" w14:textId="77777777" w:rsidR="00416D67" w:rsidRPr="00416D67" w:rsidRDefault="00416D67" w:rsidP="00416D67">
            <w:pPr>
              <w:rPr>
                <w:rFonts w:ascii="Arial" w:hAnsi="Arial" w:cs="Arial"/>
                <w:sz w:val="14"/>
                <w:szCs w:val="14"/>
              </w:rPr>
            </w:pPr>
            <w:r w:rsidRPr="00416D67">
              <w:rPr>
                <w:rFonts w:ascii="Arial" w:hAnsi="Arial" w:cs="Arial"/>
                <w:sz w:val="14"/>
                <w:szCs w:val="14"/>
              </w:rPr>
              <w:t>Tekuće pomoći proračunskim korisnicima drugih proračuna</w:t>
            </w:r>
          </w:p>
        </w:tc>
        <w:tc>
          <w:tcPr>
            <w:tcW w:w="1095" w:type="dxa"/>
            <w:tcBorders>
              <w:top w:val="single" w:sz="4" w:space="0" w:color="auto"/>
              <w:left w:val="nil"/>
              <w:bottom w:val="single" w:sz="4" w:space="0" w:color="auto"/>
              <w:right w:val="single" w:sz="4" w:space="0" w:color="auto"/>
            </w:tcBorders>
            <w:noWrap/>
            <w:vAlign w:val="bottom"/>
            <w:hideMark/>
          </w:tcPr>
          <w:p w14:paraId="4A0B781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50C1C1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C9FA97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9.273,00</w:t>
            </w:r>
          </w:p>
        </w:tc>
        <w:tc>
          <w:tcPr>
            <w:tcW w:w="918" w:type="dxa"/>
            <w:tcBorders>
              <w:top w:val="single" w:sz="4" w:space="0" w:color="auto"/>
              <w:left w:val="nil"/>
              <w:bottom w:val="single" w:sz="4" w:space="0" w:color="auto"/>
              <w:right w:val="single" w:sz="4" w:space="0" w:color="auto"/>
            </w:tcBorders>
            <w:noWrap/>
            <w:vAlign w:val="bottom"/>
            <w:hideMark/>
          </w:tcPr>
          <w:p w14:paraId="043498F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93343B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8D6FEA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A100041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1AF3F2F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Sufinanciranje troškova portala bespravna gradnja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BBC73E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27B62E2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31600A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4E233EF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w:t>
            </w:r>
          </w:p>
        </w:tc>
      </w:tr>
      <w:tr w:rsidR="00416D67" w:rsidRPr="00416D67" w14:paraId="40255FDC" w14:textId="77777777" w:rsidTr="00BB1392">
        <w:trPr>
          <w:trHeight w:val="28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7EBA00A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Organizacijska klasifikacija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0B8B8FA"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07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99D1748"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A92CB11"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9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C8547EF"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2025/2024.           (3/2)</w:t>
            </w:r>
          </w:p>
        </w:tc>
      </w:tr>
      <w:tr w:rsidR="00416D67" w:rsidRPr="00416D67" w14:paraId="1669D95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74DB521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Izvori</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1CE8132B"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0E342D12"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02B1B3DB"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764D8164" w14:textId="77777777" w:rsidR="00416D67" w:rsidRPr="00416D67" w:rsidRDefault="00416D67" w:rsidP="00416D67">
            <w:pPr>
              <w:rPr>
                <w:rFonts w:ascii="Arial" w:hAnsi="Arial" w:cs="Arial"/>
                <w:sz w:val="14"/>
                <w:szCs w:val="14"/>
              </w:rPr>
            </w:pPr>
          </w:p>
        </w:tc>
      </w:tr>
      <w:tr w:rsidR="00416D67" w:rsidRPr="00416D67" w14:paraId="70F2A5A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000000"/>
            </w:tcBorders>
            <w:shd w:val="clear" w:color="000000" w:fill="D9D9D9"/>
            <w:hideMark/>
          </w:tcPr>
          <w:p w14:paraId="75C27F8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Projekt/Aktivnost</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41A3DB27"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461B311F"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1C3856D1"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386760A0" w14:textId="77777777" w:rsidR="00416D67" w:rsidRPr="00416D67" w:rsidRDefault="00416D67" w:rsidP="00416D67">
            <w:pPr>
              <w:rPr>
                <w:rFonts w:ascii="Arial" w:hAnsi="Arial" w:cs="Arial"/>
                <w:sz w:val="14"/>
                <w:szCs w:val="14"/>
              </w:rPr>
            </w:pPr>
          </w:p>
        </w:tc>
      </w:tr>
      <w:tr w:rsidR="00416D67" w:rsidRPr="00416D67" w14:paraId="6B37C53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7C9D51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50133C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A2BC09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B8756C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21859B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w:t>
            </w:r>
          </w:p>
        </w:tc>
      </w:tr>
      <w:tr w:rsidR="00416D67" w:rsidRPr="00416D67" w14:paraId="337EE81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596684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62AA7B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D6FBA2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244E18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78DBC5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w:t>
            </w:r>
          </w:p>
        </w:tc>
      </w:tr>
      <w:tr w:rsidR="00416D67" w:rsidRPr="00416D67" w14:paraId="2BB830F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69B753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36</w:t>
            </w:r>
          </w:p>
        </w:tc>
        <w:tc>
          <w:tcPr>
            <w:tcW w:w="8106" w:type="dxa"/>
            <w:tcBorders>
              <w:top w:val="single" w:sz="4" w:space="0" w:color="auto"/>
              <w:left w:val="nil"/>
              <w:bottom w:val="single" w:sz="4" w:space="0" w:color="auto"/>
              <w:right w:val="single" w:sz="4" w:space="0" w:color="auto"/>
            </w:tcBorders>
            <w:noWrap/>
            <w:vAlign w:val="bottom"/>
            <w:hideMark/>
          </w:tcPr>
          <w:p w14:paraId="34EC2F7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Pomoći dane u inozemstvo i unutar općeg proračuna</w:t>
            </w:r>
          </w:p>
        </w:tc>
        <w:tc>
          <w:tcPr>
            <w:tcW w:w="1095" w:type="dxa"/>
            <w:tcBorders>
              <w:top w:val="single" w:sz="4" w:space="0" w:color="auto"/>
              <w:left w:val="nil"/>
              <w:bottom w:val="single" w:sz="4" w:space="0" w:color="auto"/>
              <w:right w:val="single" w:sz="4" w:space="0" w:color="auto"/>
            </w:tcBorders>
            <w:noWrap/>
            <w:vAlign w:val="bottom"/>
            <w:hideMark/>
          </w:tcPr>
          <w:p w14:paraId="63E5F7C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1070" w:type="dxa"/>
            <w:tcBorders>
              <w:top w:val="single" w:sz="4" w:space="0" w:color="auto"/>
              <w:left w:val="nil"/>
              <w:bottom w:val="single" w:sz="4" w:space="0" w:color="auto"/>
              <w:right w:val="single" w:sz="4" w:space="0" w:color="auto"/>
            </w:tcBorders>
            <w:noWrap/>
            <w:vAlign w:val="bottom"/>
            <w:hideMark/>
          </w:tcPr>
          <w:p w14:paraId="0860017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1095" w:type="dxa"/>
            <w:tcBorders>
              <w:top w:val="single" w:sz="4" w:space="0" w:color="auto"/>
              <w:left w:val="nil"/>
              <w:bottom w:val="single" w:sz="4" w:space="0" w:color="auto"/>
              <w:right w:val="single" w:sz="4" w:space="0" w:color="auto"/>
            </w:tcBorders>
            <w:noWrap/>
            <w:vAlign w:val="bottom"/>
            <w:hideMark/>
          </w:tcPr>
          <w:p w14:paraId="6625CA9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w:t>
            </w:r>
          </w:p>
        </w:tc>
        <w:tc>
          <w:tcPr>
            <w:tcW w:w="918" w:type="dxa"/>
            <w:tcBorders>
              <w:top w:val="single" w:sz="4" w:space="0" w:color="auto"/>
              <w:left w:val="nil"/>
              <w:bottom w:val="single" w:sz="4" w:space="0" w:color="auto"/>
              <w:right w:val="single" w:sz="4" w:space="0" w:color="auto"/>
            </w:tcBorders>
            <w:noWrap/>
            <w:vAlign w:val="bottom"/>
            <w:hideMark/>
          </w:tcPr>
          <w:p w14:paraId="52DAB75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w:t>
            </w:r>
          </w:p>
        </w:tc>
      </w:tr>
      <w:tr w:rsidR="00416D67" w:rsidRPr="00416D67" w14:paraId="595666A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43B3B96" w14:textId="77777777" w:rsidR="00416D67" w:rsidRPr="00416D67" w:rsidRDefault="00416D67" w:rsidP="00416D67">
            <w:pPr>
              <w:rPr>
                <w:rFonts w:ascii="Arial" w:hAnsi="Arial" w:cs="Arial"/>
                <w:sz w:val="14"/>
                <w:szCs w:val="14"/>
              </w:rPr>
            </w:pPr>
            <w:r w:rsidRPr="00416D67">
              <w:rPr>
                <w:rFonts w:ascii="Arial" w:hAnsi="Arial" w:cs="Arial"/>
                <w:sz w:val="14"/>
                <w:szCs w:val="14"/>
              </w:rPr>
              <w:t>3631</w:t>
            </w:r>
          </w:p>
        </w:tc>
        <w:tc>
          <w:tcPr>
            <w:tcW w:w="8106" w:type="dxa"/>
            <w:tcBorders>
              <w:top w:val="single" w:sz="4" w:space="0" w:color="auto"/>
              <w:left w:val="nil"/>
              <w:bottom w:val="single" w:sz="4" w:space="0" w:color="auto"/>
              <w:right w:val="single" w:sz="4" w:space="0" w:color="auto"/>
            </w:tcBorders>
            <w:noWrap/>
            <w:vAlign w:val="bottom"/>
            <w:hideMark/>
          </w:tcPr>
          <w:p w14:paraId="7F69CABF" w14:textId="77777777" w:rsidR="00416D67" w:rsidRPr="00416D67" w:rsidRDefault="00416D67" w:rsidP="00416D67">
            <w:pPr>
              <w:rPr>
                <w:rFonts w:ascii="Arial" w:hAnsi="Arial" w:cs="Arial"/>
                <w:sz w:val="14"/>
                <w:szCs w:val="14"/>
              </w:rPr>
            </w:pPr>
            <w:r w:rsidRPr="00416D67">
              <w:rPr>
                <w:rFonts w:ascii="Arial" w:hAnsi="Arial" w:cs="Arial"/>
                <w:sz w:val="14"/>
                <w:szCs w:val="14"/>
              </w:rPr>
              <w:t>Tekuće pomoći drugom proračunu i izvanproračunskim korisnicima</w:t>
            </w:r>
          </w:p>
        </w:tc>
        <w:tc>
          <w:tcPr>
            <w:tcW w:w="1095" w:type="dxa"/>
            <w:tcBorders>
              <w:top w:val="single" w:sz="4" w:space="0" w:color="auto"/>
              <w:left w:val="nil"/>
              <w:bottom w:val="single" w:sz="4" w:space="0" w:color="auto"/>
              <w:right w:val="single" w:sz="4" w:space="0" w:color="auto"/>
            </w:tcBorders>
            <w:noWrap/>
            <w:vAlign w:val="bottom"/>
            <w:hideMark/>
          </w:tcPr>
          <w:p w14:paraId="1893F8C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FBA9ED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56D583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200,00</w:t>
            </w:r>
          </w:p>
        </w:tc>
        <w:tc>
          <w:tcPr>
            <w:tcW w:w="918" w:type="dxa"/>
            <w:tcBorders>
              <w:top w:val="single" w:sz="4" w:space="0" w:color="auto"/>
              <w:left w:val="nil"/>
              <w:bottom w:val="single" w:sz="4" w:space="0" w:color="auto"/>
              <w:right w:val="single" w:sz="4" w:space="0" w:color="auto"/>
            </w:tcBorders>
            <w:noWrap/>
            <w:vAlign w:val="bottom"/>
            <w:hideMark/>
          </w:tcPr>
          <w:p w14:paraId="3EDDAD8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6F430B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62AC523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3011</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07DA90A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Program: Stambeno zbrinjavanje mladih obitelji na selu</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66ECF30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50.000,00</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2B33ED2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50.000,00</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021E691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63B30C8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7B4B672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0FEE57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0DB66E3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Kapitalni projekt: Stambeno zbrinjavanje mladih obitelji na selu</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AAECEE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0F436F9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91CFC9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5813666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4803ED8C"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6C26F0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 Višak prihoda ranijih godina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C29802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F2675F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188731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AB4754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36C9630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9BCFC0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9.1.1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21CC50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4BE568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50A8ED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116125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2593533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6E7CBF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6588C22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4A8E5DC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50.000,00</w:t>
            </w:r>
          </w:p>
        </w:tc>
        <w:tc>
          <w:tcPr>
            <w:tcW w:w="1070" w:type="dxa"/>
            <w:tcBorders>
              <w:top w:val="single" w:sz="4" w:space="0" w:color="auto"/>
              <w:left w:val="nil"/>
              <w:bottom w:val="single" w:sz="4" w:space="0" w:color="auto"/>
              <w:right w:val="single" w:sz="4" w:space="0" w:color="auto"/>
            </w:tcBorders>
            <w:noWrap/>
            <w:vAlign w:val="bottom"/>
            <w:hideMark/>
          </w:tcPr>
          <w:p w14:paraId="52B0EA9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50.000,00</w:t>
            </w:r>
          </w:p>
        </w:tc>
        <w:tc>
          <w:tcPr>
            <w:tcW w:w="1095" w:type="dxa"/>
            <w:tcBorders>
              <w:top w:val="single" w:sz="4" w:space="0" w:color="auto"/>
              <w:left w:val="nil"/>
              <w:bottom w:val="single" w:sz="4" w:space="0" w:color="auto"/>
              <w:right w:val="single" w:sz="4" w:space="0" w:color="auto"/>
            </w:tcBorders>
            <w:noWrap/>
            <w:vAlign w:val="bottom"/>
            <w:hideMark/>
          </w:tcPr>
          <w:p w14:paraId="6825A03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0681332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3AE3C56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1FEBC00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3020</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32332AC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PK 35597: Proračunski korisnik DV Vrtuljak Marčana 35597</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6FFD0AC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919.300,00</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59926E9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919.300,00</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61AAA1C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860.280,00</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6A0E1FB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93,58%</w:t>
            </w:r>
          </w:p>
        </w:tc>
      </w:tr>
      <w:tr w:rsidR="00416D67" w:rsidRPr="00416D67" w14:paraId="58167B8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F1938B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15A2A49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Administrativno, stručno i tehničko osoblje</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B903CD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872.519,00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077A1E9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872.519,00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2F3E8E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812.347,18</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123A0D2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93,10%</w:t>
            </w:r>
          </w:p>
        </w:tc>
      </w:tr>
      <w:tr w:rsidR="00416D67" w:rsidRPr="00416D67" w14:paraId="579EC7C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18E1AB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3A410E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706.490,00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8289AA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706.490,00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8C299F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648.808,38</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C997EB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91,84%</w:t>
            </w:r>
          </w:p>
        </w:tc>
      </w:tr>
      <w:tr w:rsidR="00416D67" w:rsidRPr="00416D67" w14:paraId="67058D2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1624DC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34F494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706.490,00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3BBDFA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706.490,00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980A08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648.808,38</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69AADA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91,84%</w:t>
            </w:r>
          </w:p>
        </w:tc>
      </w:tr>
      <w:tr w:rsidR="00416D67" w:rsidRPr="00416D67" w14:paraId="258DBED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B05F48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31</w:t>
            </w:r>
          </w:p>
        </w:tc>
        <w:tc>
          <w:tcPr>
            <w:tcW w:w="8106" w:type="dxa"/>
            <w:tcBorders>
              <w:top w:val="single" w:sz="4" w:space="0" w:color="auto"/>
              <w:left w:val="nil"/>
              <w:bottom w:val="single" w:sz="4" w:space="0" w:color="auto"/>
              <w:right w:val="single" w:sz="4" w:space="0" w:color="auto"/>
            </w:tcBorders>
            <w:noWrap/>
            <w:vAlign w:val="bottom"/>
            <w:hideMark/>
          </w:tcPr>
          <w:p w14:paraId="0E83B31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zaposlene</w:t>
            </w:r>
          </w:p>
        </w:tc>
        <w:tc>
          <w:tcPr>
            <w:tcW w:w="1095" w:type="dxa"/>
            <w:tcBorders>
              <w:top w:val="single" w:sz="4" w:space="0" w:color="auto"/>
              <w:left w:val="nil"/>
              <w:bottom w:val="single" w:sz="4" w:space="0" w:color="auto"/>
              <w:right w:val="single" w:sz="4" w:space="0" w:color="auto"/>
            </w:tcBorders>
            <w:noWrap/>
            <w:vAlign w:val="bottom"/>
            <w:hideMark/>
          </w:tcPr>
          <w:p w14:paraId="6D7977F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616.200,00</w:t>
            </w:r>
          </w:p>
        </w:tc>
        <w:tc>
          <w:tcPr>
            <w:tcW w:w="1070" w:type="dxa"/>
            <w:tcBorders>
              <w:top w:val="single" w:sz="4" w:space="0" w:color="auto"/>
              <w:left w:val="nil"/>
              <w:bottom w:val="single" w:sz="4" w:space="0" w:color="auto"/>
              <w:right w:val="single" w:sz="4" w:space="0" w:color="auto"/>
            </w:tcBorders>
            <w:noWrap/>
            <w:vAlign w:val="bottom"/>
            <w:hideMark/>
          </w:tcPr>
          <w:p w14:paraId="67FBB13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616.200,00</w:t>
            </w:r>
          </w:p>
        </w:tc>
        <w:tc>
          <w:tcPr>
            <w:tcW w:w="1095" w:type="dxa"/>
            <w:tcBorders>
              <w:top w:val="single" w:sz="4" w:space="0" w:color="auto"/>
              <w:left w:val="nil"/>
              <w:bottom w:val="single" w:sz="4" w:space="0" w:color="auto"/>
              <w:right w:val="single" w:sz="4" w:space="0" w:color="auto"/>
            </w:tcBorders>
            <w:noWrap/>
            <w:vAlign w:val="bottom"/>
            <w:hideMark/>
          </w:tcPr>
          <w:p w14:paraId="3DCB7D0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601.117,95</w:t>
            </w:r>
          </w:p>
        </w:tc>
        <w:tc>
          <w:tcPr>
            <w:tcW w:w="918" w:type="dxa"/>
            <w:tcBorders>
              <w:top w:val="single" w:sz="4" w:space="0" w:color="auto"/>
              <w:left w:val="nil"/>
              <w:bottom w:val="single" w:sz="4" w:space="0" w:color="auto"/>
              <w:right w:val="single" w:sz="4" w:space="0" w:color="auto"/>
            </w:tcBorders>
            <w:noWrap/>
            <w:vAlign w:val="bottom"/>
            <w:hideMark/>
          </w:tcPr>
          <w:p w14:paraId="42893A4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97,55%</w:t>
            </w:r>
          </w:p>
        </w:tc>
      </w:tr>
      <w:tr w:rsidR="00416D67" w:rsidRPr="00416D67" w14:paraId="1973983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9DEFA0C" w14:textId="77777777" w:rsidR="00416D67" w:rsidRPr="00416D67" w:rsidRDefault="00416D67" w:rsidP="00416D67">
            <w:pPr>
              <w:rPr>
                <w:rFonts w:ascii="Arial" w:hAnsi="Arial" w:cs="Arial"/>
                <w:sz w:val="14"/>
                <w:szCs w:val="14"/>
              </w:rPr>
            </w:pPr>
            <w:r w:rsidRPr="00416D67">
              <w:rPr>
                <w:rFonts w:ascii="Arial" w:hAnsi="Arial" w:cs="Arial"/>
                <w:sz w:val="14"/>
                <w:szCs w:val="14"/>
              </w:rPr>
              <w:t>3111</w:t>
            </w:r>
          </w:p>
        </w:tc>
        <w:tc>
          <w:tcPr>
            <w:tcW w:w="8106" w:type="dxa"/>
            <w:tcBorders>
              <w:top w:val="single" w:sz="4" w:space="0" w:color="auto"/>
              <w:left w:val="nil"/>
              <w:bottom w:val="single" w:sz="4" w:space="0" w:color="auto"/>
              <w:right w:val="single" w:sz="4" w:space="0" w:color="auto"/>
            </w:tcBorders>
            <w:noWrap/>
            <w:vAlign w:val="bottom"/>
            <w:hideMark/>
          </w:tcPr>
          <w:p w14:paraId="0A2B8431" w14:textId="77777777" w:rsidR="00416D67" w:rsidRPr="00416D67" w:rsidRDefault="00416D67" w:rsidP="00416D67">
            <w:pPr>
              <w:rPr>
                <w:rFonts w:ascii="Arial" w:hAnsi="Arial" w:cs="Arial"/>
                <w:sz w:val="14"/>
                <w:szCs w:val="14"/>
              </w:rPr>
            </w:pPr>
            <w:r w:rsidRPr="00416D67">
              <w:rPr>
                <w:rFonts w:ascii="Arial" w:hAnsi="Arial" w:cs="Arial"/>
                <w:sz w:val="14"/>
                <w:szCs w:val="14"/>
              </w:rPr>
              <w:t>Plaće za redovan rad</w:t>
            </w:r>
          </w:p>
        </w:tc>
        <w:tc>
          <w:tcPr>
            <w:tcW w:w="1095" w:type="dxa"/>
            <w:tcBorders>
              <w:top w:val="single" w:sz="4" w:space="0" w:color="auto"/>
              <w:left w:val="nil"/>
              <w:bottom w:val="single" w:sz="4" w:space="0" w:color="auto"/>
              <w:right w:val="single" w:sz="4" w:space="0" w:color="auto"/>
            </w:tcBorders>
            <w:noWrap/>
            <w:vAlign w:val="bottom"/>
            <w:hideMark/>
          </w:tcPr>
          <w:p w14:paraId="427AF98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2C2C26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4A98D0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466.861,58</w:t>
            </w:r>
          </w:p>
        </w:tc>
        <w:tc>
          <w:tcPr>
            <w:tcW w:w="918" w:type="dxa"/>
            <w:tcBorders>
              <w:top w:val="single" w:sz="4" w:space="0" w:color="auto"/>
              <w:left w:val="nil"/>
              <w:bottom w:val="single" w:sz="4" w:space="0" w:color="auto"/>
              <w:right w:val="single" w:sz="4" w:space="0" w:color="auto"/>
            </w:tcBorders>
            <w:noWrap/>
            <w:vAlign w:val="bottom"/>
            <w:hideMark/>
          </w:tcPr>
          <w:p w14:paraId="7794906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2D4684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2A46A4E" w14:textId="77777777" w:rsidR="00416D67" w:rsidRPr="00416D67" w:rsidRDefault="00416D67" w:rsidP="00416D67">
            <w:pPr>
              <w:rPr>
                <w:rFonts w:ascii="Arial" w:hAnsi="Arial" w:cs="Arial"/>
                <w:sz w:val="14"/>
                <w:szCs w:val="14"/>
              </w:rPr>
            </w:pPr>
            <w:r w:rsidRPr="00416D67">
              <w:rPr>
                <w:rFonts w:ascii="Arial" w:hAnsi="Arial" w:cs="Arial"/>
                <w:sz w:val="14"/>
                <w:szCs w:val="14"/>
              </w:rPr>
              <w:t>3121</w:t>
            </w:r>
          </w:p>
        </w:tc>
        <w:tc>
          <w:tcPr>
            <w:tcW w:w="8106" w:type="dxa"/>
            <w:tcBorders>
              <w:top w:val="single" w:sz="4" w:space="0" w:color="auto"/>
              <w:left w:val="nil"/>
              <w:bottom w:val="single" w:sz="4" w:space="0" w:color="auto"/>
              <w:right w:val="single" w:sz="4" w:space="0" w:color="auto"/>
            </w:tcBorders>
            <w:noWrap/>
            <w:vAlign w:val="bottom"/>
            <w:hideMark/>
          </w:tcPr>
          <w:p w14:paraId="788ED566" w14:textId="77777777" w:rsidR="00416D67" w:rsidRPr="00416D67" w:rsidRDefault="00416D67" w:rsidP="00416D67">
            <w:pPr>
              <w:rPr>
                <w:rFonts w:ascii="Arial" w:hAnsi="Arial" w:cs="Arial"/>
                <w:sz w:val="14"/>
                <w:szCs w:val="14"/>
              </w:rPr>
            </w:pPr>
            <w:r w:rsidRPr="00416D67">
              <w:rPr>
                <w:rFonts w:ascii="Arial" w:hAnsi="Arial" w:cs="Arial"/>
                <w:sz w:val="14"/>
                <w:szCs w:val="14"/>
              </w:rPr>
              <w:t>Ostali rashodi za zaposlene</w:t>
            </w:r>
          </w:p>
        </w:tc>
        <w:tc>
          <w:tcPr>
            <w:tcW w:w="1095" w:type="dxa"/>
            <w:tcBorders>
              <w:top w:val="single" w:sz="4" w:space="0" w:color="auto"/>
              <w:left w:val="nil"/>
              <w:bottom w:val="single" w:sz="4" w:space="0" w:color="auto"/>
              <w:right w:val="single" w:sz="4" w:space="0" w:color="auto"/>
            </w:tcBorders>
            <w:noWrap/>
            <w:vAlign w:val="bottom"/>
            <w:hideMark/>
          </w:tcPr>
          <w:p w14:paraId="1A9DAA9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2DA50E2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01C148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58.136,19</w:t>
            </w:r>
          </w:p>
        </w:tc>
        <w:tc>
          <w:tcPr>
            <w:tcW w:w="918" w:type="dxa"/>
            <w:tcBorders>
              <w:top w:val="single" w:sz="4" w:space="0" w:color="auto"/>
              <w:left w:val="nil"/>
              <w:bottom w:val="single" w:sz="4" w:space="0" w:color="auto"/>
              <w:right w:val="single" w:sz="4" w:space="0" w:color="auto"/>
            </w:tcBorders>
            <w:noWrap/>
            <w:vAlign w:val="bottom"/>
            <w:hideMark/>
          </w:tcPr>
          <w:p w14:paraId="404D5C2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D9779F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9B25E03" w14:textId="77777777" w:rsidR="00416D67" w:rsidRPr="00416D67" w:rsidRDefault="00416D67" w:rsidP="00416D67">
            <w:pPr>
              <w:rPr>
                <w:rFonts w:ascii="Arial" w:hAnsi="Arial" w:cs="Arial"/>
                <w:sz w:val="14"/>
                <w:szCs w:val="14"/>
              </w:rPr>
            </w:pPr>
            <w:r w:rsidRPr="00416D67">
              <w:rPr>
                <w:rFonts w:ascii="Arial" w:hAnsi="Arial" w:cs="Arial"/>
                <w:sz w:val="14"/>
                <w:szCs w:val="14"/>
              </w:rPr>
              <w:t>3132</w:t>
            </w:r>
          </w:p>
        </w:tc>
        <w:tc>
          <w:tcPr>
            <w:tcW w:w="8106" w:type="dxa"/>
            <w:tcBorders>
              <w:top w:val="single" w:sz="4" w:space="0" w:color="auto"/>
              <w:left w:val="nil"/>
              <w:bottom w:val="single" w:sz="4" w:space="0" w:color="auto"/>
              <w:right w:val="single" w:sz="4" w:space="0" w:color="auto"/>
            </w:tcBorders>
            <w:noWrap/>
            <w:vAlign w:val="bottom"/>
            <w:hideMark/>
          </w:tcPr>
          <w:p w14:paraId="2ACD85AA" w14:textId="77777777" w:rsidR="00416D67" w:rsidRPr="00416D67" w:rsidRDefault="00416D67" w:rsidP="00416D67">
            <w:pPr>
              <w:rPr>
                <w:rFonts w:ascii="Arial" w:hAnsi="Arial" w:cs="Arial"/>
                <w:sz w:val="14"/>
                <w:szCs w:val="14"/>
              </w:rPr>
            </w:pPr>
            <w:r w:rsidRPr="00416D67">
              <w:rPr>
                <w:rFonts w:ascii="Arial" w:hAnsi="Arial" w:cs="Arial"/>
                <w:sz w:val="14"/>
                <w:szCs w:val="14"/>
              </w:rPr>
              <w:t>Doprinosi za obvezno zdravstveno osiguranje</w:t>
            </w:r>
          </w:p>
        </w:tc>
        <w:tc>
          <w:tcPr>
            <w:tcW w:w="1095" w:type="dxa"/>
            <w:tcBorders>
              <w:top w:val="single" w:sz="4" w:space="0" w:color="auto"/>
              <w:left w:val="nil"/>
              <w:bottom w:val="single" w:sz="4" w:space="0" w:color="auto"/>
              <w:right w:val="single" w:sz="4" w:space="0" w:color="auto"/>
            </w:tcBorders>
            <w:noWrap/>
            <w:vAlign w:val="bottom"/>
            <w:hideMark/>
          </w:tcPr>
          <w:p w14:paraId="298D85C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552E86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8AABCF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76.120,18</w:t>
            </w:r>
          </w:p>
        </w:tc>
        <w:tc>
          <w:tcPr>
            <w:tcW w:w="918" w:type="dxa"/>
            <w:tcBorders>
              <w:top w:val="single" w:sz="4" w:space="0" w:color="auto"/>
              <w:left w:val="nil"/>
              <w:bottom w:val="single" w:sz="4" w:space="0" w:color="auto"/>
              <w:right w:val="single" w:sz="4" w:space="0" w:color="auto"/>
            </w:tcBorders>
            <w:noWrap/>
            <w:vAlign w:val="bottom"/>
            <w:hideMark/>
          </w:tcPr>
          <w:p w14:paraId="591F374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A8B1B1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72E481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2590EBB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43AF459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90.290,00</w:t>
            </w:r>
          </w:p>
        </w:tc>
        <w:tc>
          <w:tcPr>
            <w:tcW w:w="1070" w:type="dxa"/>
            <w:tcBorders>
              <w:top w:val="single" w:sz="4" w:space="0" w:color="auto"/>
              <w:left w:val="nil"/>
              <w:bottom w:val="single" w:sz="4" w:space="0" w:color="auto"/>
              <w:right w:val="single" w:sz="4" w:space="0" w:color="auto"/>
            </w:tcBorders>
            <w:noWrap/>
            <w:vAlign w:val="bottom"/>
            <w:hideMark/>
          </w:tcPr>
          <w:p w14:paraId="360C71B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90.290,00</w:t>
            </w:r>
          </w:p>
        </w:tc>
        <w:tc>
          <w:tcPr>
            <w:tcW w:w="1095" w:type="dxa"/>
            <w:tcBorders>
              <w:top w:val="single" w:sz="4" w:space="0" w:color="auto"/>
              <w:left w:val="nil"/>
              <w:bottom w:val="single" w:sz="4" w:space="0" w:color="auto"/>
              <w:right w:val="single" w:sz="4" w:space="0" w:color="auto"/>
            </w:tcBorders>
            <w:noWrap/>
            <w:vAlign w:val="bottom"/>
            <w:hideMark/>
          </w:tcPr>
          <w:p w14:paraId="167443F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47.690,43</w:t>
            </w:r>
          </w:p>
        </w:tc>
        <w:tc>
          <w:tcPr>
            <w:tcW w:w="918" w:type="dxa"/>
            <w:tcBorders>
              <w:top w:val="single" w:sz="4" w:space="0" w:color="auto"/>
              <w:left w:val="nil"/>
              <w:bottom w:val="single" w:sz="4" w:space="0" w:color="auto"/>
              <w:right w:val="single" w:sz="4" w:space="0" w:color="auto"/>
            </w:tcBorders>
            <w:noWrap/>
            <w:vAlign w:val="bottom"/>
            <w:hideMark/>
          </w:tcPr>
          <w:p w14:paraId="0561231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52,82%</w:t>
            </w:r>
          </w:p>
        </w:tc>
      </w:tr>
      <w:tr w:rsidR="00416D67" w:rsidRPr="00416D67" w14:paraId="5BB63AB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59A377D" w14:textId="77777777" w:rsidR="00416D67" w:rsidRPr="00416D67" w:rsidRDefault="00416D67" w:rsidP="00416D67">
            <w:pPr>
              <w:rPr>
                <w:rFonts w:ascii="Arial" w:hAnsi="Arial" w:cs="Arial"/>
                <w:sz w:val="14"/>
                <w:szCs w:val="14"/>
              </w:rPr>
            </w:pPr>
            <w:r w:rsidRPr="00416D67">
              <w:rPr>
                <w:rFonts w:ascii="Arial" w:hAnsi="Arial" w:cs="Arial"/>
                <w:sz w:val="14"/>
                <w:szCs w:val="14"/>
              </w:rPr>
              <w:t>3212</w:t>
            </w:r>
          </w:p>
        </w:tc>
        <w:tc>
          <w:tcPr>
            <w:tcW w:w="8106" w:type="dxa"/>
            <w:tcBorders>
              <w:top w:val="single" w:sz="4" w:space="0" w:color="auto"/>
              <w:left w:val="nil"/>
              <w:bottom w:val="single" w:sz="4" w:space="0" w:color="auto"/>
              <w:right w:val="single" w:sz="4" w:space="0" w:color="auto"/>
            </w:tcBorders>
            <w:noWrap/>
            <w:vAlign w:val="bottom"/>
            <w:hideMark/>
          </w:tcPr>
          <w:p w14:paraId="484F87DB" w14:textId="77777777" w:rsidR="00416D67" w:rsidRPr="00416D67" w:rsidRDefault="00416D67" w:rsidP="00416D67">
            <w:pPr>
              <w:rPr>
                <w:rFonts w:ascii="Arial" w:hAnsi="Arial" w:cs="Arial"/>
                <w:sz w:val="14"/>
                <w:szCs w:val="14"/>
              </w:rPr>
            </w:pPr>
            <w:r w:rsidRPr="00416D67">
              <w:rPr>
                <w:rFonts w:ascii="Arial" w:hAnsi="Arial" w:cs="Arial"/>
                <w:sz w:val="14"/>
                <w:szCs w:val="14"/>
              </w:rPr>
              <w:t>Naknade za prijevoz, za rad na terenu i odvojeni život</w:t>
            </w:r>
          </w:p>
        </w:tc>
        <w:tc>
          <w:tcPr>
            <w:tcW w:w="1095" w:type="dxa"/>
            <w:tcBorders>
              <w:top w:val="single" w:sz="4" w:space="0" w:color="auto"/>
              <w:left w:val="nil"/>
              <w:bottom w:val="single" w:sz="4" w:space="0" w:color="auto"/>
              <w:right w:val="single" w:sz="4" w:space="0" w:color="auto"/>
            </w:tcBorders>
            <w:noWrap/>
            <w:vAlign w:val="bottom"/>
            <w:hideMark/>
          </w:tcPr>
          <w:p w14:paraId="2E1BC76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ABDBB5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BC9F62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21.076,65</w:t>
            </w:r>
          </w:p>
        </w:tc>
        <w:tc>
          <w:tcPr>
            <w:tcW w:w="918" w:type="dxa"/>
            <w:tcBorders>
              <w:top w:val="single" w:sz="4" w:space="0" w:color="auto"/>
              <w:left w:val="nil"/>
              <w:bottom w:val="single" w:sz="4" w:space="0" w:color="auto"/>
              <w:right w:val="single" w:sz="4" w:space="0" w:color="auto"/>
            </w:tcBorders>
            <w:noWrap/>
            <w:vAlign w:val="bottom"/>
            <w:hideMark/>
          </w:tcPr>
          <w:p w14:paraId="6DF4999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F6E6C2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8F80D58" w14:textId="77777777" w:rsidR="00416D67" w:rsidRPr="00416D67" w:rsidRDefault="00416D67" w:rsidP="00416D67">
            <w:pPr>
              <w:rPr>
                <w:rFonts w:ascii="Arial" w:hAnsi="Arial" w:cs="Arial"/>
                <w:sz w:val="14"/>
                <w:szCs w:val="14"/>
              </w:rPr>
            </w:pPr>
            <w:r w:rsidRPr="00416D67">
              <w:rPr>
                <w:rFonts w:ascii="Arial" w:hAnsi="Arial" w:cs="Arial"/>
                <w:sz w:val="14"/>
                <w:szCs w:val="14"/>
              </w:rPr>
              <w:t>3213</w:t>
            </w:r>
          </w:p>
        </w:tc>
        <w:tc>
          <w:tcPr>
            <w:tcW w:w="8106" w:type="dxa"/>
            <w:tcBorders>
              <w:top w:val="single" w:sz="4" w:space="0" w:color="auto"/>
              <w:left w:val="nil"/>
              <w:bottom w:val="single" w:sz="4" w:space="0" w:color="auto"/>
              <w:right w:val="single" w:sz="4" w:space="0" w:color="auto"/>
            </w:tcBorders>
            <w:noWrap/>
            <w:vAlign w:val="bottom"/>
            <w:hideMark/>
          </w:tcPr>
          <w:p w14:paraId="5F24DB02" w14:textId="77777777" w:rsidR="00416D67" w:rsidRPr="00416D67" w:rsidRDefault="00416D67" w:rsidP="00416D67">
            <w:pPr>
              <w:rPr>
                <w:rFonts w:ascii="Arial" w:hAnsi="Arial" w:cs="Arial"/>
                <w:sz w:val="14"/>
                <w:szCs w:val="14"/>
              </w:rPr>
            </w:pPr>
            <w:r w:rsidRPr="00416D67">
              <w:rPr>
                <w:rFonts w:ascii="Arial" w:hAnsi="Arial" w:cs="Arial"/>
                <w:sz w:val="14"/>
                <w:szCs w:val="14"/>
              </w:rPr>
              <w:t>Stručno usavršavanje zaposlenika</w:t>
            </w:r>
          </w:p>
        </w:tc>
        <w:tc>
          <w:tcPr>
            <w:tcW w:w="1095" w:type="dxa"/>
            <w:tcBorders>
              <w:top w:val="single" w:sz="4" w:space="0" w:color="auto"/>
              <w:left w:val="nil"/>
              <w:bottom w:val="single" w:sz="4" w:space="0" w:color="auto"/>
              <w:right w:val="single" w:sz="4" w:space="0" w:color="auto"/>
            </w:tcBorders>
            <w:noWrap/>
            <w:vAlign w:val="bottom"/>
            <w:hideMark/>
          </w:tcPr>
          <w:p w14:paraId="23F2C74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3D2AED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489C6E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1.916,25</w:t>
            </w:r>
          </w:p>
        </w:tc>
        <w:tc>
          <w:tcPr>
            <w:tcW w:w="918" w:type="dxa"/>
            <w:tcBorders>
              <w:top w:val="single" w:sz="4" w:space="0" w:color="auto"/>
              <w:left w:val="nil"/>
              <w:bottom w:val="single" w:sz="4" w:space="0" w:color="auto"/>
              <w:right w:val="single" w:sz="4" w:space="0" w:color="auto"/>
            </w:tcBorders>
            <w:noWrap/>
            <w:vAlign w:val="bottom"/>
            <w:hideMark/>
          </w:tcPr>
          <w:p w14:paraId="24A0FF4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AC97AE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A383629" w14:textId="77777777" w:rsidR="00416D67" w:rsidRPr="00416D67" w:rsidRDefault="00416D67" w:rsidP="00416D67">
            <w:pPr>
              <w:rPr>
                <w:rFonts w:ascii="Arial" w:hAnsi="Arial" w:cs="Arial"/>
                <w:sz w:val="14"/>
                <w:szCs w:val="14"/>
              </w:rPr>
            </w:pPr>
            <w:r w:rsidRPr="00416D67">
              <w:rPr>
                <w:rFonts w:ascii="Arial" w:hAnsi="Arial" w:cs="Arial"/>
                <w:sz w:val="14"/>
                <w:szCs w:val="14"/>
              </w:rPr>
              <w:t>3221</w:t>
            </w:r>
          </w:p>
        </w:tc>
        <w:tc>
          <w:tcPr>
            <w:tcW w:w="8106" w:type="dxa"/>
            <w:tcBorders>
              <w:top w:val="single" w:sz="4" w:space="0" w:color="auto"/>
              <w:left w:val="nil"/>
              <w:bottom w:val="single" w:sz="4" w:space="0" w:color="auto"/>
              <w:right w:val="single" w:sz="4" w:space="0" w:color="auto"/>
            </w:tcBorders>
            <w:noWrap/>
            <w:vAlign w:val="bottom"/>
            <w:hideMark/>
          </w:tcPr>
          <w:p w14:paraId="3982B7DC" w14:textId="77777777" w:rsidR="00416D67" w:rsidRPr="00416D67" w:rsidRDefault="00416D67" w:rsidP="00416D67">
            <w:pPr>
              <w:rPr>
                <w:rFonts w:ascii="Arial" w:hAnsi="Arial" w:cs="Arial"/>
                <w:sz w:val="14"/>
                <w:szCs w:val="14"/>
              </w:rPr>
            </w:pPr>
            <w:r w:rsidRPr="00416D67">
              <w:rPr>
                <w:rFonts w:ascii="Arial" w:hAnsi="Arial" w:cs="Arial"/>
                <w:sz w:val="14"/>
                <w:szCs w:val="14"/>
              </w:rPr>
              <w:t>Uredski materijal i ostali materijalni rashodi</w:t>
            </w:r>
          </w:p>
        </w:tc>
        <w:tc>
          <w:tcPr>
            <w:tcW w:w="1095" w:type="dxa"/>
            <w:tcBorders>
              <w:top w:val="single" w:sz="4" w:space="0" w:color="auto"/>
              <w:left w:val="nil"/>
              <w:bottom w:val="single" w:sz="4" w:space="0" w:color="auto"/>
              <w:right w:val="single" w:sz="4" w:space="0" w:color="auto"/>
            </w:tcBorders>
            <w:noWrap/>
            <w:vAlign w:val="bottom"/>
            <w:hideMark/>
          </w:tcPr>
          <w:p w14:paraId="66D43B2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6EE24E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90A94A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4.419,19</w:t>
            </w:r>
          </w:p>
        </w:tc>
        <w:tc>
          <w:tcPr>
            <w:tcW w:w="918" w:type="dxa"/>
            <w:tcBorders>
              <w:top w:val="single" w:sz="4" w:space="0" w:color="auto"/>
              <w:left w:val="nil"/>
              <w:bottom w:val="single" w:sz="4" w:space="0" w:color="auto"/>
              <w:right w:val="single" w:sz="4" w:space="0" w:color="auto"/>
            </w:tcBorders>
            <w:noWrap/>
            <w:vAlign w:val="bottom"/>
            <w:hideMark/>
          </w:tcPr>
          <w:p w14:paraId="15F673E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BFB9A9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E7DA24E" w14:textId="77777777" w:rsidR="00416D67" w:rsidRPr="00416D67" w:rsidRDefault="00416D67" w:rsidP="00416D67">
            <w:pPr>
              <w:rPr>
                <w:rFonts w:ascii="Arial" w:hAnsi="Arial" w:cs="Arial"/>
                <w:sz w:val="14"/>
                <w:szCs w:val="14"/>
              </w:rPr>
            </w:pPr>
            <w:r w:rsidRPr="00416D67">
              <w:rPr>
                <w:rFonts w:ascii="Arial" w:hAnsi="Arial" w:cs="Arial"/>
                <w:sz w:val="14"/>
                <w:szCs w:val="14"/>
              </w:rPr>
              <w:t>3225</w:t>
            </w:r>
          </w:p>
        </w:tc>
        <w:tc>
          <w:tcPr>
            <w:tcW w:w="8106" w:type="dxa"/>
            <w:tcBorders>
              <w:top w:val="single" w:sz="4" w:space="0" w:color="auto"/>
              <w:left w:val="nil"/>
              <w:bottom w:val="single" w:sz="4" w:space="0" w:color="auto"/>
              <w:right w:val="single" w:sz="4" w:space="0" w:color="auto"/>
            </w:tcBorders>
            <w:noWrap/>
            <w:vAlign w:val="bottom"/>
            <w:hideMark/>
          </w:tcPr>
          <w:p w14:paraId="04C83367"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Sitni inventar i </w:t>
            </w:r>
            <w:proofErr w:type="spellStart"/>
            <w:r w:rsidRPr="00416D67">
              <w:rPr>
                <w:rFonts w:ascii="Arial" w:hAnsi="Arial" w:cs="Arial"/>
                <w:sz w:val="14"/>
                <w:szCs w:val="14"/>
              </w:rPr>
              <w:t>autogume</w:t>
            </w:r>
            <w:proofErr w:type="spellEnd"/>
          </w:p>
        </w:tc>
        <w:tc>
          <w:tcPr>
            <w:tcW w:w="1095" w:type="dxa"/>
            <w:tcBorders>
              <w:top w:val="single" w:sz="4" w:space="0" w:color="auto"/>
              <w:left w:val="nil"/>
              <w:bottom w:val="single" w:sz="4" w:space="0" w:color="auto"/>
              <w:right w:val="single" w:sz="4" w:space="0" w:color="auto"/>
            </w:tcBorders>
            <w:noWrap/>
            <w:vAlign w:val="bottom"/>
            <w:hideMark/>
          </w:tcPr>
          <w:p w14:paraId="0F68983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AA4266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661647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3.841,70</w:t>
            </w:r>
          </w:p>
        </w:tc>
        <w:tc>
          <w:tcPr>
            <w:tcW w:w="918" w:type="dxa"/>
            <w:tcBorders>
              <w:top w:val="single" w:sz="4" w:space="0" w:color="auto"/>
              <w:left w:val="nil"/>
              <w:bottom w:val="single" w:sz="4" w:space="0" w:color="auto"/>
              <w:right w:val="single" w:sz="4" w:space="0" w:color="auto"/>
            </w:tcBorders>
            <w:noWrap/>
            <w:vAlign w:val="bottom"/>
            <w:hideMark/>
          </w:tcPr>
          <w:p w14:paraId="2158853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691199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E65BC16" w14:textId="77777777" w:rsidR="00416D67" w:rsidRPr="00416D67" w:rsidRDefault="00416D67" w:rsidP="00416D67">
            <w:pPr>
              <w:rPr>
                <w:rFonts w:ascii="Arial" w:hAnsi="Arial" w:cs="Arial"/>
                <w:sz w:val="14"/>
                <w:szCs w:val="14"/>
              </w:rPr>
            </w:pPr>
            <w:r w:rsidRPr="00416D67">
              <w:rPr>
                <w:rFonts w:ascii="Arial" w:hAnsi="Arial" w:cs="Arial"/>
                <w:sz w:val="14"/>
                <w:szCs w:val="14"/>
              </w:rPr>
              <w:lastRenderedPageBreak/>
              <w:t>3232</w:t>
            </w:r>
          </w:p>
        </w:tc>
        <w:tc>
          <w:tcPr>
            <w:tcW w:w="8106" w:type="dxa"/>
            <w:tcBorders>
              <w:top w:val="single" w:sz="4" w:space="0" w:color="auto"/>
              <w:left w:val="nil"/>
              <w:bottom w:val="single" w:sz="4" w:space="0" w:color="auto"/>
              <w:right w:val="single" w:sz="4" w:space="0" w:color="auto"/>
            </w:tcBorders>
            <w:noWrap/>
            <w:vAlign w:val="bottom"/>
            <w:hideMark/>
          </w:tcPr>
          <w:p w14:paraId="7FED8B27" w14:textId="77777777" w:rsidR="00416D67" w:rsidRPr="00416D67" w:rsidRDefault="00416D67" w:rsidP="00416D67">
            <w:pPr>
              <w:rPr>
                <w:rFonts w:ascii="Arial" w:hAnsi="Arial" w:cs="Arial"/>
                <w:sz w:val="14"/>
                <w:szCs w:val="14"/>
              </w:rPr>
            </w:pPr>
            <w:r w:rsidRPr="00416D67">
              <w:rPr>
                <w:rFonts w:ascii="Arial" w:hAnsi="Arial" w:cs="Arial"/>
                <w:sz w:val="14"/>
                <w:szCs w:val="14"/>
              </w:rPr>
              <w:t>Usluge tekućeg i investicijskog  održavanja</w:t>
            </w:r>
          </w:p>
        </w:tc>
        <w:tc>
          <w:tcPr>
            <w:tcW w:w="1095" w:type="dxa"/>
            <w:tcBorders>
              <w:top w:val="single" w:sz="4" w:space="0" w:color="auto"/>
              <w:left w:val="nil"/>
              <w:bottom w:val="single" w:sz="4" w:space="0" w:color="auto"/>
              <w:right w:val="single" w:sz="4" w:space="0" w:color="auto"/>
            </w:tcBorders>
            <w:noWrap/>
            <w:vAlign w:val="bottom"/>
            <w:hideMark/>
          </w:tcPr>
          <w:p w14:paraId="57005E5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42FFD2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00FC14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2.856,00</w:t>
            </w:r>
          </w:p>
        </w:tc>
        <w:tc>
          <w:tcPr>
            <w:tcW w:w="918" w:type="dxa"/>
            <w:tcBorders>
              <w:top w:val="single" w:sz="4" w:space="0" w:color="auto"/>
              <w:left w:val="nil"/>
              <w:bottom w:val="single" w:sz="4" w:space="0" w:color="auto"/>
              <w:right w:val="single" w:sz="4" w:space="0" w:color="auto"/>
            </w:tcBorders>
            <w:noWrap/>
            <w:vAlign w:val="bottom"/>
            <w:hideMark/>
          </w:tcPr>
          <w:p w14:paraId="77774B4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E4526B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78EF809" w14:textId="77777777" w:rsidR="00416D67" w:rsidRPr="00416D67" w:rsidRDefault="00416D67" w:rsidP="00416D67">
            <w:pPr>
              <w:rPr>
                <w:rFonts w:ascii="Arial" w:hAnsi="Arial" w:cs="Arial"/>
                <w:sz w:val="14"/>
                <w:szCs w:val="14"/>
              </w:rPr>
            </w:pPr>
            <w:r w:rsidRPr="00416D67">
              <w:rPr>
                <w:rFonts w:ascii="Arial" w:hAnsi="Arial" w:cs="Arial"/>
                <w:sz w:val="14"/>
                <w:szCs w:val="14"/>
              </w:rPr>
              <w:t>3234</w:t>
            </w:r>
          </w:p>
        </w:tc>
        <w:tc>
          <w:tcPr>
            <w:tcW w:w="8106" w:type="dxa"/>
            <w:tcBorders>
              <w:top w:val="single" w:sz="4" w:space="0" w:color="auto"/>
              <w:left w:val="nil"/>
              <w:bottom w:val="single" w:sz="4" w:space="0" w:color="auto"/>
              <w:right w:val="single" w:sz="4" w:space="0" w:color="auto"/>
            </w:tcBorders>
            <w:noWrap/>
            <w:vAlign w:val="bottom"/>
            <w:hideMark/>
          </w:tcPr>
          <w:p w14:paraId="42CE7717" w14:textId="77777777" w:rsidR="00416D67" w:rsidRPr="00416D67" w:rsidRDefault="00416D67" w:rsidP="00416D67">
            <w:pPr>
              <w:rPr>
                <w:rFonts w:ascii="Arial" w:hAnsi="Arial" w:cs="Arial"/>
                <w:sz w:val="14"/>
                <w:szCs w:val="14"/>
              </w:rPr>
            </w:pPr>
            <w:r w:rsidRPr="00416D67">
              <w:rPr>
                <w:rFonts w:ascii="Arial" w:hAnsi="Arial" w:cs="Arial"/>
                <w:sz w:val="14"/>
                <w:szCs w:val="14"/>
              </w:rPr>
              <w:t>Komunalne usluge</w:t>
            </w:r>
          </w:p>
        </w:tc>
        <w:tc>
          <w:tcPr>
            <w:tcW w:w="1095" w:type="dxa"/>
            <w:tcBorders>
              <w:top w:val="single" w:sz="4" w:space="0" w:color="auto"/>
              <w:left w:val="nil"/>
              <w:bottom w:val="single" w:sz="4" w:space="0" w:color="auto"/>
              <w:right w:val="single" w:sz="4" w:space="0" w:color="auto"/>
            </w:tcBorders>
            <w:noWrap/>
            <w:vAlign w:val="bottom"/>
            <w:hideMark/>
          </w:tcPr>
          <w:p w14:paraId="05BB971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89FBF6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37F4DF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2.509,77</w:t>
            </w:r>
          </w:p>
        </w:tc>
        <w:tc>
          <w:tcPr>
            <w:tcW w:w="918" w:type="dxa"/>
            <w:tcBorders>
              <w:top w:val="single" w:sz="4" w:space="0" w:color="auto"/>
              <w:left w:val="nil"/>
              <w:bottom w:val="single" w:sz="4" w:space="0" w:color="auto"/>
              <w:right w:val="single" w:sz="4" w:space="0" w:color="auto"/>
            </w:tcBorders>
            <w:noWrap/>
            <w:vAlign w:val="bottom"/>
            <w:hideMark/>
          </w:tcPr>
          <w:p w14:paraId="75DE5A8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48A052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DEC3E88" w14:textId="77777777" w:rsidR="00416D67" w:rsidRPr="00416D67" w:rsidRDefault="00416D67" w:rsidP="00416D67">
            <w:pPr>
              <w:rPr>
                <w:rFonts w:ascii="Arial" w:hAnsi="Arial" w:cs="Arial"/>
                <w:sz w:val="14"/>
                <w:szCs w:val="14"/>
              </w:rPr>
            </w:pPr>
            <w:r w:rsidRPr="00416D67">
              <w:rPr>
                <w:rFonts w:ascii="Arial" w:hAnsi="Arial" w:cs="Arial"/>
                <w:sz w:val="14"/>
                <w:szCs w:val="14"/>
              </w:rPr>
              <w:t>3236</w:t>
            </w:r>
          </w:p>
        </w:tc>
        <w:tc>
          <w:tcPr>
            <w:tcW w:w="8106" w:type="dxa"/>
            <w:tcBorders>
              <w:top w:val="single" w:sz="4" w:space="0" w:color="auto"/>
              <w:left w:val="nil"/>
              <w:bottom w:val="single" w:sz="4" w:space="0" w:color="auto"/>
              <w:right w:val="single" w:sz="4" w:space="0" w:color="auto"/>
            </w:tcBorders>
            <w:noWrap/>
            <w:vAlign w:val="bottom"/>
            <w:hideMark/>
          </w:tcPr>
          <w:p w14:paraId="1B27DCD2" w14:textId="77777777" w:rsidR="00416D67" w:rsidRPr="00416D67" w:rsidRDefault="00416D67" w:rsidP="00416D67">
            <w:pPr>
              <w:rPr>
                <w:rFonts w:ascii="Arial" w:hAnsi="Arial" w:cs="Arial"/>
                <w:sz w:val="14"/>
                <w:szCs w:val="14"/>
              </w:rPr>
            </w:pPr>
            <w:r w:rsidRPr="00416D67">
              <w:rPr>
                <w:rFonts w:ascii="Arial" w:hAnsi="Arial" w:cs="Arial"/>
                <w:sz w:val="14"/>
                <w:szCs w:val="14"/>
              </w:rPr>
              <w:t>Zdravstvene i veterinarske usluge</w:t>
            </w:r>
          </w:p>
        </w:tc>
        <w:tc>
          <w:tcPr>
            <w:tcW w:w="1095" w:type="dxa"/>
            <w:tcBorders>
              <w:top w:val="single" w:sz="4" w:space="0" w:color="auto"/>
              <w:left w:val="nil"/>
              <w:bottom w:val="single" w:sz="4" w:space="0" w:color="auto"/>
              <w:right w:val="single" w:sz="4" w:space="0" w:color="auto"/>
            </w:tcBorders>
            <w:noWrap/>
            <w:vAlign w:val="bottom"/>
            <w:hideMark/>
          </w:tcPr>
          <w:p w14:paraId="634F300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FF2E1F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3D3EE5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6.000,00</w:t>
            </w:r>
          </w:p>
        </w:tc>
        <w:tc>
          <w:tcPr>
            <w:tcW w:w="918" w:type="dxa"/>
            <w:tcBorders>
              <w:top w:val="single" w:sz="4" w:space="0" w:color="auto"/>
              <w:left w:val="nil"/>
              <w:bottom w:val="single" w:sz="4" w:space="0" w:color="auto"/>
              <w:right w:val="single" w:sz="4" w:space="0" w:color="auto"/>
            </w:tcBorders>
            <w:noWrap/>
            <w:vAlign w:val="bottom"/>
            <w:hideMark/>
          </w:tcPr>
          <w:p w14:paraId="046B543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98DAF8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DF3FD09" w14:textId="77777777" w:rsidR="00416D67" w:rsidRPr="00416D67" w:rsidRDefault="00416D67" w:rsidP="00416D67">
            <w:pPr>
              <w:rPr>
                <w:rFonts w:ascii="Arial" w:hAnsi="Arial" w:cs="Arial"/>
                <w:sz w:val="14"/>
                <w:szCs w:val="14"/>
              </w:rPr>
            </w:pPr>
            <w:r w:rsidRPr="00416D67">
              <w:rPr>
                <w:rFonts w:ascii="Arial" w:hAnsi="Arial" w:cs="Arial"/>
                <w:sz w:val="14"/>
                <w:szCs w:val="14"/>
              </w:rPr>
              <w:t>3237</w:t>
            </w:r>
          </w:p>
        </w:tc>
        <w:tc>
          <w:tcPr>
            <w:tcW w:w="8106" w:type="dxa"/>
            <w:tcBorders>
              <w:top w:val="single" w:sz="4" w:space="0" w:color="auto"/>
              <w:left w:val="nil"/>
              <w:bottom w:val="single" w:sz="4" w:space="0" w:color="auto"/>
              <w:right w:val="single" w:sz="4" w:space="0" w:color="auto"/>
            </w:tcBorders>
            <w:noWrap/>
            <w:vAlign w:val="bottom"/>
            <w:hideMark/>
          </w:tcPr>
          <w:p w14:paraId="743F1CA1" w14:textId="77777777" w:rsidR="00416D67" w:rsidRPr="00416D67" w:rsidRDefault="00416D67" w:rsidP="00416D67">
            <w:pPr>
              <w:rPr>
                <w:rFonts w:ascii="Arial" w:hAnsi="Arial" w:cs="Arial"/>
                <w:sz w:val="14"/>
                <w:szCs w:val="14"/>
              </w:rPr>
            </w:pPr>
            <w:r w:rsidRPr="00416D67">
              <w:rPr>
                <w:rFonts w:ascii="Arial" w:hAnsi="Arial" w:cs="Arial"/>
                <w:sz w:val="14"/>
                <w:szCs w:val="14"/>
              </w:rPr>
              <w:t>Intelektualne i osobne usluge</w:t>
            </w:r>
          </w:p>
        </w:tc>
        <w:tc>
          <w:tcPr>
            <w:tcW w:w="1095" w:type="dxa"/>
            <w:tcBorders>
              <w:top w:val="single" w:sz="4" w:space="0" w:color="auto"/>
              <w:left w:val="nil"/>
              <w:bottom w:val="single" w:sz="4" w:space="0" w:color="auto"/>
              <w:right w:val="single" w:sz="4" w:space="0" w:color="auto"/>
            </w:tcBorders>
            <w:noWrap/>
            <w:vAlign w:val="bottom"/>
            <w:hideMark/>
          </w:tcPr>
          <w:p w14:paraId="343A4EF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BF3302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B8BB96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1.727,62</w:t>
            </w:r>
          </w:p>
        </w:tc>
        <w:tc>
          <w:tcPr>
            <w:tcW w:w="918" w:type="dxa"/>
            <w:tcBorders>
              <w:top w:val="single" w:sz="4" w:space="0" w:color="auto"/>
              <w:left w:val="nil"/>
              <w:bottom w:val="single" w:sz="4" w:space="0" w:color="auto"/>
              <w:right w:val="single" w:sz="4" w:space="0" w:color="auto"/>
            </w:tcBorders>
            <w:noWrap/>
            <w:vAlign w:val="bottom"/>
            <w:hideMark/>
          </w:tcPr>
          <w:p w14:paraId="3A55D30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81A096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B947F4E" w14:textId="77777777" w:rsidR="00416D67" w:rsidRPr="00416D67" w:rsidRDefault="00416D67" w:rsidP="00416D67">
            <w:pPr>
              <w:rPr>
                <w:rFonts w:ascii="Arial" w:hAnsi="Arial" w:cs="Arial"/>
                <w:sz w:val="14"/>
                <w:szCs w:val="14"/>
              </w:rPr>
            </w:pPr>
            <w:r w:rsidRPr="00416D67">
              <w:rPr>
                <w:rFonts w:ascii="Arial" w:hAnsi="Arial" w:cs="Arial"/>
                <w:sz w:val="14"/>
                <w:szCs w:val="14"/>
              </w:rPr>
              <w:t>3239</w:t>
            </w:r>
          </w:p>
        </w:tc>
        <w:tc>
          <w:tcPr>
            <w:tcW w:w="8106" w:type="dxa"/>
            <w:tcBorders>
              <w:top w:val="single" w:sz="4" w:space="0" w:color="auto"/>
              <w:left w:val="nil"/>
              <w:bottom w:val="single" w:sz="4" w:space="0" w:color="auto"/>
              <w:right w:val="single" w:sz="4" w:space="0" w:color="auto"/>
            </w:tcBorders>
            <w:noWrap/>
            <w:vAlign w:val="bottom"/>
            <w:hideMark/>
          </w:tcPr>
          <w:p w14:paraId="2AE486F7" w14:textId="77777777" w:rsidR="00416D67" w:rsidRPr="00416D67" w:rsidRDefault="00416D67" w:rsidP="00416D67">
            <w:pPr>
              <w:rPr>
                <w:rFonts w:ascii="Arial" w:hAnsi="Arial" w:cs="Arial"/>
                <w:sz w:val="14"/>
                <w:szCs w:val="14"/>
              </w:rPr>
            </w:pPr>
            <w:r w:rsidRPr="00416D67">
              <w:rPr>
                <w:rFonts w:ascii="Arial" w:hAnsi="Arial" w:cs="Arial"/>
                <w:sz w:val="14"/>
                <w:szCs w:val="14"/>
              </w:rPr>
              <w:t>Ostale usluge</w:t>
            </w:r>
          </w:p>
        </w:tc>
        <w:tc>
          <w:tcPr>
            <w:tcW w:w="1095" w:type="dxa"/>
            <w:tcBorders>
              <w:top w:val="single" w:sz="4" w:space="0" w:color="auto"/>
              <w:left w:val="nil"/>
              <w:bottom w:val="single" w:sz="4" w:space="0" w:color="auto"/>
              <w:right w:val="single" w:sz="4" w:space="0" w:color="auto"/>
            </w:tcBorders>
            <w:noWrap/>
            <w:vAlign w:val="bottom"/>
            <w:hideMark/>
          </w:tcPr>
          <w:p w14:paraId="1C1A6AF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C86C9F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9FEFE1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1.460,00</w:t>
            </w:r>
          </w:p>
        </w:tc>
        <w:tc>
          <w:tcPr>
            <w:tcW w:w="918" w:type="dxa"/>
            <w:tcBorders>
              <w:top w:val="single" w:sz="4" w:space="0" w:color="auto"/>
              <w:left w:val="nil"/>
              <w:bottom w:val="single" w:sz="4" w:space="0" w:color="auto"/>
              <w:right w:val="single" w:sz="4" w:space="0" w:color="auto"/>
            </w:tcBorders>
            <w:noWrap/>
            <w:vAlign w:val="bottom"/>
            <w:hideMark/>
          </w:tcPr>
          <w:p w14:paraId="6665BD3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9F9C87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9E6B2DE" w14:textId="77777777" w:rsidR="00416D67" w:rsidRPr="00416D67" w:rsidRDefault="00416D67" w:rsidP="00416D67">
            <w:pPr>
              <w:rPr>
                <w:rFonts w:ascii="Arial" w:hAnsi="Arial" w:cs="Arial"/>
                <w:sz w:val="14"/>
                <w:szCs w:val="14"/>
              </w:rPr>
            </w:pPr>
            <w:r w:rsidRPr="00416D67">
              <w:rPr>
                <w:rFonts w:ascii="Arial" w:hAnsi="Arial" w:cs="Arial"/>
                <w:sz w:val="14"/>
                <w:szCs w:val="14"/>
              </w:rPr>
              <w:t>3295</w:t>
            </w:r>
          </w:p>
        </w:tc>
        <w:tc>
          <w:tcPr>
            <w:tcW w:w="8106" w:type="dxa"/>
            <w:tcBorders>
              <w:top w:val="single" w:sz="4" w:space="0" w:color="auto"/>
              <w:left w:val="nil"/>
              <w:bottom w:val="single" w:sz="4" w:space="0" w:color="auto"/>
              <w:right w:val="single" w:sz="4" w:space="0" w:color="auto"/>
            </w:tcBorders>
            <w:noWrap/>
            <w:vAlign w:val="bottom"/>
            <w:hideMark/>
          </w:tcPr>
          <w:p w14:paraId="3268C651" w14:textId="77777777" w:rsidR="00416D67" w:rsidRPr="00416D67" w:rsidRDefault="00416D67" w:rsidP="00416D67">
            <w:pPr>
              <w:rPr>
                <w:rFonts w:ascii="Arial" w:hAnsi="Arial" w:cs="Arial"/>
                <w:sz w:val="14"/>
                <w:szCs w:val="14"/>
              </w:rPr>
            </w:pPr>
            <w:r w:rsidRPr="00416D67">
              <w:rPr>
                <w:rFonts w:ascii="Arial" w:hAnsi="Arial" w:cs="Arial"/>
                <w:sz w:val="14"/>
                <w:szCs w:val="14"/>
              </w:rPr>
              <w:t>Pristojbe i naknade</w:t>
            </w:r>
          </w:p>
        </w:tc>
        <w:tc>
          <w:tcPr>
            <w:tcW w:w="1095" w:type="dxa"/>
            <w:tcBorders>
              <w:top w:val="single" w:sz="4" w:space="0" w:color="auto"/>
              <w:left w:val="nil"/>
              <w:bottom w:val="single" w:sz="4" w:space="0" w:color="auto"/>
              <w:right w:val="single" w:sz="4" w:space="0" w:color="auto"/>
            </w:tcBorders>
            <w:noWrap/>
            <w:vAlign w:val="bottom"/>
            <w:hideMark/>
          </w:tcPr>
          <w:p w14:paraId="788CD8D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E67413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A3CB82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1.883,25</w:t>
            </w:r>
          </w:p>
        </w:tc>
        <w:tc>
          <w:tcPr>
            <w:tcW w:w="918" w:type="dxa"/>
            <w:tcBorders>
              <w:top w:val="single" w:sz="4" w:space="0" w:color="auto"/>
              <w:left w:val="nil"/>
              <w:bottom w:val="single" w:sz="4" w:space="0" w:color="auto"/>
              <w:right w:val="single" w:sz="4" w:space="0" w:color="auto"/>
            </w:tcBorders>
            <w:noWrap/>
            <w:vAlign w:val="bottom"/>
            <w:hideMark/>
          </w:tcPr>
          <w:p w14:paraId="3671E20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2C9CE3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E8B67F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5209BE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104.906,03</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F094AE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104.906,03</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28B47E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103.196,33</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45317E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98,37%</w:t>
            </w:r>
          </w:p>
        </w:tc>
      </w:tr>
      <w:tr w:rsidR="00416D67" w:rsidRPr="00416D67" w14:paraId="6E5582E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2F8FC3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4.4. Prihodi za posebne PK boravak roditelji i </w:t>
            </w:r>
            <w:proofErr w:type="spellStart"/>
            <w:r w:rsidRPr="00416D67">
              <w:rPr>
                <w:rFonts w:ascii="Arial" w:hAnsi="Arial" w:cs="Arial"/>
                <w:b/>
                <w:bCs/>
                <w:color w:val="333333"/>
                <w:sz w:val="14"/>
                <w:szCs w:val="14"/>
              </w:rPr>
              <w:t>soc.program</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4F04A2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104.906,03</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158BBC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104.906,03</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4282EA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103.196,33</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491F44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98,37%</w:t>
            </w:r>
          </w:p>
        </w:tc>
      </w:tr>
      <w:tr w:rsidR="00416D67" w:rsidRPr="00416D67" w14:paraId="04C7B3E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18B2DA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3363752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09921AF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101.885,00</w:t>
            </w:r>
          </w:p>
        </w:tc>
        <w:tc>
          <w:tcPr>
            <w:tcW w:w="1070" w:type="dxa"/>
            <w:tcBorders>
              <w:top w:val="single" w:sz="4" w:space="0" w:color="auto"/>
              <w:left w:val="nil"/>
              <w:bottom w:val="single" w:sz="4" w:space="0" w:color="auto"/>
              <w:right w:val="single" w:sz="4" w:space="0" w:color="auto"/>
            </w:tcBorders>
            <w:noWrap/>
            <w:vAlign w:val="bottom"/>
            <w:hideMark/>
          </w:tcPr>
          <w:p w14:paraId="4520EEE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101.885,00</w:t>
            </w:r>
          </w:p>
        </w:tc>
        <w:tc>
          <w:tcPr>
            <w:tcW w:w="1095" w:type="dxa"/>
            <w:tcBorders>
              <w:top w:val="single" w:sz="4" w:space="0" w:color="auto"/>
              <w:left w:val="nil"/>
              <w:bottom w:val="single" w:sz="4" w:space="0" w:color="auto"/>
              <w:right w:val="single" w:sz="4" w:space="0" w:color="auto"/>
            </w:tcBorders>
            <w:noWrap/>
            <w:vAlign w:val="bottom"/>
            <w:hideMark/>
          </w:tcPr>
          <w:p w14:paraId="1B7A4C8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97.911,70</w:t>
            </w:r>
          </w:p>
        </w:tc>
        <w:tc>
          <w:tcPr>
            <w:tcW w:w="918" w:type="dxa"/>
            <w:tcBorders>
              <w:top w:val="single" w:sz="4" w:space="0" w:color="auto"/>
              <w:left w:val="nil"/>
              <w:bottom w:val="single" w:sz="4" w:space="0" w:color="auto"/>
              <w:right w:val="single" w:sz="4" w:space="0" w:color="auto"/>
            </w:tcBorders>
            <w:noWrap/>
            <w:vAlign w:val="bottom"/>
            <w:hideMark/>
          </w:tcPr>
          <w:p w14:paraId="3DD7398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96,10%</w:t>
            </w:r>
          </w:p>
        </w:tc>
      </w:tr>
      <w:tr w:rsidR="00416D67" w:rsidRPr="00416D67" w14:paraId="4652D59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C4CC0E3" w14:textId="77777777" w:rsidR="00416D67" w:rsidRPr="00416D67" w:rsidRDefault="00416D67" w:rsidP="00416D67">
            <w:pPr>
              <w:rPr>
                <w:rFonts w:ascii="Arial" w:hAnsi="Arial" w:cs="Arial"/>
                <w:sz w:val="14"/>
                <w:szCs w:val="14"/>
              </w:rPr>
            </w:pPr>
            <w:r w:rsidRPr="00416D67">
              <w:rPr>
                <w:rFonts w:ascii="Arial" w:hAnsi="Arial" w:cs="Arial"/>
                <w:sz w:val="14"/>
                <w:szCs w:val="14"/>
              </w:rPr>
              <w:t>3211</w:t>
            </w:r>
          </w:p>
        </w:tc>
        <w:tc>
          <w:tcPr>
            <w:tcW w:w="8106" w:type="dxa"/>
            <w:tcBorders>
              <w:top w:val="single" w:sz="4" w:space="0" w:color="auto"/>
              <w:left w:val="nil"/>
              <w:bottom w:val="single" w:sz="4" w:space="0" w:color="auto"/>
              <w:right w:val="single" w:sz="4" w:space="0" w:color="auto"/>
            </w:tcBorders>
            <w:noWrap/>
            <w:vAlign w:val="bottom"/>
            <w:hideMark/>
          </w:tcPr>
          <w:p w14:paraId="2790B1DD" w14:textId="77777777" w:rsidR="00416D67" w:rsidRPr="00416D67" w:rsidRDefault="00416D67" w:rsidP="00416D67">
            <w:pPr>
              <w:rPr>
                <w:rFonts w:ascii="Arial" w:hAnsi="Arial" w:cs="Arial"/>
                <w:sz w:val="14"/>
                <w:szCs w:val="14"/>
              </w:rPr>
            </w:pPr>
            <w:r w:rsidRPr="00416D67">
              <w:rPr>
                <w:rFonts w:ascii="Arial" w:hAnsi="Arial" w:cs="Arial"/>
                <w:sz w:val="14"/>
                <w:szCs w:val="14"/>
              </w:rPr>
              <w:t>Službena putovanja</w:t>
            </w:r>
          </w:p>
        </w:tc>
        <w:tc>
          <w:tcPr>
            <w:tcW w:w="1095" w:type="dxa"/>
            <w:tcBorders>
              <w:top w:val="single" w:sz="4" w:space="0" w:color="auto"/>
              <w:left w:val="nil"/>
              <w:bottom w:val="single" w:sz="4" w:space="0" w:color="auto"/>
              <w:right w:val="single" w:sz="4" w:space="0" w:color="auto"/>
            </w:tcBorders>
            <w:noWrap/>
            <w:vAlign w:val="bottom"/>
            <w:hideMark/>
          </w:tcPr>
          <w:p w14:paraId="7504264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B3C639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6C5083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3.393,02</w:t>
            </w:r>
          </w:p>
        </w:tc>
        <w:tc>
          <w:tcPr>
            <w:tcW w:w="918" w:type="dxa"/>
            <w:tcBorders>
              <w:top w:val="single" w:sz="4" w:space="0" w:color="auto"/>
              <w:left w:val="nil"/>
              <w:bottom w:val="single" w:sz="4" w:space="0" w:color="auto"/>
              <w:right w:val="single" w:sz="4" w:space="0" w:color="auto"/>
            </w:tcBorders>
            <w:noWrap/>
            <w:vAlign w:val="bottom"/>
            <w:hideMark/>
          </w:tcPr>
          <w:p w14:paraId="1FD8416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33712C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2D86694" w14:textId="77777777" w:rsidR="00416D67" w:rsidRPr="00416D67" w:rsidRDefault="00416D67" w:rsidP="00416D67">
            <w:pPr>
              <w:rPr>
                <w:rFonts w:ascii="Arial" w:hAnsi="Arial" w:cs="Arial"/>
                <w:sz w:val="14"/>
                <w:szCs w:val="14"/>
              </w:rPr>
            </w:pPr>
            <w:r w:rsidRPr="00416D67">
              <w:rPr>
                <w:rFonts w:ascii="Arial" w:hAnsi="Arial" w:cs="Arial"/>
                <w:sz w:val="14"/>
                <w:szCs w:val="14"/>
              </w:rPr>
              <w:t>3213</w:t>
            </w:r>
          </w:p>
        </w:tc>
        <w:tc>
          <w:tcPr>
            <w:tcW w:w="8106" w:type="dxa"/>
            <w:tcBorders>
              <w:top w:val="single" w:sz="4" w:space="0" w:color="auto"/>
              <w:left w:val="nil"/>
              <w:bottom w:val="single" w:sz="4" w:space="0" w:color="auto"/>
              <w:right w:val="single" w:sz="4" w:space="0" w:color="auto"/>
            </w:tcBorders>
            <w:noWrap/>
            <w:vAlign w:val="bottom"/>
            <w:hideMark/>
          </w:tcPr>
          <w:p w14:paraId="72E43778" w14:textId="77777777" w:rsidR="00416D67" w:rsidRPr="00416D67" w:rsidRDefault="00416D67" w:rsidP="00416D67">
            <w:pPr>
              <w:rPr>
                <w:rFonts w:ascii="Arial" w:hAnsi="Arial" w:cs="Arial"/>
                <w:sz w:val="14"/>
                <w:szCs w:val="14"/>
              </w:rPr>
            </w:pPr>
            <w:r w:rsidRPr="00416D67">
              <w:rPr>
                <w:rFonts w:ascii="Arial" w:hAnsi="Arial" w:cs="Arial"/>
                <w:sz w:val="14"/>
                <w:szCs w:val="14"/>
              </w:rPr>
              <w:t>Stručno usavršavanje zaposlenika</w:t>
            </w:r>
          </w:p>
        </w:tc>
        <w:tc>
          <w:tcPr>
            <w:tcW w:w="1095" w:type="dxa"/>
            <w:tcBorders>
              <w:top w:val="single" w:sz="4" w:space="0" w:color="auto"/>
              <w:left w:val="nil"/>
              <w:bottom w:val="single" w:sz="4" w:space="0" w:color="auto"/>
              <w:right w:val="single" w:sz="4" w:space="0" w:color="auto"/>
            </w:tcBorders>
            <w:noWrap/>
            <w:vAlign w:val="bottom"/>
            <w:hideMark/>
          </w:tcPr>
          <w:p w14:paraId="3830F29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8D7C91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94AA50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2.723,06</w:t>
            </w:r>
          </w:p>
        </w:tc>
        <w:tc>
          <w:tcPr>
            <w:tcW w:w="918" w:type="dxa"/>
            <w:tcBorders>
              <w:top w:val="single" w:sz="4" w:space="0" w:color="auto"/>
              <w:left w:val="nil"/>
              <w:bottom w:val="single" w:sz="4" w:space="0" w:color="auto"/>
              <w:right w:val="single" w:sz="4" w:space="0" w:color="auto"/>
            </w:tcBorders>
            <w:noWrap/>
            <w:vAlign w:val="bottom"/>
            <w:hideMark/>
          </w:tcPr>
          <w:p w14:paraId="5FAA4C1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A06721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2D8747A" w14:textId="77777777" w:rsidR="00416D67" w:rsidRPr="00416D67" w:rsidRDefault="00416D67" w:rsidP="00416D67">
            <w:pPr>
              <w:rPr>
                <w:rFonts w:ascii="Arial" w:hAnsi="Arial" w:cs="Arial"/>
                <w:sz w:val="14"/>
                <w:szCs w:val="14"/>
              </w:rPr>
            </w:pPr>
            <w:r w:rsidRPr="00416D67">
              <w:rPr>
                <w:rFonts w:ascii="Arial" w:hAnsi="Arial" w:cs="Arial"/>
                <w:sz w:val="14"/>
                <w:szCs w:val="14"/>
              </w:rPr>
              <w:t>3214</w:t>
            </w:r>
          </w:p>
        </w:tc>
        <w:tc>
          <w:tcPr>
            <w:tcW w:w="8106" w:type="dxa"/>
            <w:tcBorders>
              <w:top w:val="single" w:sz="4" w:space="0" w:color="auto"/>
              <w:left w:val="nil"/>
              <w:bottom w:val="single" w:sz="4" w:space="0" w:color="auto"/>
              <w:right w:val="single" w:sz="4" w:space="0" w:color="auto"/>
            </w:tcBorders>
            <w:noWrap/>
            <w:vAlign w:val="bottom"/>
            <w:hideMark/>
          </w:tcPr>
          <w:p w14:paraId="14F91C6D" w14:textId="77777777" w:rsidR="00416D67" w:rsidRPr="00416D67" w:rsidRDefault="00416D67" w:rsidP="00416D67">
            <w:pPr>
              <w:rPr>
                <w:rFonts w:ascii="Arial" w:hAnsi="Arial" w:cs="Arial"/>
                <w:sz w:val="14"/>
                <w:szCs w:val="14"/>
              </w:rPr>
            </w:pPr>
            <w:r w:rsidRPr="00416D67">
              <w:rPr>
                <w:rFonts w:ascii="Arial" w:hAnsi="Arial" w:cs="Arial"/>
                <w:sz w:val="14"/>
                <w:szCs w:val="14"/>
              </w:rPr>
              <w:t>Ostale naknade troškova zaposlenima</w:t>
            </w:r>
          </w:p>
        </w:tc>
        <w:tc>
          <w:tcPr>
            <w:tcW w:w="1095" w:type="dxa"/>
            <w:tcBorders>
              <w:top w:val="single" w:sz="4" w:space="0" w:color="auto"/>
              <w:left w:val="nil"/>
              <w:bottom w:val="single" w:sz="4" w:space="0" w:color="auto"/>
              <w:right w:val="single" w:sz="4" w:space="0" w:color="auto"/>
            </w:tcBorders>
            <w:noWrap/>
            <w:vAlign w:val="bottom"/>
            <w:hideMark/>
          </w:tcPr>
          <w:p w14:paraId="33C44C9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CBB82F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09C217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3.366,20</w:t>
            </w:r>
          </w:p>
        </w:tc>
        <w:tc>
          <w:tcPr>
            <w:tcW w:w="918" w:type="dxa"/>
            <w:tcBorders>
              <w:top w:val="single" w:sz="4" w:space="0" w:color="auto"/>
              <w:left w:val="nil"/>
              <w:bottom w:val="single" w:sz="4" w:space="0" w:color="auto"/>
              <w:right w:val="single" w:sz="4" w:space="0" w:color="auto"/>
            </w:tcBorders>
            <w:noWrap/>
            <w:vAlign w:val="bottom"/>
            <w:hideMark/>
          </w:tcPr>
          <w:p w14:paraId="50BC7CA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86FF5B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4531C38" w14:textId="77777777" w:rsidR="00416D67" w:rsidRPr="00416D67" w:rsidRDefault="00416D67" w:rsidP="00416D67">
            <w:pPr>
              <w:rPr>
                <w:rFonts w:ascii="Arial" w:hAnsi="Arial" w:cs="Arial"/>
                <w:sz w:val="14"/>
                <w:szCs w:val="14"/>
              </w:rPr>
            </w:pPr>
            <w:r w:rsidRPr="00416D67">
              <w:rPr>
                <w:rFonts w:ascii="Arial" w:hAnsi="Arial" w:cs="Arial"/>
                <w:sz w:val="14"/>
                <w:szCs w:val="14"/>
              </w:rPr>
              <w:t>3221</w:t>
            </w:r>
          </w:p>
        </w:tc>
        <w:tc>
          <w:tcPr>
            <w:tcW w:w="8106" w:type="dxa"/>
            <w:tcBorders>
              <w:top w:val="single" w:sz="4" w:space="0" w:color="auto"/>
              <w:left w:val="nil"/>
              <w:bottom w:val="single" w:sz="4" w:space="0" w:color="auto"/>
              <w:right w:val="single" w:sz="4" w:space="0" w:color="auto"/>
            </w:tcBorders>
            <w:noWrap/>
            <w:vAlign w:val="bottom"/>
            <w:hideMark/>
          </w:tcPr>
          <w:p w14:paraId="536E579A" w14:textId="77777777" w:rsidR="00416D67" w:rsidRPr="00416D67" w:rsidRDefault="00416D67" w:rsidP="00416D67">
            <w:pPr>
              <w:rPr>
                <w:rFonts w:ascii="Arial" w:hAnsi="Arial" w:cs="Arial"/>
                <w:sz w:val="14"/>
                <w:szCs w:val="14"/>
              </w:rPr>
            </w:pPr>
            <w:r w:rsidRPr="00416D67">
              <w:rPr>
                <w:rFonts w:ascii="Arial" w:hAnsi="Arial" w:cs="Arial"/>
                <w:sz w:val="14"/>
                <w:szCs w:val="14"/>
              </w:rPr>
              <w:t>Uredski materijal i ostali materijalni rashodi</w:t>
            </w:r>
          </w:p>
        </w:tc>
        <w:tc>
          <w:tcPr>
            <w:tcW w:w="1095" w:type="dxa"/>
            <w:tcBorders>
              <w:top w:val="single" w:sz="4" w:space="0" w:color="auto"/>
              <w:left w:val="nil"/>
              <w:bottom w:val="single" w:sz="4" w:space="0" w:color="auto"/>
              <w:right w:val="single" w:sz="4" w:space="0" w:color="auto"/>
            </w:tcBorders>
            <w:noWrap/>
            <w:vAlign w:val="bottom"/>
            <w:hideMark/>
          </w:tcPr>
          <w:p w14:paraId="4B237ED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2BC509E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119543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10.162,06</w:t>
            </w:r>
          </w:p>
        </w:tc>
        <w:tc>
          <w:tcPr>
            <w:tcW w:w="918" w:type="dxa"/>
            <w:tcBorders>
              <w:top w:val="single" w:sz="4" w:space="0" w:color="auto"/>
              <w:left w:val="nil"/>
              <w:bottom w:val="single" w:sz="4" w:space="0" w:color="auto"/>
              <w:right w:val="single" w:sz="4" w:space="0" w:color="auto"/>
            </w:tcBorders>
            <w:noWrap/>
            <w:vAlign w:val="bottom"/>
            <w:hideMark/>
          </w:tcPr>
          <w:p w14:paraId="03C1449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8DD743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A327087" w14:textId="77777777" w:rsidR="00416D67" w:rsidRPr="00416D67" w:rsidRDefault="00416D67" w:rsidP="00416D67">
            <w:pPr>
              <w:rPr>
                <w:rFonts w:ascii="Arial" w:hAnsi="Arial" w:cs="Arial"/>
                <w:sz w:val="14"/>
                <w:szCs w:val="14"/>
              </w:rPr>
            </w:pPr>
            <w:r w:rsidRPr="00416D67">
              <w:rPr>
                <w:rFonts w:ascii="Arial" w:hAnsi="Arial" w:cs="Arial"/>
                <w:sz w:val="14"/>
                <w:szCs w:val="14"/>
              </w:rPr>
              <w:t>3222</w:t>
            </w:r>
          </w:p>
        </w:tc>
        <w:tc>
          <w:tcPr>
            <w:tcW w:w="8106" w:type="dxa"/>
            <w:tcBorders>
              <w:top w:val="single" w:sz="4" w:space="0" w:color="auto"/>
              <w:left w:val="nil"/>
              <w:bottom w:val="single" w:sz="4" w:space="0" w:color="auto"/>
              <w:right w:val="single" w:sz="4" w:space="0" w:color="auto"/>
            </w:tcBorders>
            <w:noWrap/>
            <w:vAlign w:val="bottom"/>
            <w:hideMark/>
          </w:tcPr>
          <w:p w14:paraId="2C13DF55" w14:textId="77777777" w:rsidR="00416D67" w:rsidRPr="00416D67" w:rsidRDefault="00416D67" w:rsidP="00416D67">
            <w:pPr>
              <w:rPr>
                <w:rFonts w:ascii="Arial" w:hAnsi="Arial" w:cs="Arial"/>
                <w:sz w:val="14"/>
                <w:szCs w:val="14"/>
              </w:rPr>
            </w:pPr>
            <w:r w:rsidRPr="00416D67">
              <w:rPr>
                <w:rFonts w:ascii="Arial" w:hAnsi="Arial" w:cs="Arial"/>
                <w:sz w:val="14"/>
                <w:szCs w:val="14"/>
              </w:rPr>
              <w:t>Materijal i sirovine</w:t>
            </w:r>
          </w:p>
        </w:tc>
        <w:tc>
          <w:tcPr>
            <w:tcW w:w="1095" w:type="dxa"/>
            <w:tcBorders>
              <w:top w:val="single" w:sz="4" w:space="0" w:color="auto"/>
              <w:left w:val="nil"/>
              <w:bottom w:val="single" w:sz="4" w:space="0" w:color="auto"/>
              <w:right w:val="single" w:sz="4" w:space="0" w:color="auto"/>
            </w:tcBorders>
            <w:noWrap/>
            <w:vAlign w:val="bottom"/>
            <w:hideMark/>
          </w:tcPr>
          <w:p w14:paraId="116B962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76AFFB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EE13B9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23.874,40</w:t>
            </w:r>
          </w:p>
        </w:tc>
        <w:tc>
          <w:tcPr>
            <w:tcW w:w="918" w:type="dxa"/>
            <w:tcBorders>
              <w:top w:val="single" w:sz="4" w:space="0" w:color="auto"/>
              <w:left w:val="nil"/>
              <w:bottom w:val="single" w:sz="4" w:space="0" w:color="auto"/>
              <w:right w:val="single" w:sz="4" w:space="0" w:color="auto"/>
            </w:tcBorders>
            <w:noWrap/>
            <w:vAlign w:val="bottom"/>
            <w:hideMark/>
          </w:tcPr>
          <w:p w14:paraId="71B7F27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A4EB3E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2BFD8EB" w14:textId="77777777" w:rsidR="00416D67" w:rsidRPr="00416D67" w:rsidRDefault="00416D67" w:rsidP="00416D67">
            <w:pPr>
              <w:rPr>
                <w:rFonts w:ascii="Arial" w:hAnsi="Arial" w:cs="Arial"/>
                <w:sz w:val="14"/>
                <w:szCs w:val="14"/>
              </w:rPr>
            </w:pPr>
            <w:r w:rsidRPr="00416D67">
              <w:rPr>
                <w:rFonts w:ascii="Arial" w:hAnsi="Arial" w:cs="Arial"/>
                <w:sz w:val="14"/>
                <w:szCs w:val="14"/>
              </w:rPr>
              <w:t>3223</w:t>
            </w:r>
          </w:p>
        </w:tc>
        <w:tc>
          <w:tcPr>
            <w:tcW w:w="8106" w:type="dxa"/>
            <w:tcBorders>
              <w:top w:val="single" w:sz="4" w:space="0" w:color="auto"/>
              <w:left w:val="nil"/>
              <w:bottom w:val="single" w:sz="4" w:space="0" w:color="auto"/>
              <w:right w:val="single" w:sz="4" w:space="0" w:color="auto"/>
            </w:tcBorders>
            <w:noWrap/>
            <w:vAlign w:val="bottom"/>
            <w:hideMark/>
          </w:tcPr>
          <w:p w14:paraId="34F163AC" w14:textId="77777777" w:rsidR="00416D67" w:rsidRPr="00416D67" w:rsidRDefault="00416D67" w:rsidP="00416D67">
            <w:pPr>
              <w:rPr>
                <w:rFonts w:ascii="Arial" w:hAnsi="Arial" w:cs="Arial"/>
                <w:sz w:val="14"/>
                <w:szCs w:val="14"/>
              </w:rPr>
            </w:pPr>
            <w:r w:rsidRPr="00416D67">
              <w:rPr>
                <w:rFonts w:ascii="Arial" w:hAnsi="Arial" w:cs="Arial"/>
                <w:sz w:val="14"/>
                <w:szCs w:val="14"/>
              </w:rPr>
              <w:t>Energija</w:t>
            </w:r>
          </w:p>
        </w:tc>
        <w:tc>
          <w:tcPr>
            <w:tcW w:w="1095" w:type="dxa"/>
            <w:tcBorders>
              <w:top w:val="single" w:sz="4" w:space="0" w:color="auto"/>
              <w:left w:val="nil"/>
              <w:bottom w:val="single" w:sz="4" w:space="0" w:color="auto"/>
              <w:right w:val="single" w:sz="4" w:space="0" w:color="auto"/>
            </w:tcBorders>
            <w:noWrap/>
            <w:vAlign w:val="bottom"/>
            <w:hideMark/>
          </w:tcPr>
          <w:p w14:paraId="2B898F1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742EB0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D40241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1.086,46</w:t>
            </w:r>
          </w:p>
        </w:tc>
        <w:tc>
          <w:tcPr>
            <w:tcW w:w="918" w:type="dxa"/>
            <w:tcBorders>
              <w:top w:val="single" w:sz="4" w:space="0" w:color="auto"/>
              <w:left w:val="nil"/>
              <w:bottom w:val="single" w:sz="4" w:space="0" w:color="auto"/>
              <w:right w:val="single" w:sz="4" w:space="0" w:color="auto"/>
            </w:tcBorders>
            <w:noWrap/>
            <w:vAlign w:val="bottom"/>
            <w:hideMark/>
          </w:tcPr>
          <w:p w14:paraId="60B491E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9A53A7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8574124" w14:textId="77777777" w:rsidR="00416D67" w:rsidRPr="00416D67" w:rsidRDefault="00416D67" w:rsidP="00416D67">
            <w:pPr>
              <w:rPr>
                <w:rFonts w:ascii="Arial" w:hAnsi="Arial" w:cs="Arial"/>
                <w:sz w:val="14"/>
                <w:szCs w:val="14"/>
              </w:rPr>
            </w:pPr>
            <w:r w:rsidRPr="00416D67">
              <w:rPr>
                <w:rFonts w:ascii="Arial" w:hAnsi="Arial" w:cs="Arial"/>
                <w:sz w:val="14"/>
                <w:szCs w:val="14"/>
              </w:rPr>
              <w:t>3225</w:t>
            </w:r>
          </w:p>
        </w:tc>
        <w:tc>
          <w:tcPr>
            <w:tcW w:w="8106" w:type="dxa"/>
            <w:tcBorders>
              <w:top w:val="single" w:sz="4" w:space="0" w:color="auto"/>
              <w:left w:val="nil"/>
              <w:bottom w:val="single" w:sz="4" w:space="0" w:color="auto"/>
              <w:right w:val="single" w:sz="4" w:space="0" w:color="auto"/>
            </w:tcBorders>
            <w:noWrap/>
            <w:vAlign w:val="bottom"/>
            <w:hideMark/>
          </w:tcPr>
          <w:p w14:paraId="166AAE5D"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Sitni inventar i </w:t>
            </w:r>
            <w:proofErr w:type="spellStart"/>
            <w:r w:rsidRPr="00416D67">
              <w:rPr>
                <w:rFonts w:ascii="Arial" w:hAnsi="Arial" w:cs="Arial"/>
                <w:sz w:val="14"/>
                <w:szCs w:val="14"/>
              </w:rPr>
              <w:t>autogume</w:t>
            </w:r>
            <w:proofErr w:type="spellEnd"/>
          </w:p>
        </w:tc>
        <w:tc>
          <w:tcPr>
            <w:tcW w:w="1095" w:type="dxa"/>
            <w:tcBorders>
              <w:top w:val="single" w:sz="4" w:space="0" w:color="auto"/>
              <w:left w:val="nil"/>
              <w:bottom w:val="single" w:sz="4" w:space="0" w:color="auto"/>
              <w:right w:val="single" w:sz="4" w:space="0" w:color="auto"/>
            </w:tcBorders>
            <w:noWrap/>
            <w:vAlign w:val="bottom"/>
            <w:hideMark/>
          </w:tcPr>
          <w:p w14:paraId="15AFE6A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83139D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385A3E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3.334,12</w:t>
            </w:r>
          </w:p>
        </w:tc>
        <w:tc>
          <w:tcPr>
            <w:tcW w:w="918" w:type="dxa"/>
            <w:tcBorders>
              <w:top w:val="single" w:sz="4" w:space="0" w:color="auto"/>
              <w:left w:val="nil"/>
              <w:bottom w:val="single" w:sz="4" w:space="0" w:color="auto"/>
              <w:right w:val="single" w:sz="4" w:space="0" w:color="auto"/>
            </w:tcBorders>
            <w:noWrap/>
            <w:vAlign w:val="bottom"/>
            <w:hideMark/>
          </w:tcPr>
          <w:p w14:paraId="28EDE63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8F3A64E" w14:textId="77777777" w:rsidTr="00BB1392">
        <w:trPr>
          <w:trHeight w:val="28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2C0144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Organizacijska klasifikacija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DD70B6F"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07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DDE9623"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F329D73"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9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3CF0B5B"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2025/2024.           (3/2)</w:t>
            </w:r>
          </w:p>
        </w:tc>
      </w:tr>
      <w:tr w:rsidR="00416D67" w:rsidRPr="00416D67" w14:paraId="4F0A1C1C"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63FEF1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Izvori</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3DC4A072"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3B4C13C0"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709E7A86"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0ACF555A" w14:textId="77777777" w:rsidR="00416D67" w:rsidRPr="00416D67" w:rsidRDefault="00416D67" w:rsidP="00416D67">
            <w:pPr>
              <w:rPr>
                <w:rFonts w:ascii="Arial" w:hAnsi="Arial" w:cs="Arial"/>
                <w:sz w:val="14"/>
                <w:szCs w:val="14"/>
              </w:rPr>
            </w:pPr>
          </w:p>
        </w:tc>
      </w:tr>
      <w:tr w:rsidR="00416D67" w:rsidRPr="00416D67" w14:paraId="3F740C1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000000"/>
            </w:tcBorders>
            <w:shd w:val="clear" w:color="000000" w:fill="D9D9D9"/>
            <w:hideMark/>
          </w:tcPr>
          <w:p w14:paraId="51E543C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Projekt/Aktivnost</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6365E875"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5793AF10"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57AFDB7E"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10845315" w14:textId="77777777" w:rsidR="00416D67" w:rsidRPr="00416D67" w:rsidRDefault="00416D67" w:rsidP="00416D67">
            <w:pPr>
              <w:rPr>
                <w:rFonts w:ascii="Arial" w:hAnsi="Arial" w:cs="Arial"/>
                <w:sz w:val="14"/>
                <w:szCs w:val="14"/>
              </w:rPr>
            </w:pPr>
          </w:p>
        </w:tc>
      </w:tr>
      <w:tr w:rsidR="00416D67" w:rsidRPr="00416D67" w14:paraId="24C8986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200C8C9" w14:textId="77777777" w:rsidR="00416D67" w:rsidRPr="00416D67" w:rsidRDefault="00416D67" w:rsidP="00416D67">
            <w:pPr>
              <w:rPr>
                <w:rFonts w:ascii="Arial" w:hAnsi="Arial" w:cs="Arial"/>
                <w:sz w:val="14"/>
                <w:szCs w:val="14"/>
              </w:rPr>
            </w:pPr>
            <w:r w:rsidRPr="00416D67">
              <w:rPr>
                <w:rFonts w:ascii="Arial" w:hAnsi="Arial" w:cs="Arial"/>
                <w:sz w:val="14"/>
                <w:szCs w:val="14"/>
              </w:rPr>
              <w:t>3227</w:t>
            </w:r>
          </w:p>
        </w:tc>
        <w:tc>
          <w:tcPr>
            <w:tcW w:w="8106" w:type="dxa"/>
            <w:tcBorders>
              <w:top w:val="single" w:sz="4" w:space="0" w:color="auto"/>
              <w:left w:val="nil"/>
              <w:bottom w:val="single" w:sz="4" w:space="0" w:color="auto"/>
              <w:right w:val="single" w:sz="4" w:space="0" w:color="auto"/>
            </w:tcBorders>
            <w:noWrap/>
            <w:vAlign w:val="bottom"/>
            <w:hideMark/>
          </w:tcPr>
          <w:p w14:paraId="5323BF94" w14:textId="77777777" w:rsidR="00416D67" w:rsidRPr="00416D67" w:rsidRDefault="00416D67" w:rsidP="00416D67">
            <w:pPr>
              <w:rPr>
                <w:rFonts w:ascii="Arial" w:hAnsi="Arial" w:cs="Arial"/>
                <w:sz w:val="14"/>
                <w:szCs w:val="14"/>
              </w:rPr>
            </w:pPr>
            <w:r w:rsidRPr="00416D67">
              <w:rPr>
                <w:rFonts w:ascii="Arial" w:hAnsi="Arial" w:cs="Arial"/>
                <w:sz w:val="14"/>
                <w:szCs w:val="14"/>
              </w:rPr>
              <w:t>Službena, radna i zaštitna odjeća i obuća</w:t>
            </w:r>
          </w:p>
        </w:tc>
        <w:tc>
          <w:tcPr>
            <w:tcW w:w="1095" w:type="dxa"/>
            <w:tcBorders>
              <w:top w:val="single" w:sz="4" w:space="0" w:color="auto"/>
              <w:left w:val="nil"/>
              <w:bottom w:val="single" w:sz="4" w:space="0" w:color="auto"/>
              <w:right w:val="single" w:sz="4" w:space="0" w:color="auto"/>
            </w:tcBorders>
            <w:noWrap/>
            <w:vAlign w:val="bottom"/>
            <w:hideMark/>
          </w:tcPr>
          <w:p w14:paraId="1D79749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779DCC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917B30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1.746,23</w:t>
            </w:r>
          </w:p>
        </w:tc>
        <w:tc>
          <w:tcPr>
            <w:tcW w:w="918" w:type="dxa"/>
            <w:tcBorders>
              <w:top w:val="single" w:sz="4" w:space="0" w:color="auto"/>
              <w:left w:val="nil"/>
              <w:bottom w:val="single" w:sz="4" w:space="0" w:color="auto"/>
              <w:right w:val="single" w:sz="4" w:space="0" w:color="auto"/>
            </w:tcBorders>
            <w:noWrap/>
            <w:vAlign w:val="bottom"/>
            <w:hideMark/>
          </w:tcPr>
          <w:p w14:paraId="1D3C139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0D7990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E8B1CEE" w14:textId="77777777" w:rsidR="00416D67" w:rsidRPr="00416D67" w:rsidRDefault="00416D67" w:rsidP="00416D67">
            <w:pPr>
              <w:rPr>
                <w:rFonts w:ascii="Arial" w:hAnsi="Arial" w:cs="Arial"/>
                <w:sz w:val="14"/>
                <w:szCs w:val="14"/>
              </w:rPr>
            </w:pPr>
            <w:r w:rsidRPr="00416D67">
              <w:rPr>
                <w:rFonts w:ascii="Arial" w:hAnsi="Arial" w:cs="Arial"/>
                <w:sz w:val="14"/>
                <w:szCs w:val="14"/>
              </w:rPr>
              <w:t>3231</w:t>
            </w:r>
          </w:p>
        </w:tc>
        <w:tc>
          <w:tcPr>
            <w:tcW w:w="8106" w:type="dxa"/>
            <w:tcBorders>
              <w:top w:val="single" w:sz="4" w:space="0" w:color="auto"/>
              <w:left w:val="nil"/>
              <w:bottom w:val="single" w:sz="4" w:space="0" w:color="auto"/>
              <w:right w:val="single" w:sz="4" w:space="0" w:color="auto"/>
            </w:tcBorders>
            <w:noWrap/>
            <w:vAlign w:val="bottom"/>
            <w:hideMark/>
          </w:tcPr>
          <w:p w14:paraId="79E19FD0" w14:textId="77777777" w:rsidR="00416D67" w:rsidRPr="00416D67" w:rsidRDefault="00416D67" w:rsidP="00416D67">
            <w:pPr>
              <w:rPr>
                <w:rFonts w:ascii="Arial" w:hAnsi="Arial" w:cs="Arial"/>
                <w:sz w:val="14"/>
                <w:szCs w:val="14"/>
              </w:rPr>
            </w:pPr>
            <w:r w:rsidRPr="00416D67">
              <w:rPr>
                <w:rFonts w:ascii="Arial" w:hAnsi="Arial" w:cs="Arial"/>
                <w:sz w:val="14"/>
                <w:szCs w:val="14"/>
              </w:rPr>
              <w:t>Usluge telefona, interneta, pošte i prijevoza</w:t>
            </w:r>
          </w:p>
        </w:tc>
        <w:tc>
          <w:tcPr>
            <w:tcW w:w="1095" w:type="dxa"/>
            <w:tcBorders>
              <w:top w:val="single" w:sz="4" w:space="0" w:color="auto"/>
              <w:left w:val="nil"/>
              <w:bottom w:val="single" w:sz="4" w:space="0" w:color="auto"/>
              <w:right w:val="single" w:sz="4" w:space="0" w:color="auto"/>
            </w:tcBorders>
            <w:noWrap/>
            <w:vAlign w:val="bottom"/>
            <w:hideMark/>
          </w:tcPr>
          <w:p w14:paraId="5FBCE81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D20D28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F39A83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6.646,72</w:t>
            </w:r>
          </w:p>
        </w:tc>
        <w:tc>
          <w:tcPr>
            <w:tcW w:w="918" w:type="dxa"/>
            <w:tcBorders>
              <w:top w:val="single" w:sz="4" w:space="0" w:color="auto"/>
              <w:left w:val="nil"/>
              <w:bottom w:val="single" w:sz="4" w:space="0" w:color="auto"/>
              <w:right w:val="single" w:sz="4" w:space="0" w:color="auto"/>
            </w:tcBorders>
            <w:noWrap/>
            <w:vAlign w:val="bottom"/>
            <w:hideMark/>
          </w:tcPr>
          <w:p w14:paraId="01F7F75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198D65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A16304F" w14:textId="77777777" w:rsidR="00416D67" w:rsidRPr="00416D67" w:rsidRDefault="00416D67" w:rsidP="00416D67">
            <w:pPr>
              <w:rPr>
                <w:rFonts w:ascii="Arial" w:hAnsi="Arial" w:cs="Arial"/>
                <w:sz w:val="14"/>
                <w:szCs w:val="14"/>
              </w:rPr>
            </w:pPr>
            <w:r w:rsidRPr="00416D67">
              <w:rPr>
                <w:rFonts w:ascii="Arial" w:hAnsi="Arial" w:cs="Arial"/>
                <w:sz w:val="14"/>
                <w:szCs w:val="14"/>
              </w:rPr>
              <w:t>3232</w:t>
            </w:r>
          </w:p>
        </w:tc>
        <w:tc>
          <w:tcPr>
            <w:tcW w:w="8106" w:type="dxa"/>
            <w:tcBorders>
              <w:top w:val="single" w:sz="4" w:space="0" w:color="auto"/>
              <w:left w:val="nil"/>
              <w:bottom w:val="single" w:sz="4" w:space="0" w:color="auto"/>
              <w:right w:val="single" w:sz="4" w:space="0" w:color="auto"/>
            </w:tcBorders>
            <w:noWrap/>
            <w:vAlign w:val="bottom"/>
            <w:hideMark/>
          </w:tcPr>
          <w:p w14:paraId="104808DD" w14:textId="77777777" w:rsidR="00416D67" w:rsidRPr="00416D67" w:rsidRDefault="00416D67" w:rsidP="00416D67">
            <w:pPr>
              <w:rPr>
                <w:rFonts w:ascii="Arial" w:hAnsi="Arial" w:cs="Arial"/>
                <w:sz w:val="14"/>
                <w:szCs w:val="14"/>
              </w:rPr>
            </w:pPr>
            <w:r w:rsidRPr="00416D67">
              <w:rPr>
                <w:rFonts w:ascii="Arial" w:hAnsi="Arial" w:cs="Arial"/>
                <w:sz w:val="14"/>
                <w:szCs w:val="14"/>
              </w:rPr>
              <w:t>Usluge tekućeg i investicijskog  održavanja</w:t>
            </w:r>
          </w:p>
        </w:tc>
        <w:tc>
          <w:tcPr>
            <w:tcW w:w="1095" w:type="dxa"/>
            <w:tcBorders>
              <w:top w:val="single" w:sz="4" w:space="0" w:color="auto"/>
              <w:left w:val="nil"/>
              <w:bottom w:val="single" w:sz="4" w:space="0" w:color="auto"/>
              <w:right w:val="single" w:sz="4" w:space="0" w:color="auto"/>
            </w:tcBorders>
            <w:noWrap/>
            <w:vAlign w:val="bottom"/>
            <w:hideMark/>
          </w:tcPr>
          <w:p w14:paraId="3688C8A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88745C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88CAE3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5.953,56</w:t>
            </w:r>
          </w:p>
        </w:tc>
        <w:tc>
          <w:tcPr>
            <w:tcW w:w="918" w:type="dxa"/>
            <w:tcBorders>
              <w:top w:val="single" w:sz="4" w:space="0" w:color="auto"/>
              <w:left w:val="nil"/>
              <w:bottom w:val="single" w:sz="4" w:space="0" w:color="auto"/>
              <w:right w:val="single" w:sz="4" w:space="0" w:color="auto"/>
            </w:tcBorders>
            <w:noWrap/>
            <w:vAlign w:val="bottom"/>
            <w:hideMark/>
          </w:tcPr>
          <w:p w14:paraId="08048CC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3C9BF7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F6324EA" w14:textId="77777777" w:rsidR="00416D67" w:rsidRPr="00416D67" w:rsidRDefault="00416D67" w:rsidP="00416D67">
            <w:pPr>
              <w:rPr>
                <w:rFonts w:ascii="Arial" w:hAnsi="Arial" w:cs="Arial"/>
                <w:sz w:val="14"/>
                <w:szCs w:val="14"/>
              </w:rPr>
            </w:pPr>
            <w:r w:rsidRPr="00416D67">
              <w:rPr>
                <w:rFonts w:ascii="Arial" w:hAnsi="Arial" w:cs="Arial"/>
                <w:sz w:val="14"/>
                <w:szCs w:val="14"/>
              </w:rPr>
              <w:t>3233</w:t>
            </w:r>
          </w:p>
        </w:tc>
        <w:tc>
          <w:tcPr>
            <w:tcW w:w="8106" w:type="dxa"/>
            <w:tcBorders>
              <w:top w:val="single" w:sz="4" w:space="0" w:color="auto"/>
              <w:left w:val="nil"/>
              <w:bottom w:val="single" w:sz="4" w:space="0" w:color="auto"/>
              <w:right w:val="single" w:sz="4" w:space="0" w:color="auto"/>
            </w:tcBorders>
            <w:noWrap/>
            <w:vAlign w:val="bottom"/>
            <w:hideMark/>
          </w:tcPr>
          <w:p w14:paraId="298BFB07" w14:textId="77777777" w:rsidR="00416D67" w:rsidRPr="00416D67" w:rsidRDefault="00416D67" w:rsidP="00416D67">
            <w:pPr>
              <w:rPr>
                <w:rFonts w:ascii="Arial" w:hAnsi="Arial" w:cs="Arial"/>
                <w:sz w:val="14"/>
                <w:szCs w:val="14"/>
              </w:rPr>
            </w:pPr>
            <w:r w:rsidRPr="00416D67">
              <w:rPr>
                <w:rFonts w:ascii="Arial" w:hAnsi="Arial" w:cs="Arial"/>
                <w:sz w:val="14"/>
                <w:szCs w:val="14"/>
              </w:rPr>
              <w:t>Usluge promidžbe i informiranja</w:t>
            </w:r>
          </w:p>
        </w:tc>
        <w:tc>
          <w:tcPr>
            <w:tcW w:w="1095" w:type="dxa"/>
            <w:tcBorders>
              <w:top w:val="single" w:sz="4" w:space="0" w:color="auto"/>
              <w:left w:val="nil"/>
              <w:bottom w:val="single" w:sz="4" w:space="0" w:color="auto"/>
              <w:right w:val="single" w:sz="4" w:space="0" w:color="auto"/>
            </w:tcBorders>
            <w:noWrap/>
            <w:vAlign w:val="bottom"/>
            <w:hideMark/>
          </w:tcPr>
          <w:p w14:paraId="7A2A031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8C5C1D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5A9C3A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2.012,50</w:t>
            </w:r>
          </w:p>
        </w:tc>
        <w:tc>
          <w:tcPr>
            <w:tcW w:w="918" w:type="dxa"/>
            <w:tcBorders>
              <w:top w:val="single" w:sz="4" w:space="0" w:color="auto"/>
              <w:left w:val="nil"/>
              <w:bottom w:val="single" w:sz="4" w:space="0" w:color="auto"/>
              <w:right w:val="single" w:sz="4" w:space="0" w:color="auto"/>
            </w:tcBorders>
            <w:noWrap/>
            <w:vAlign w:val="bottom"/>
            <w:hideMark/>
          </w:tcPr>
          <w:p w14:paraId="2CC384C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47D280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DC293F7" w14:textId="77777777" w:rsidR="00416D67" w:rsidRPr="00416D67" w:rsidRDefault="00416D67" w:rsidP="00416D67">
            <w:pPr>
              <w:rPr>
                <w:rFonts w:ascii="Arial" w:hAnsi="Arial" w:cs="Arial"/>
                <w:sz w:val="14"/>
                <w:szCs w:val="14"/>
              </w:rPr>
            </w:pPr>
            <w:r w:rsidRPr="00416D67">
              <w:rPr>
                <w:rFonts w:ascii="Arial" w:hAnsi="Arial" w:cs="Arial"/>
                <w:sz w:val="14"/>
                <w:szCs w:val="14"/>
              </w:rPr>
              <w:t>3236</w:t>
            </w:r>
          </w:p>
        </w:tc>
        <w:tc>
          <w:tcPr>
            <w:tcW w:w="8106" w:type="dxa"/>
            <w:tcBorders>
              <w:top w:val="single" w:sz="4" w:space="0" w:color="auto"/>
              <w:left w:val="nil"/>
              <w:bottom w:val="single" w:sz="4" w:space="0" w:color="auto"/>
              <w:right w:val="single" w:sz="4" w:space="0" w:color="auto"/>
            </w:tcBorders>
            <w:noWrap/>
            <w:vAlign w:val="bottom"/>
            <w:hideMark/>
          </w:tcPr>
          <w:p w14:paraId="3CB347DE" w14:textId="77777777" w:rsidR="00416D67" w:rsidRPr="00416D67" w:rsidRDefault="00416D67" w:rsidP="00416D67">
            <w:pPr>
              <w:rPr>
                <w:rFonts w:ascii="Arial" w:hAnsi="Arial" w:cs="Arial"/>
                <w:sz w:val="14"/>
                <w:szCs w:val="14"/>
              </w:rPr>
            </w:pPr>
            <w:r w:rsidRPr="00416D67">
              <w:rPr>
                <w:rFonts w:ascii="Arial" w:hAnsi="Arial" w:cs="Arial"/>
                <w:sz w:val="14"/>
                <w:szCs w:val="14"/>
              </w:rPr>
              <w:t>Zdravstvene i veterinarske usluge</w:t>
            </w:r>
          </w:p>
        </w:tc>
        <w:tc>
          <w:tcPr>
            <w:tcW w:w="1095" w:type="dxa"/>
            <w:tcBorders>
              <w:top w:val="single" w:sz="4" w:space="0" w:color="auto"/>
              <w:left w:val="nil"/>
              <w:bottom w:val="single" w:sz="4" w:space="0" w:color="auto"/>
              <w:right w:val="single" w:sz="4" w:space="0" w:color="auto"/>
            </w:tcBorders>
            <w:noWrap/>
            <w:vAlign w:val="bottom"/>
            <w:hideMark/>
          </w:tcPr>
          <w:p w14:paraId="44D8E10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F3D60B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0B36B6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2.860,41</w:t>
            </w:r>
          </w:p>
        </w:tc>
        <w:tc>
          <w:tcPr>
            <w:tcW w:w="918" w:type="dxa"/>
            <w:tcBorders>
              <w:top w:val="single" w:sz="4" w:space="0" w:color="auto"/>
              <w:left w:val="nil"/>
              <w:bottom w:val="single" w:sz="4" w:space="0" w:color="auto"/>
              <w:right w:val="single" w:sz="4" w:space="0" w:color="auto"/>
            </w:tcBorders>
            <w:noWrap/>
            <w:vAlign w:val="bottom"/>
            <w:hideMark/>
          </w:tcPr>
          <w:p w14:paraId="7E2B0C2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1297C5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0766CD6" w14:textId="77777777" w:rsidR="00416D67" w:rsidRPr="00416D67" w:rsidRDefault="00416D67" w:rsidP="00416D67">
            <w:pPr>
              <w:rPr>
                <w:rFonts w:ascii="Arial" w:hAnsi="Arial" w:cs="Arial"/>
                <w:sz w:val="14"/>
                <w:szCs w:val="14"/>
              </w:rPr>
            </w:pPr>
            <w:r w:rsidRPr="00416D67">
              <w:rPr>
                <w:rFonts w:ascii="Arial" w:hAnsi="Arial" w:cs="Arial"/>
                <w:sz w:val="14"/>
                <w:szCs w:val="14"/>
              </w:rPr>
              <w:t>3237</w:t>
            </w:r>
          </w:p>
        </w:tc>
        <w:tc>
          <w:tcPr>
            <w:tcW w:w="8106" w:type="dxa"/>
            <w:tcBorders>
              <w:top w:val="single" w:sz="4" w:space="0" w:color="auto"/>
              <w:left w:val="nil"/>
              <w:bottom w:val="single" w:sz="4" w:space="0" w:color="auto"/>
              <w:right w:val="single" w:sz="4" w:space="0" w:color="auto"/>
            </w:tcBorders>
            <w:noWrap/>
            <w:vAlign w:val="bottom"/>
            <w:hideMark/>
          </w:tcPr>
          <w:p w14:paraId="3A3A4015" w14:textId="77777777" w:rsidR="00416D67" w:rsidRPr="00416D67" w:rsidRDefault="00416D67" w:rsidP="00416D67">
            <w:pPr>
              <w:rPr>
                <w:rFonts w:ascii="Arial" w:hAnsi="Arial" w:cs="Arial"/>
                <w:sz w:val="14"/>
                <w:szCs w:val="14"/>
              </w:rPr>
            </w:pPr>
            <w:r w:rsidRPr="00416D67">
              <w:rPr>
                <w:rFonts w:ascii="Arial" w:hAnsi="Arial" w:cs="Arial"/>
                <w:sz w:val="14"/>
                <w:szCs w:val="14"/>
              </w:rPr>
              <w:t>Intelektualne i osobne usluge</w:t>
            </w:r>
          </w:p>
        </w:tc>
        <w:tc>
          <w:tcPr>
            <w:tcW w:w="1095" w:type="dxa"/>
            <w:tcBorders>
              <w:top w:val="single" w:sz="4" w:space="0" w:color="auto"/>
              <w:left w:val="nil"/>
              <w:bottom w:val="single" w:sz="4" w:space="0" w:color="auto"/>
              <w:right w:val="single" w:sz="4" w:space="0" w:color="auto"/>
            </w:tcBorders>
            <w:noWrap/>
            <w:vAlign w:val="bottom"/>
            <w:hideMark/>
          </w:tcPr>
          <w:p w14:paraId="67B9468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9D2E41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A85DBD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2.981,64</w:t>
            </w:r>
          </w:p>
        </w:tc>
        <w:tc>
          <w:tcPr>
            <w:tcW w:w="918" w:type="dxa"/>
            <w:tcBorders>
              <w:top w:val="single" w:sz="4" w:space="0" w:color="auto"/>
              <w:left w:val="nil"/>
              <w:bottom w:val="single" w:sz="4" w:space="0" w:color="auto"/>
              <w:right w:val="single" w:sz="4" w:space="0" w:color="auto"/>
            </w:tcBorders>
            <w:noWrap/>
            <w:vAlign w:val="bottom"/>
            <w:hideMark/>
          </w:tcPr>
          <w:p w14:paraId="3C4EAC0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3CADA8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F94684E" w14:textId="77777777" w:rsidR="00416D67" w:rsidRPr="00416D67" w:rsidRDefault="00416D67" w:rsidP="00416D67">
            <w:pPr>
              <w:rPr>
                <w:rFonts w:ascii="Arial" w:hAnsi="Arial" w:cs="Arial"/>
                <w:sz w:val="14"/>
                <w:szCs w:val="14"/>
              </w:rPr>
            </w:pPr>
            <w:r w:rsidRPr="00416D67">
              <w:rPr>
                <w:rFonts w:ascii="Arial" w:hAnsi="Arial" w:cs="Arial"/>
                <w:sz w:val="14"/>
                <w:szCs w:val="14"/>
              </w:rPr>
              <w:t>3238</w:t>
            </w:r>
          </w:p>
        </w:tc>
        <w:tc>
          <w:tcPr>
            <w:tcW w:w="8106" w:type="dxa"/>
            <w:tcBorders>
              <w:top w:val="single" w:sz="4" w:space="0" w:color="auto"/>
              <w:left w:val="nil"/>
              <w:bottom w:val="single" w:sz="4" w:space="0" w:color="auto"/>
              <w:right w:val="single" w:sz="4" w:space="0" w:color="auto"/>
            </w:tcBorders>
            <w:noWrap/>
            <w:vAlign w:val="bottom"/>
            <w:hideMark/>
          </w:tcPr>
          <w:p w14:paraId="1B72497C" w14:textId="77777777" w:rsidR="00416D67" w:rsidRPr="00416D67" w:rsidRDefault="00416D67" w:rsidP="00416D67">
            <w:pPr>
              <w:rPr>
                <w:rFonts w:ascii="Arial" w:hAnsi="Arial" w:cs="Arial"/>
                <w:sz w:val="14"/>
                <w:szCs w:val="14"/>
              </w:rPr>
            </w:pPr>
            <w:r w:rsidRPr="00416D67">
              <w:rPr>
                <w:rFonts w:ascii="Arial" w:hAnsi="Arial" w:cs="Arial"/>
                <w:sz w:val="14"/>
                <w:szCs w:val="14"/>
              </w:rPr>
              <w:t>Računalne usluge</w:t>
            </w:r>
          </w:p>
        </w:tc>
        <w:tc>
          <w:tcPr>
            <w:tcW w:w="1095" w:type="dxa"/>
            <w:tcBorders>
              <w:top w:val="single" w:sz="4" w:space="0" w:color="auto"/>
              <w:left w:val="nil"/>
              <w:bottom w:val="single" w:sz="4" w:space="0" w:color="auto"/>
              <w:right w:val="single" w:sz="4" w:space="0" w:color="auto"/>
            </w:tcBorders>
            <w:noWrap/>
            <w:vAlign w:val="bottom"/>
            <w:hideMark/>
          </w:tcPr>
          <w:p w14:paraId="0A79E90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1ED4FE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81EA6F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1.455,16</w:t>
            </w:r>
          </w:p>
        </w:tc>
        <w:tc>
          <w:tcPr>
            <w:tcW w:w="918" w:type="dxa"/>
            <w:tcBorders>
              <w:top w:val="single" w:sz="4" w:space="0" w:color="auto"/>
              <w:left w:val="nil"/>
              <w:bottom w:val="single" w:sz="4" w:space="0" w:color="auto"/>
              <w:right w:val="single" w:sz="4" w:space="0" w:color="auto"/>
            </w:tcBorders>
            <w:noWrap/>
            <w:vAlign w:val="bottom"/>
            <w:hideMark/>
          </w:tcPr>
          <w:p w14:paraId="1AF7E9A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8C0970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82DA90D" w14:textId="77777777" w:rsidR="00416D67" w:rsidRPr="00416D67" w:rsidRDefault="00416D67" w:rsidP="00416D67">
            <w:pPr>
              <w:rPr>
                <w:rFonts w:ascii="Arial" w:hAnsi="Arial" w:cs="Arial"/>
                <w:sz w:val="14"/>
                <w:szCs w:val="14"/>
              </w:rPr>
            </w:pPr>
            <w:r w:rsidRPr="00416D67">
              <w:rPr>
                <w:rFonts w:ascii="Arial" w:hAnsi="Arial" w:cs="Arial"/>
                <w:sz w:val="14"/>
                <w:szCs w:val="14"/>
              </w:rPr>
              <w:t>3239</w:t>
            </w:r>
          </w:p>
        </w:tc>
        <w:tc>
          <w:tcPr>
            <w:tcW w:w="8106" w:type="dxa"/>
            <w:tcBorders>
              <w:top w:val="single" w:sz="4" w:space="0" w:color="auto"/>
              <w:left w:val="nil"/>
              <w:bottom w:val="single" w:sz="4" w:space="0" w:color="auto"/>
              <w:right w:val="single" w:sz="4" w:space="0" w:color="auto"/>
            </w:tcBorders>
            <w:noWrap/>
            <w:vAlign w:val="bottom"/>
            <w:hideMark/>
          </w:tcPr>
          <w:p w14:paraId="5ABAFE32" w14:textId="77777777" w:rsidR="00416D67" w:rsidRPr="00416D67" w:rsidRDefault="00416D67" w:rsidP="00416D67">
            <w:pPr>
              <w:rPr>
                <w:rFonts w:ascii="Arial" w:hAnsi="Arial" w:cs="Arial"/>
                <w:sz w:val="14"/>
                <w:szCs w:val="14"/>
              </w:rPr>
            </w:pPr>
            <w:r w:rsidRPr="00416D67">
              <w:rPr>
                <w:rFonts w:ascii="Arial" w:hAnsi="Arial" w:cs="Arial"/>
                <w:sz w:val="14"/>
                <w:szCs w:val="14"/>
              </w:rPr>
              <w:t>Ostale usluge</w:t>
            </w:r>
          </w:p>
        </w:tc>
        <w:tc>
          <w:tcPr>
            <w:tcW w:w="1095" w:type="dxa"/>
            <w:tcBorders>
              <w:top w:val="single" w:sz="4" w:space="0" w:color="auto"/>
              <w:left w:val="nil"/>
              <w:bottom w:val="single" w:sz="4" w:space="0" w:color="auto"/>
              <w:right w:val="single" w:sz="4" w:space="0" w:color="auto"/>
            </w:tcBorders>
            <w:noWrap/>
            <w:vAlign w:val="bottom"/>
            <w:hideMark/>
          </w:tcPr>
          <w:p w14:paraId="52B6BBA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7493AE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F66605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24.236,66</w:t>
            </w:r>
          </w:p>
        </w:tc>
        <w:tc>
          <w:tcPr>
            <w:tcW w:w="918" w:type="dxa"/>
            <w:tcBorders>
              <w:top w:val="single" w:sz="4" w:space="0" w:color="auto"/>
              <w:left w:val="nil"/>
              <w:bottom w:val="single" w:sz="4" w:space="0" w:color="auto"/>
              <w:right w:val="single" w:sz="4" w:space="0" w:color="auto"/>
            </w:tcBorders>
            <w:noWrap/>
            <w:vAlign w:val="bottom"/>
            <w:hideMark/>
          </w:tcPr>
          <w:p w14:paraId="758B36C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9CE5D0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F6FC131" w14:textId="77777777" w:rsidR="00416D67" w:rsidRPr="00416D67" w:rsidRDefault="00416D67" w:rsidP="00416D67">
            <w:pPr>
              <w:rPr>
                <w:rFonts w:ascii="Arial" w:hAnsi="Arial" w:cs="Arial"/>
                <w:sz w:val="14"/>
                <w:szCs w:val="14"/>
              </w:rPr>
            </w:pPr>
            <w:r w:rsidRPr="00416D67">
              <w:rPr>
                <w:rFonts w:ascii="Arial" w:hAnsi="Arial" w:cs="Arial"/>
                <w:sz w:val="14"/>
                <w:szCs w:val="14"/>
              </w:rPr>
              <w:t>3292</w:t>
            </w:r>
          </w:p>
        </w:tc>
        <w:tc>
          <w:tcPr>
            <w:tcW w:w="8106" w:type="dxa"/>
            <w:tcBorders>
              <w:top w:val="single" w:sz="4" w:space="0" w:color="auto"/>
              <w:left w:val="nil"/>
              <w:bottom w:val="single" w:sz="4" w:space="0" w:color="auto"/>
              <w:right w:val="single" w:sz="4" w:space="0" w:color="auto"/>
            </w:tcBorders>
            <w:noWrap/>
            <w:vAlign w:val="bottom"/>
            <w:hideMark/>
          </w:tcPr>
          <w:p w14:paraId="4D5324D4" w14:textId="77777777" w:rsidR="00416D67" w:rsidRPr="00416D67" w:rsidRDefault="00416D67" w:rsidP="00416D67">
            <w:pPr>
              <w:rPr>
                <w:rFonts w:ascii="Arial" w:hAnsi="Arial" w:cs="Arial"/>
                <w:sz w:val="14"/>
                <w:szCs w:val="14"/>
              </w:rPr>
            </w:pPr>
            <w:r w:rsidRPr="00416D67">
              <w:rPr>
                <w:rFonts w:ascii="Arial" w:hAnsi="Arial" w:cs="Arial"/>
                <w:sz w:val="14"/>
                <w:szCs w:val="14"/>
              </w:rPr>
              <w:t>Premije osiguranja</w:t>
            </w:r>
          </w:p>
        </w:tc>
        <w:tc>
          <w:tcPr>
            <w:tcW w:w="1095" w:type="dxa"/>
            <w:tcBorders>
              <w:top w:val="single" w:sz="4" w:space="0" w:color="auto"/>
              <w:left w:val="nil"/>
              <w:bottom w:val="single" w:sz="4" w:space="0" w:color="auto"/>
              <w:right w:val="single" w:sz="4" w:space="0" w:color="auto"/>
            </w:tcBorders>
            <w:noWrap/>
            <w:vAlign w:val="bottom"/>
            <w:hideMark/>
          </w:tcPr>
          <w:p w14:paraId="09B8C36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02D90A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F1313A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684,32</w:t>
            </w:r>
          </w:p>
        </w:tc>
        <w:tc>
          <w:tcPr>
            <w:tcW w:w="918" w:type="dxa"/>
            <w:tcBorders>
              <w:top w:val="single" w:sz="4" w:space="0" w:color="auto"/>
              <w:left w:val="nil"/>
              <w:bottom w:val="single" w:sz="4" w:space="0" w:color="auto"/>
              <w:right w:val="single" w:sz="4" w:space="0" w:color="auto"/>
            </w:tcBorders>
            <w:noWrap/>
            <w:vAlign w:val="bottom"/>
            <w:hideMark/>
          </w:tcPr>
          <w:p w14:paraId="59E60EB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AD1B11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CD42013" w14:textId="77777777" w:rsidR="00416D67" w:rsidRPr="00416D67" w:rsidRDefault="00416D67" w:rsidP="00416D67">
            <w:pPr>
              <w:rPr>
                <w:rFonts w:ascii="Arial" w:hAnsi="Arial" w:cs="Arial"/>
                <w:sz w:val="14"/>
                <w:szCs w:val="14"/>
              </w:rPr>
            </w:pPr>
            <w:r w:rsidRPr="00416D67">
              <w:rPr>
                <w:rFonts w:ascii="Arial" w:hAnsi="Arial" w:cs="Arial"/>
                <w:sz w:val="14"/>
                <w:szCs w:val="14"/>
              </w:rPr>
              <w:t>3293</w:t>
            </w:r>
          </w:p>
        </w:tc>
        <w:tc>
          <w:tcPr>
            <w:tcW w:w="8106" w:type="dxa"/>
            <w:tcBorders>
              <w:top w:val="single" w:sz="4" w:space="0" w:color="auto"/>
              <w:left w:val="nil"/>
              <w:bottom w:val="single" w:sz="4" w:space="0" w:color="auto"/>
              <w:right w:val="single" w:sz="4" w:space="0" w:color="auto"/>
            </w:tcBorders>
            <w:noWrap/>
            <w:vAlign w:val="bottom"/>
            <w:hideMark/>
          </w:tcPr>
          <w:p w14:paraId="60DF51C4" w14:textId="77777777" w:rsidR="00416D67" w:rsidRPr="00416D67" w:rsidRDefault="00416D67" w:rsidP="00416D67">
            <w:pPr>
              <w:rPr>
                <w:rFonts w:ascii="Arial" w:hAnsi="Arial" w:cs="Arial"/>
                <w:sz w:val="14"/>
                <w:szCs w:val="14"/>
              </w:rPr>
            </w:pPr>
            <w:r w:rsidRPr="00416D67">
              <w:rPr>
                <w:rFonts w:ascii="Arial" w:hAnsi="Arial" w:cs="Arial"/>
                <w:sz w:val="14"/>
                <w:szCs w:val="14"/>
              </w:rPr>
              <w:t>Reprezentacija</w:t>
            </w:r>
          </w:p>
        </w:tc>
        <w:tc>
          <w:tcPr>
            <w:tcW w:w="1095" w:type="dxa"/>
            <w:tcBorders>
              <w:top w:val="single" w:sz="4" w:space="0" w:color="auto"/>
              <w:left w:val="nil"/>
              <w:bottom w:val="single" w:sz="4" w:space="0" w:color="auto"/>
              <w:right w:val="single" w:sz="4" w:space="0" w:color="auto"/>
            </w:tcBorders>
            <w:noWrap/>
            <w:vAlign w:val="bottom"/>
            <w:hideMark/>
          </w:tcPr>
          <w:p w14:paraId="7250B66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D71697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2E836A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1.355,08</w:t>
            </w:r>
          </w:p>
        </w:tc>
        <w:tc>
          <w:tcPr>
            <w:tcW w:w="918" w:type="dxa"/>
            <w:tcBorders>
              <w:top w:val="single" w:sz="4" w:space="0" w:color="auto"/>
              <w:left w:val="nil"/>
              <w:bottom w:val="single" w:sz="4" w:space="0" w:color="auto"/>
              <w:right w:val="single" w:sz="4" w:space="0" w:color="auto"/>
            </w:tcBorders>
            <w:noWrap/>
            <w:vAlign w:val="bottom"/>
            <w:hideMark/>
          </w:tcPr>
          <w:p w14:paraId="41865E0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168B31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984BACB" w14:textId="77777777" w:rsidR="00416D67" w:rsidRPr="00416D67" w:rsidRDefault="00416D67" w:rsidP="00416D67">
            <w:pPr>
              <w:rPr>
                <w:rFonts w:ascii="Arial" w:hAnsi="Arial" w:cs="Arial"/>
                <w:sz w:val="14"/>
                <w:szCs w:val="14"/>
              </w:rPr>
            </w:pPr>
            <w:r w:rsidRPr="00416D67">
              <w:rPr>
                <w:rFonts w:ascii="Arial" w:hAnsi="Arial" w:cs="Arial"/>
                <w:sz w:val="14"/>
                <w:szCs w:val="14"/>
              </w:rPr>
              <w:t>3299</w:t>
            </w:r>
          </w:p>
        </w:tc>
        <w:tc>
          <w:tcPr>
            <w:tcW w:w="8106" w:type="dxa"/>
            <w:tcBorders>
              <w:top w:val="single" w:sz="4" w:space="0" w:color="auto"/>
              <w:left w:val="nil"/>
              <w:bottom w:val="single" w:sz="4" w:space="0" w:color="auto"/>
              <w:right w:val="single" w:sz="4" w:space="0" w:color="auto"/>
            </w:tcBorders>
            <w:noWrap/>
            <w:vAlign w:val="bottom"/>
            <w:hideMark/>
          </w:tcPr>
          <w:p w14:paraId="33FED0FE" w14:textId="77777777" w:rsidR="00416D67" w:rsidRPr="00416D67" w:rsidRDefault="00416D67" w:rsidP="00416D67">
            <w:pPr>
              <w:rPr>
                <w:rFonts w:ascii="Arial" w:hAnsi="Arial" w:cs="Arial"/>
                <w:sz w:val="14"/>
                <w:szCs w:val="14"/>
              </w:rPr>
            </w:pPr>
            <w:r w:rsidRPr="00416D67">
              <w:rPr>
                <w:rFonts w:ascii="Arial" w:hAnsi="Arial" w:cs="Arial"/>
                <w:sz w:val="14"/>
                <w:szCs w:val="14"/>
              </w:rPr>
              <w:t>Ostali nespomenuti rashodi poslovanja</w:t>
            </w:r>
          </w:p>
        </w:tc>
        <w:tc>
          <w:tcPr>
            <w:tcW w:w="1095" w:type="dxa"/>
            <w:tcBorders>
              <w:top w:val="single" w:sz="4" w:space="0" w:color="auto"/>
              <w:left w:val="nil"/>
              <w:bottom w:val="single" w:sz="4" w:space="0" w:color="auto"/>
              <w:right w:val="single" w:sz="4" w:space="0" w:color="auto"/>
            </w:tcBorders>
            <w:noWrap/>
            <w:vAlign w:val="bottom"/>
            <w:hideMark/>
          </w:tcPr>
          <w:p w14:paraId="51A4728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2CCB294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8FB0FB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40,10</w:t>
            </w:r>
          </w:p>
        </w:tc>
        <w:tc>
          <w:tcPr>
            <w:tcW w:w="918" w:type="dxa"/>
            <w:tcBorders>
              <w:top w:val="single" w:sz="4" w:space="0" w:color="auto"/>
              <w:left w:val="nil"/>
              <w:bottom w:val="single" w:sz="4" w:space="0" w:color="auto"/>
              <w:right w:val="single" w:sz="4" w:space="0" w:color="auto"/>
            </w:tcBorders>
            <w:noWrap/>
            <w:vAlign w:val="bottom"/>
            <w:hideMark/>
          </w:tcPr>
          <w:p w14:paraId="2295A1B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C6E7B8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8ABE84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34</w:t>
            </w:r>
          </w:p>
        </w:tc>
        <w:tc>
          <w:tcPr>
            <w:tcW w:w="8106" w:type="dxa"/>
            <w:tcBorders>
              <w:top w:val="single" w:sz="4" w:space="0" w:color="auto"/>
              <w:left w:val="nil"/>
              <w:bottom w:val="single" w:sz="4" w:space="0" w:color="auto"/>
              <w:right w:val="single" w:sz="4" w:space="0" w:color="auto"/>
            </w:tcBorders>
            <w:noWrap/>
            <w:vAlign w:val="bottom"/>
            <w:hideMark/>
          </w:tcPr>
          <w:p w14:paraId="45FBB57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Financijski rashodi</w:t>
            </w:r>
          </w:p>
        </w:tc>
        <w:tc>
          <w:tcPr>
            <w:tcW w:w="1095" w:type="dxa"/>
            <w:tcBorders>
              <w:top w:val="single" w:sz="4" w:space="0" w:color="auto"/>
              <w:left w:val="nil"/>
              <w:bottom w:val="single" w:sz="4" w:space="0" w:color="auto"/>
              <w:right w:val="single" w:sz="4" w:space="0" w:color="auto"/>
            </w:tcBorders>
            <w:noWrap/>
            <w:vAlign w:val="bottom"/>
            <w:hideMark/>
          </w:tcPr>
          <w:p w14:paraId="646DEB8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1.021,03</w:t>
            </w:r>
          </w:p>
        </w:tc>
        <w:tc>
          <w:tcPr>
            <w:tcW w:w="1070" w:type="dxa"/>
            <w:tcBorders>
              <w:top w:val="single" w:sz="4" w:space="0" w:color="auto"/>
              <w:left w:val="nil"/>
              <w:bottom w:val="single" w:sz="4" w:space="0" w:color="auto"/>
              <w:right w:val="single" w:sz="4" w:space="0" w:color="auto"/>
            </w:tcBorders>
            <w:noWrap/>
            <w:vAlign w:val="bottom"/>
            <w:hideMark/>
          </w:tcPr>
          <w:p w14:paraId="67F25F1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1.021,03</w:t>
            </w:r>
          </w:p>
        </w:tc>
        <w:tc>
          <w:tcPr>
            <w:tcW w:w="1095" w:type="dxa"/>
            <w:tcBorders>
              <w:top w:val="single" w:sz="4" w:space="0" w:color="auto"/>
              <w:left w:val="nil"/>
              <w:bottom w:val="single" w:sz="4" w:space="0" w:color="auto"/>
              <w:right w:val="single" w:sz="4" w:space="0" w:color="auto"/>
            </w:tcBorders>
            <w:noWrap/>
            <w:vAlign w:val="bottom"/>
            <w:hideMark/>
          </w:tcPr>
          <w:p w14:paraId="583680D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889,83</w:t>
            </w:r>
          </w:p>
        </w:tc>
        <w:tc>
          <w:tcPr>
            <w:tcW w:w="918" w:type="dxa"/>
            <w:tcBorders>
              <w:top w:val="single" w:sz="4" w:space="0" w:color="auto"/>
              <w:left w:val="nil"/>
              <w:bottom w:val="single" w:sz="4" w:space="0" w:color="auto"/>
              <w:right w:val="single" w:sz="4" w:space="0" w:color="auto"/>
            </w:tcBorders>
            <w:noWrap/>
            <w:vAlign w:val="bottom"/>
            <w:hideMark/>
          </w:tcPr>
          <w:p w14:paraId="3DF8CA1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87,15%</w:t>
            </w:r>
          </w:p>
        </w:tc>
      </w:tr>
      <w:tr w:rsidR="00416D67" w:rsidRPr="00416D67" w14:paraId="24BE20B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584A37D" w14:textId="77777777" w:rsidR="00416D67" w:rsidRPr="00416D67" w:rsidRDefault="00416D67" w:rsidP="00416D67">
            <w:pPr>
              <w:rPr>
                <w:rFonts w:ascii="Arial" w:hAnsi="Arial" w:cs="Arial"/>
                <w:sz w:val="14"/>
                <w:szCs w:val="14"/>
              </w:rPr>
            </w:pPr>
            <w:r w:rsidRPr="00416D67">
              <w:rPr>
                <w:rFonts w:ascii="Arial" w:hAnsi="Arial" w:cs="Arial"/>
                <w:sz w:val="14"/>
                <w:szCs w:val="14"/>
              </w:rPr>
              <w:t>3431</w:t>
            </w:r>
          </w:p>
        </w:tc>
        <w:tc>
          <w:tcPr>
            <w:tcW w:w="8106" w:type="dxa"/>
            <w:tcBorders>
              <w:top w:val="single" w:sz="4" w:space="0" w:color="auto"/>
              <w:left w:val="nil"/>
              <w:bottom w:val="single" w:sz="4" w:space="0" w:color="auto"/>
              <w:right w:val="single" w:sz="4" w:space="0" w:color="auto"/>
            </w:tcBorders>
            <w:noWrap/>
            <w:vAlign w:val="bottom"/>
            <w:hideMark/>
          </w:tcPr>
          <w:p w14:paraId="4C80988C" w14:textId="77777777" w:rsidR="00416D67" w:rsidRPr="00416D67" w:rsidRDefault="00416D67" w:rsidP="00416D67">
            <w:pPr>
              <w:rPr>
                <w:rFonts w:ascii="Arial" w:hAnsi="Arial" w:cs="Arial"/>
                <w:sz w:val="14"/>
                <w:szCs w:val="14"/>
              </w:rPr>
            </w:pPr>
            <w:r w:rsidRPr="00416D67">
              <w:rPr>
                <w:rFonts w:ascii="Arial" w:hAnsi="Arial" w:cs="Arial"/>
                <w:sz w:val="14"/>
                <w:szCs w:val="14"/>
              </w:rPr>
              <w:t>Bankarske usluge i usluge platnog prometa</w:t>
            </w:r>
          </w:p>
        </w:tc>
        <w:tc>
          <w:tcPr>
            <w:tcW w:w="1095" w:type="dxa"/>
            <w:tcBorders>
              <w:top w:val="single" w:sz="4" w:space="0" w:color="auto"/>
              <w:left w:val="nil"/>
              <w:bottom w:val="single" w:sz="4" w:space="0" w:color="auto"/>
              <w:right w:val="single" w:sz="4" w:space="0" w:color="auto"/>
            </w:tcBorders>
            <w:noWrap/>
            <w:vAlign w:val="bottom"/>
            <w:hideMark/>
          </w:tcPr>
          <w:p w14:paraId="7C691E2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7B6C29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9530D0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889,83</w:t>
            </w:r>
          </w:p>
        </w:tc>
        <w:tc>
          <w:tcPr>
            <w:tcW w:w="918" w:type="dxa"/>
            <w:tcBorders>
              <w:top w:val="single" w:sz="4" w:space="0" w:color="auto"/>
              <w:left w:val="nil"/>
              <w:bottom w:val="single" w:sz="4" w:space="0" w:color="auto"/>
              <w:right w:val="single" w:sz="4" w:space="0" w:color="auto"/>
            </w:tcBorders>
            <w:noWrap/>
            <w:vAlign w:val="bottom"/>
            <w:hideMark/>
          </w:tcPr>
          <w:p w14:paraId="3227323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C63720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CF9602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75E9711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17A41B1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w:t>
            </w:r>
          </w:p>
        </w:tc>
        <w:tc>
          <w:tcPr>
            <w:tcW w:w="1070" w:type="dxa"/>
            <w:tcBorders>
              <w:top w:val="single" w:sz="4" w:space="0" w:color="auto"/>
              <w:left w:val="nil"/>
              <w:bottom w:val="single" w:sz="4" w:space="0" w:color="auto"/>
              <w:right w:val="single" w:sz="4" w:space="0" w:color="auto"/>
            </w:tcBorders>
            <w:noWrap/>
            <w:vAlign w:val="bottom"/>
            <w:hideMark/>
          </w:tcPr>
          <w:p w14:paraId="0DAFB03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w:t>
            </w:r>
          </w:p>
        </w:tc>
        <w:tc>
          <w:tcPr>
            <w:tcW w:w="1095" w:type="dxa"/>
            <w:tcBorders>
              <w:top w:val="single" w:sz="4" w:space="0" w:color="auto"/>
              <w:left w:val="nil"/>
              <w:bottom w:val="single" w:sz="4" w:space="0" w:color="auto"/>
              <w:right w:val="single" w:sz="4" w:space="0" w:color="auto"/>
            </w:tcBorders>
            <w:noWrap/>
            <w:vAlign w:val="bottom"/>
            <w:hideMark/>
          </w:tcPr>
          <w:p w14:paraId="2807578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4.394,80</w:t>
            </w:r>
          </w:p>
        </w:tc>
        <w:tc>
          <w:tcPr>
            <w:tcW w:w="918" w:type="dxa"/>
            <w:tcBorders>
              <w:top w:val="single" w:sz="4" w:space="0" w:color="auto"/>
              <w:left w:val="nil"/>
              <w:bottom w:val="single" w:sz="4" w:space="0" w:color="auto"/>
              <w:right w:val="single" w:sz="4" w:space="0" w:color="auto"/>
            </w:tcBorders>
            <w:noWrap/>
            <w:vAlign w:val="bottom"/>
            <w:hideMark/>
          </w:tcPr>
          <w:p w14:paraId="3CB5254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219,74%</w:t>
            </w:r>
          </w:p>
        </w:tc>
      </w:tr>
      <w:tr w:rsidR="00416D67" w:rsidRPr="00416D67" w14:paraId="5EAA37C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E1A4597" w14:textId="77777777" w:rsidR="00416D67" w:rsidRPr="00416D67" w:rsidRDefault="00416D67" w:rsidP="00416D67">
            <w:pPr>
              <w:rPr>
                <w:rFonts w:ascii="Arial" w:hAnsi="Arial" w:cs="Arial"/>
                <w:sz w:val="14"/>
                <w:szCs w:val="14"/>
              </w:rPr>
            </w:pPr>
            <w:r w:rsidRPr="00416D67">
              <w:rPr>
                <w:rFonts w:ascii="Arial" w:hAnsi="Arial" w:cs="Arial"/>
                <w:sz w:val="14"/>
                <w:szCs w:val="14"/>
              </w:rPr>
              <w:t>4221</w:t>
            </w:r>
          </w:p>
        </w:tc>
        <w:tc>
          <w:tcPr>
            <w:tcW w:w="8106" w:type="dxa"/>
            <w:tcBorders>
              <w:top w:val="single" w:sz="4" w:space="0" w:color="auto"/>
              <w:left w:val="nil"/>
              <w:bottom w:val="single" w:sz="4" w:space="0" w:color="auto"/>
              <w:right w:val="single" w:sz="4" w:space="0" w:color="auto"/>
            </w:tcBorders>
            <w:noWrap/>
            <w:vAlign w:val="bottom"/>
            <w:hideMark/>
          </w:tcPr>
          <w:p w14:paraId="30ECA3E6" w14:textId="77777777" w:rsidR="00416D67" w:rsidRPr="00416D67" w:rsidRDefault="00416D67" w:rsidP="00416D67">
            <w:pPr>
              <w:rPr>
                <w:rFonts w:ascii="Arial" w:hAnsi="Arial" w:cs="Arial"/>
                <w:sz w:val="14"/>
                <w:szCs w:val="14"/>
              </w:rPr>
            </w:pPr>
            <w:r w:rsidRPr="00416D67">
              <w:rPr>
                <w:rFonts w:ascii="Arial" w:hAnsi="Arial" w:cs="Arial"/>
                <w:sz w:val="14"/>
                <w:szCs w:val="14"/>
              </w:rPr>
              <w:t>Uredska oprema i namještaj</w:t>
            </w:r>
          </w:p>
        </w:tc>
        <w:tc>
          <w:tcPr>
            <w:tcW w:w="1095" w:type="dxa"/>
            <w:tcBorders>
              <w:top w:val="single" w:sz="4" w:space="0" w:color="auto"/>
              <w:left w:val="nil"/>
              <w:bottom w:val="single" w:sz="4" w:space="0" w:color="auto"/>
              <w:right w:val="single" w:sz="4" w:space="0" w:color="auto"/>
            </w:tcBorders>
            <w:noWrap/>
            <w:vAlign w:val="bottom"/>
            <w:hideMark/>
          </w:tcPr>
          <w:p w14:paraId="0158739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956405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CEE379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3.625,00</w:t>
            </w:r>
          </w:p>
        </w:tc>
        <w:tc>
          <w:tcPr>
            <w:tcW w:w="918" w:type="dxa"/>
            <w:tcBorders>
              <w:top w:val="single" w:sz="4" w:space="0" w:color="auto"/>
              <w:left w:val="nil"/>
              <w:bottom w:val="single" w:sz="4" w:space="0" w:color="auto"/>
              <w:right w:val="single" w:sz="4" w:space="0" w:color="auto"/>
            </w:tcBorders>
            <w:noWrap/>
            <w:vAlign w:val="bottom"/>
            <w:hideMark/>
          </w:tcPr>
          <w:p w14:paraId="19D6C0A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60621B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32B07CA" w14:textId="77777777" w:rsidR="00416D67" w:rsidRPr="00416D67" w:rsidRDefault="00416D67" w:rsidP="00416D67">
            <w:pPr>
              <w:rPr>
                <w:rFonts w:ascii="Arial" w:hAnsi="Arial" w:cs="Arial"/>
                <w:sz w:val="14"/>
                <w:szCs w:val="14"/>
              </w:rPr>
            </w:pPr>
            <w:r w:rsidRPr="00416D67">
              <w:rPr>
                <w:rFonts w:ascii="Arial" w:hAnsi="Arial" w:cs="Arial"/>
                <w:sz w:val="14"/>
                <w:szCs w:val="14"/>
              </w:rPr>
              <w:t>4222</w:t>
            </w:r>
          </w:p>
        </w:tc>
        <w:tc>
          <w:tcPr>
            <w:tcW w:w="8106" w:type="dxa"/>
            <w:tcBorders>
              <w:top w:val="single" w:sz="4" w:space="0" w:color="auto"/>
              <w:left w:val="nil"/>
              <w:bottom w:val="single" w:sz="4" w:space="0" w:color="auto"/>
              <w:right w:val="single" w:sz="4" w:space="0" w:color="auto"/>
            </w:tcBorders>
            <w:noWrap/>
            <w:vAlign w:val="bottom"/>
            <w:hideMark/>
          </w:tcPr>
          <w:p w14:paraId="64D6AE31" w14:textId="77777777" w:rsidR="00416D67" w:rsidRPr="00416D67" w:rsidRDefault="00416D67" w:rsidP="00416D67">
            <w:pPr>
              <w:rPr>
                <w:rFonts w:ascii="Arial" w:hAnsi="Arial" w:cs="Arial"/>
                <w:sz w:val="14"/>
                <w:szCs w:val="14"/>
              </w:rPr>
            </w:pPr>
            <w:r w:rsidRPr="00416D67">
              <w:rPr>
                <w:rFonts w:ascii="Arial" w:hAnsi="Arial" w:cs="Arial"/>
                <w:sz w:val="14"/>
                <w:szCs w:val="14"/>
              </w:rPr>
              <w:t>Komunikacijska oprema</w:t>
            </w:r>
          </w:p>
        </w:tc>
        <w:tc>
          <w:tcPr>
            <w:tcW w:w="1095" w:type="dxa"/>
            <w:tcBorders>
              <w:top w:val="single" w:sz="4" w:space="0" w:color="auto"/>
              <w:left w:val="nil"/>
              <w:bottom w:val="single" w:sz="4" w:space="0" w:color="auto"/>
              <w:right w:val="single" w:sz="4" w:space="0" w:color="auto"/>
            </w:tcBorders>
            <w:noWrap/>
            <w:vAlign w:val="bottom"/>
            <w:hideMark/>
          </w:tcPr>
          <w:p w14:paraId="1AE5778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02734D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B22B17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769,80</w:t>
            </w:r>
          </w:p>
        </w:tc>
        <w:tc>
          <w:tcPr>
            <w:tcW w:w="918" w:type="dxa"/>
            <w:tcBorders>
              <w:top w:val="single" w:sz="4" w:space="0" w:color="auto"/>
              <w:left w:val="nil"/>
              <w:bottom w:val="single" w:sz="4" w:space="0" w:color="auto"/>
              <w:right w:val="single" w:sz="4" w:space="0" w:color="auto"/>
            </w:tcBorders>
            <w:noWrap/>
            <w:vAlign w:val="bottom"/>
            <w:hideMark/>
          </w:tcPr>
          <w:p w14:paraId="6CFECCD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D10DB5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4729E4"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 Pomoći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91ED83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60.682,00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F5954E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60.682,00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11BE29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60.201,50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5D164B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99,21%</w:t>
            </w:r>
          </w:p>
        </w:tc>
      </w:tr>
      <w:tr w:rsidR="00416D67" w:rsidRPr="00416D67" w14:paraId="4D30DA6F"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ABAF71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5.1.9 Pomoći fiskalna održivost dječjih vrtića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1A6E5F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40.236,00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AD0BA5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40.236,00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489DA2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40.236,00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782BA4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6A0A886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638A75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31</w:t>
            </w:r>
          </w:p>
        </w:tc>
        <w:tc>
          <w:tcPr>
            <w:tcW w:w="8106" w:type="dxa"/>
            <w:tcBorders>
              <w:top w:val="single" w:sz="4" w:space="0" w:color="auto"/>
              <w:left w:val="nil"/>
              <w:bottom w:val="single" w:sz="4" w:space="0" w:color="auto"/>
              <w:right w:val="single" w:sz="4" w:space="0" w:color="auto"/>
            </w:tcBorders>
            <w:noWrap/>
            <w:vAlign w:val="bottom"/>
            <w:hideMark/>
          </w:tcPr>
          <w:p w14:paraId="2678BEB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zaposlene</w:t>
            </w:r>
          </w:p>
        </w:tc>
        <w:tc>
          <w:tcPr>
            <w:tcW w:w="1095" w:type="dxa"/>
            <w:tcBorders>
              <w:top w:val="single" w:sz="4" w:space="0" w:color="auto"/>
              <w:left w:val="nil"/>
              <w:bottom w:val="single" w:sz="4" w:space="0" w:color="auto"/>
              <w:right w:val="single" w:sz="4" w:space="0" w:color="auto"/>
            </w:tcBorders>
            <w:noWrap/>
            <w:vAlign w:val="bottom"/>
            <w:hideMark/>
          </w:tcPr>
          <w:p w14:paraId="0138A9C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40.236,00</w:t>
            </w:r>
          </w:p>
        </w:tc>
        <w:tc>
          <w:tcPr>
            <w:tcW w:w="1070" w:type="dxa"/>
            <w:tcBorders>
              <w:top w:val="single" w:sz="4" w:space="0" w:color="auto"/>
              <w:left w:val="nil"/>
              <w:bottom w:val="single" w:sz="4" w:space="0" w:color="auto"/>
              <w:right w:val="single" w:sz="4" w:space="0" w:color="auto"/>
            </w:tcBorders>
            <w:noWrap/>
            <w:vAlign w:val="bottom"/>
            <w:hideMark/>
          </w:tcPr>
          <w:p w14:paraId="75D6EFF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40.236,00</w:t>
            </w:r>
          </w:p>
        </w:tc>
        <w:tc>
          <w:tcPr>
            <w:tcW w:w="1095" w:type="dxa"/>
            <w:tcBorders>
              <w:top w:val="single" w:sz="4" w:space="0" w:color="auto"/>
              <w:left w:val="nil"/>
              <w:bottom w:val="single" w:sz="4" w:space="0" w:color="auto"/>
              <w:right w:val="single" w:sz="4" w:space="0" w:color="auto"/>
            </w:tcBorders>
            <w:noWrap/>
            <w:vAlign w:val="bottom"/>
            <w:hideMark/>
          </w:tcPr>
          <w:p w14:paraId="51C0D66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40.236,00</w:t>
            </w:r>
          </w:p>
        </w:tc>
        <w:tc>
          <w:tcPr>
            <w:tcW w:w="918" w:type="dxa"/>
            <w:tcBorders>
              <w:top w:val="single" w:sz="4" w:space="0" w:color="auto"/>
              <w:left w:val="nil"/>
              <w:bottom w:val="single" w:sz="4" w:space="0" w:color="auto"/>
              <w:right w:val="single" w:sz="4" w:space="0" w:color="auto"/>
            </w:tcBorders>
            <w:noWrap/>
            <w:vAlign w:val="bottom"/>
            <w:hideMark/>
          </w:tcPr>
          <w:p w14:paraId="6DEE4CF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21193FE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11EA803" w14:textId="77777777" w:rsidR="00416D67" w:rsidRPr="00416D67" w:rsidRDefault="00416D67" w:rsidP="00416D67">
            <w:pPr>
              <w:rPr>
                <w:rFonts w:ascii="Arial" w:hAnsi="Arial" w:cs="Arial"/>
                <w:sz w:val="14"/>
                <w:szCs w:val="14"/>
              </w:rPr>
            </w:pPr>
            <w:r w:rsidRPr="00416D67">
              <w:rPr>
                <w:rFonts w:ascii="Arial" w:hAnsi="Arial" w:cs="Arial"/>
                <w:sz w:val="14"/>
                <w:szCs w:val="14"/>
              </w:rPr>
              <w:t>3111</w:t>
            </w:r>
          </w:p>
        </w:tc>
        <w:tc>
          <w:tcPr>
            <w:tcW w:w="8106" w:type="dxa"/>
            <w:tcBorders>
              <w:top w:val="single" w:sz="4" w:space="0" w:color="auto"/>
              <w:left w:val="nil"/>
              <w:bottom w:val="single" w:sz="4" w:space="0" w:color="auto"/>
              <w:right w:val="single" w:sz="4" w:space="0" w:color="auto"/>
            </w:tcBorders>
            <w:noWrap/>
            <w:vAlign w:val="bottom"/>
            <w:hideMark/>
          </w:tcPr>
          <w:p w14:paraId="00204C77" w14:textId="77777777" w:rsidR="00416D67" w:rsidRPr="00416D67" w:rsidRDefault="00416D67" w:rsidP="00416D67">
            <w:pPr>
              <w:rPr>
                <w:rFonts w:ascii="Arial" w:hAnsi="Arial" w:cs="Arial"/>
                <w:sz w:val="14"/>
                <w:szCs w:val="14"/>
              </w:rPr>
            </w:pPr>
            <w:r w:rsidRPr="00416D67">
              <w:rPr>
                <w:rFonts w:ascii="Arial" w:hAnsi="Arial" w:cs="Arial"/>
                <w:sz w:val="14"/>
                <w:szCs w:val="14"/>
              </w:rPr>
              <w:t>Plaće za redovan rad</w:t>
            </w:r>
          </w:p>
        </w:tc>
        <w:tc>
          <w:tcPr>
            <w:tcW w:w="1095" w:type="dxa"/>
            <w:tcBorders>
              <w:top w:val="single" w:sz="4" w:space="0" w:color="auto"/>
              <w:left w:val="nil"/>
              <w:bottom w:val="single" w:sz="4" w:space="0" w:color="auto"/>
              <w:right w:val="single" w:sz="4" w:space="0" w:color="auto"/>
            </w:tcBorders>
            <w:noWrap/>
            <w:vAlign w:val="bottom"/>
            <w:hideMark/>
          </w:tcPr>
          <w:p w14:paraId="72222EB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2468341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CA37BB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33.754,48</w:t>
            </w:r>
          </w:p>
        </w:tc>
        <w:tc>
          <w:tcPr>
            <w:tcW w:w="918" w:type="dxa"/>
            <w:tcBorders>
              <w:top w:val="single" w:sz="4" w:space="0" w:color="auto"/>
              <w:left w:val="nil"/>
              <w:bottom w:val="single" w:sz="4" w:space="0" w:color="auto"/>
              <w:right w:val="single" w:sz="4" w:space="0" w:color="auto"/>
            </w:tcBorders>
            <w:noWrap/>
            <w:vAlign w:val="bottom"/>
            <w:hideMark/>
          </w:tcPr>
          <w:p w14:paraId="36CE3D7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985AC4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0B608F7" w14:textId="77777777" w:rsidR="00416D67" w:rsidRPr="00416D67" w:rsidRDefault="00416D67" w:rsidP="00416D67">
            <w:pPr>
              <w:rPr>
                <w:rFonts w:ascii="Arial" w:hAnsi="Arial" w:cs="Arial"/>
                <w:sz w:val="14"/>
                <w:szCs w:val="14"/>
              </w:rPr>
            </w:pPr>
            <w:r w:rsidRPr="00416D67">
              <w:rPr>
                <w:rFonts w:ascii="Arial" w:hAnsi="Arial" w:cs="Arial"/>
                <w:sz w:val="14"/>
                <w:szCs w:val="14"/>
              </w:rPr>
              <w:t>3132</w:t>
            </w:r>
          </w:p>
        </w:tc>
        <w:tc>
          <w:tcPr>
            <w:tcW w:w="8106" w:type="dxa"/>
            <w:tcBorders>
              <w:top w:val="single" w:sz="4" w:space="0" w:color="auto"/>
              <w:left w:val="nil"/>
              <w:bottom w:val="single" w:sz="4" w:space="0" w:color="auto"/>
              <w:right w:val="single" w:sz="4" w:space="0" w:color="auto"/>
            </w:tcBorders>
            <w:noWrap/>
            <w:vAlign w:val="bottom"/>
            <w:hideMark/>
          </w:tcPr>
          <w:p w14:paraId="4282C977" w14:textId="77777777" w:rsidR="00416D67" w:rsidRPr="00416D67" w:rsidRDefault="00416D67" w:rsidP="00416D67">
            <w:pPr>
              <w:rPr>
                <w:rFonts w:ascii="Arial" w:hAnsi="Arial" w:cs="Arial"/>
                <w:sz w:val="14"/>
                <w:szCs w:val="14"/>
              </w:rPr>
            </w:pPr>
            <w:r w:rsidRPr="00416D67">
              <w:rPr>
                <w:rFonts w:ascii="Arial" w:hAnsi="Arial" w:cs="Arial"/>
                <w:sz w:val="14"/>
                <w:szCs w:val="14"/>
              </w:rPr>
              <w:t>Doprinosi za obvezno zdravstveno osiguranje</w:t>
            </w:r>
          </w:p>
        </w:tc>
        <w:tc>
          <w:tcPr>
            <w:tcW w:w="1095" w:type="dxa"/>
            <w:tcBorders>
              <w:top w:val="single" w:sz="4" w:space="0" w:color="auto"/>
              <w:left w:val="nil"/>
              <w:bottom w:val="single" w:sz="4" w:space="0" w:color="auto"/>
              <w:right w:val="single" w:sz="4" w:space="0" w:color="auto"/>
            </w:tcBorders>
            <w:noWrap/>
            <w:vAlign w:val="bottom"/>
            <w:hideMark/>
          </w:tcPr>
          <w:p w14:paraId="2E77BCF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299F8D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7EB71F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6.481,52</w:t>
            </w:r>
          </w:p>
        </w:tc>
        <w:tc>
          <w:tcPr>
            <w:tcW w:w="918" w:type="dxa"/>
            <w:tcBorders>
              <w:top w:val="single" w:sz="4" w:space="0" w:color="auto"/>
              <w:left w:val="nil"/>
              <w:bottom w:val="single" w:sz="4" w:space="0" w:color="auto"/>
              <w:right w:val="single" w:sz="4" w:space="0" w:color="auto"/>
            </w:tcBorders>
            <w:noWrap/>
            <w:vAlign w:val="bottom"/>
            <w:hideMark/>
          </w:tcPr>
          <w:p w14:paraId="0E81181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D379BF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82FFB8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5.2. Tekuće pomoći državni proračun PK</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3D1906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5.696,00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99CE2B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5.696,00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2B305B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5.484,00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8EDFE0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96,28%</w:t>
            </w:r>
          </w:p>
        </w:tc>
      </w:tr>
      <w:tr w:rsidR="00416D67" w:rsidRPr="00416D67" w14:paraId="6F55D9F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9669CB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6096A70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0E92277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5.696,00</w:t>
            </w:r>
          </w:p>
        </w:tc>
        <w:tc>
          <w:tcPr>
            <w:tcW w:w="1070" w:type="dxa"/>
            <w:tcBorders>
              <w:top w:val="single" w:sz="4" w:space="0" w:color="auto"/>
              <w:left w:val="nil"/>
              <w:bottom w:val="single" w:sz="4" w:space="0" w:color="auto"/>
              <w:right w:val="single" w:sz="4" w:space="0" w:color="auto"/>
            </w:tcBorders>
            <w:noWrap/>
            <w:vAlign w:val="bottom"/>
            <w:hideMark/>
          </w:tcPr>
          <w:p w14:paraId="17FFA52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5.696,00</w:t>
            </w:r>
          </w:p>
        </w:tc>
        <w:tc>
          <w:tcPr>
            <w:tcW w:w="1095" w:type="dxa"/>
            <w:tcBorders>
              <w:top w:val="single" w:sz="4" w:space="0" w:color="auto"/>
              <w:left w:val="nil"/>
              <w:bottom w:val="single" w:sz="4" w:space="0" w:color="auto"/>
              <w:right w:val="single" w:sz="4" w:space="0" w:color="auto"/>
            </w:tcBorders>
            <w:noWrap/>
            <w:vAlign w:val="bottom"/>
            <w:hideMark/>
          </w:tcPr>
          <w:p w14:paraId="456F2B6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5.484,00</w:t>
            </w:r>
          </w:p>
        </w:tc>
        <w:tc>
          <w:tcPr>
            <w:tcW w:w="918" w:type="dxa"/>
            <w:tcBorders>
              <w:top w:val="single" w:sz="4" w:space="0" w:color="auto"/>
              <w:left w:val="nil"/>
              <w:bottom w:val="single" w:sz="4" w:space="0" w:color="auto"/>
              <w:right w:val="single" w:sz="4" w:space="0" w:color="auto"/>
            </w:tcBorders>
            <w:noWrap/>
            <w:vAlign w:val="bottom"/>
            <w:hideMark/>
          </w:tcPr>
          <w:p w14:paraId="54E1A3C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96,28%</w:t>
            </w:r>
          </w:p>
        </w:tc>
      </w:tr>
      <w:tr w:rsidR="00416D67" w:rsidRPr="00416D67" w14:paraId="0B49F64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B96F706" w14:textId="77777777" w:rsidR="00416D67" w:rsidRPr="00416D67" w:rsidRDefault="00416D67" w:rsidP="00416D67">
            <w:pPr>
              <w:rPr>
                <w:rFonts w:ascii="Arial" w:hAnsi="Arial" w:cs="Arial"/>
                <w:sz w:val="14"/>
                <w:szCs w:val="14"/>
              </w:rPr>
            </w:pPr>
            <w:r w:rsidRPr="00416D67">
              <w:rPr>
                <w:rFonts w:ascii="Arial" w:hAnsi="Arial" w:cs="Arial"/>
                <w:sz w:val="14"/>
                <w:szCs w:val="14"/>
              </w:rPr>
              <w:t>3222</w:t>
            </w:r>
          </w:p>
        </w:tc>
        <w:tc>
          <w:tcPr>
            <w:tcW w:w="8106" w:type="dxa"/>
            <w:tcBorders>
              <w:top w:val="single" w:sz="4" w:space="0" w:color="auto"/>
              <w:left w:val="nil"/>
              <w:bottom w:val="single" w:sz="4" w:space="0" w:color="auto"/>
              <w:right w:val="single" w:sz="4" w:space="0" w:color="auto"/>
            </w:tcBorders>
            <w:noWrap/>
            <w:vAlign w:val="bottom"/>
            <w:hideMark/>
          </w:tcPr>
          <w:p w14:paraId="798F8069" w14:textId="77777777" w:rsidR="00416D67" w:rsidRPr="00416D67" w:rsidRDefault="00416D67" w:rsidP="00416D67">
            <w:pPr>
              <w:rPr>
                <w:rFonts w:ascii="Arial" w:hAnsi="Arial" w:cs="Arial"/>
                <w:sz w:val="14"/>
                <w:szCs w:val="14"/>
              </w:rPr>
            </w:pPr>
            <w:r w:rsidRPr="00416D67">
              <w:rPr>
                <w:rFonts w:ascii="Arial" w:hAnsi="Arial" w:cs="Arial"/>
                <w:sz w:val="14"/>
                <w:szCs w:val="14"/>
              </w:rPr>
              <w:t>Materijal i sirovine</w:t>
            </w:r>
          </w:p>
        </w:tc>
        <w:tc>
          <w:tcPr>
            <w:tcW w:w="1095" w:type="dxa"/>
            <w:tcBorders>
              <w:top w:val="single" w:sz="4" w:space="0" w:color="auto"/>
              <w:left w:val="nil"/>
              <w:bottom w:val="single" w:sz="4" w:space="0" w:color="auto"/>
              <w:right w:val="single" w:sz="4" w:space="0" w:color="auto"/>
            </w:tcBorders>
            <w:noWrap/>
            <w:vAlign w:val="bottom"/>
            <w:hideMark/>
          </w:tcPr>
          <w:p w14:paraId="113E372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AD79D1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CB1D90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5.484,00</w:t>
            </w:r>
          </w:p>
        </w:tc>
        <w:tc>
          <w:tcPr>
            <w:tcW w:w="918" w:type="dxa"/>
            <w:tcBorders>
              <w:top w:val="single" w:sz="4" w:space="0" w:color="auto"/>
              <w:left w:val="nil"/>
              <w:bottom w:val="single" w:sz="4" w:space="0" w:color="auto"/>
              <w:right w:val="single" w:sz="4" w:space="0" w:color="auto"/>
            </w:tcBorders>
            <w:noWrap/>
            <w:vAlign w:val="bottom"/>
            <w:hideMark/>
          </w:tcPr>
          <w:p w14:paraId="2DE0272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D2B21D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F7AD59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lastRenderedPageBreak/>
              <w:t xml:space="preserve">Izvor 5.3. Tekuće pomoći PK JLP(R)S </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660F81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14.750,00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11A7C5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14.750,00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0203A3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14.481,50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F6552E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98,18%</w:t>
            </w:r>
          </w:p>
        </w:tc>
      </w:tr>
      <w:tr w:rsidR="00416D67" w:rsidRPr="00416D67" w14:paraId="07D7CD5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ABF1E5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40FB972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0EE322D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14.750,00</w:t>
            </w:r>
          </w:p>
        </w:tc>
        <w:tc>
          <w:tcPr>
            <w:tcW w:w="1070" w:type="dxa"/>
            <w:tcBorders>
              <w:top w:val="single" w:sz="4" w:space="0" w:color="auto"/>
              <w:left w:val="nil"/>
              <w:bottom w:val="single" w:sz="4" w:space="0" w:color="auto"/>
              <w:right w:val="single" w:sz="4" w:space="0" w:color="auto"/>
            </w:tcBorders>
            <w:noWrap/>
            <w:vAlign w:val="bottom"/>
            <w:hideMark/>
          </w:tcPr>
          <w:p w14:paraId="3ABD54B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14.750,00</w:t>
            </w:r>
          </w:p>
        </w:tc>
        <w:tc>
          <w:tcPr>
            <w:tcW w:w="1095" w:type="dxa"/>
            <w:tcBorders>
              <w:top w:val="single" w:sz="4" w:space="0" w:color="auto"/>
              <w:left w:val="nil"/>
              <w:bottom w:val="single" w:sz="4" w:space="0" w:color="auto"/>
              <w:right w:val="single" w:sz="4" w:space="0" w:color="auto"/>
            </w:tcBorders>
            <w:noWrap/>
            <w:vAlign w:val="bottom"/>
            <w:hideMark/>
          </w:tcPr>
          <w:p w14:paraId="0C6902C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14.481,50</w:t>
            </w:r>
          </w:p>
        </w:tc>
        <w:tc>
          <w:tcPr>
            <w:tcW w:w="918" w:type="dxa"/>
            <w:tcBorders>
              <w:top w:val="single" w:sz="4" w:space="0" w:color="auto"/>
              <w:left w:val="nil"/>
              <w:bottom w:val="single" w:sz="4" w:space="0" w:color="auto"/>
              <w:right w:val="single" w:sz="4" w:space="0" w:color="auto"/>
            </w:tcBorders>
            <w:noWrap/>
            <w:vAlign w:val="bottom"/>
            <w:hideMark/>
          </w:tcPr>
          <w:p w14:paraId="339C222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98,18%</w:t>
            </w:r>
          </w:p>
        </w:tc>
      </w:tr>
      <w:tr w:rsidR="00416D67" w:rsidRPr="00416D67" w14:paraId="2EE45C8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CECACBC" w14:textId="77777777" w:rsidR="00416D67" w:rsidRPr="00416D67" w:rsidRDefault="00416D67" w:rsidP="00416D67">
            <w:pPr>
              <w:rPr>
                <w:rFonts w:ascii="Arial" w:hAnsi="Arial" w:cs="Arial"/>
                <w:sz w:val="14"/>
                <w:szCs w:val="14"/>
              </w:rPr>
            </w:pPr>
            <w:r w:rsidRPr="00416D67">
              <w:rPr>
                <w:rFonts w:ascii="Arial" w:hAnsi="Arial" w:cs="Arial"/>
                <w:sz w:val="14"/>
                <w:szCs w:val="14"/>
              </w:rPr>
              <w:t>3222</w:t>
            </w:r>
          </w:p>
        </w:tc>
        <w:tc>
          <w:tcPr>
            <w:tcW w:w="8106" w:type="dxa"/>
            <w:tcBorders>
              <w:top w:val="single" w:sz="4" w:space="0" w:color="auto"/>
              <w:left w:val="nil"/>
              <w:bottom w:val="single" w:sz="4" w:space="0" w:color="auto"/>
              <w:right w:val="single" w:sz="4" w:space="0" w:color="auto"/>
            </w:tcBorders>
            <w:noWrap/>
            <w:vAlign w:val="bottom"/>
            <w:hideMark/>
          </w:tcPr>
          <w:p w14:paraId="1EABA25C" w14:textId="77777777" w:rsidR="00416D67" w:rsidRPr="00416D67" w:rsidRDefault="00416D67" w:rsidP="00416D67">
            <w:pPr>
              <w:rPr>
                <w:rFonts w:ascii="Arial" w:hAnsi="Arial" w:cs="Arial"/>
                <w:sz w:val="14"/>
                <w:szCs w:val="14"/>
              </w:rPr>
            </w:pPr>
            <w:r w:rsidRPr="00416D67">
              <w:rPr>
                <w:rFonts w:ascii="Arial" w:hAnsi="Arial" w:cs="Arial"/>
                <w:sz w:val="14"/>
                <w:szCs w:val="14"/>
              </w:rPr>
              <w:t>Materijal i sirovine</w:t>
            </w:r>
          </w:p>
        </w:tc>
        <w:tc>
          <w:tcPr>
            <w:tcW w:w="1095" w:type="dxa"/>
            <w:tcBorders>
              <w:top w:val="single" w:sz="4" w:space="0" w:color="auto"/>
              <w:left w:val="nil"/>
              <w:bottom w:val="single" w:sz="4" w:space="0" w:color="auto"/>
              <w:right w:val="single" w:sz="4" w:space="0" w:color="auto"/>
            </w:tcBorders>
            <w:noWrap/>
            <w:vAlign w:val="bottom"/>
            <w:hideMark/>
          </w:tcPr>
          <w:p w14:paraId="398052D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AF74E3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C803F5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14.481,50</w:t>
            </w:r>
          </w:p>
        </w:tc>
        <w:tc>
          <w:tcPr>
            <w:tcW w:w="918" w:type="dxa"/>
            <w:tcBorders>
              <w:top w:val="single" w:sz="4" w:space="0" w:color="auto"/>
              <w:left w:val="nil"/>
              <w:bottom w:val="single" w:sz="4" w:space="0" w:color="auto"/>
              <w:right w:val="single" w:sz="4" w:space="0" w:color="auto"/>
            </w:tcBorders>
            <w:noWrap/>
            <w:vAlign w:val="bottom"/>
            <w:hideMark/>
          </w:tcPr>
          <w:p w14:paraId="6F0BB32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AE4BDBF"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BF3311"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6. Donacije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716BC3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E40385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0BD523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A0708A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6ED1F67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4502D9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6.2. Donacije PK</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2F2C91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7191DC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998D58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745762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3E95CF0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7E9976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27618E8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64A68C0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w:t>
            </w:r>
          </w:p>
        </w:tc>
        <w:tc>
          <w:tcPr>
            <w:tcW w:w="1070" w:type="dxa"/>
            <w:tcBorders>
              <w:top w:val="single" w:sz="4" w:space="0" w:color="auto"/>
              <w:left w:val="nil"/>
              <w:bottom w:val="single" w:sz="4" w:space="0" w:color="auto"/>
              <w:right w:val="single" w:sz="4" w:space="0" w:color="auto"/>
            </w:tcBorders>
            <w:noWrap/>
            <w:vAlign w:val="bottom"/>
            <w:hideMark/>
          </w:tcPr>
          <w:p w14:paraId="64574D2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w:t>
            </w:r>
          </w:p>
        </w:tc>
        <w:tc>
          <w:tcPr>
            <w:tcW w:w="1095" w:type="dxa"/>
            <w:tcBorders>
              <w:top w:val="single" w:sz="4" w:space="0" w:color="auto"/>
              <w:left w:val="nil"/>
              <w:bottom w:val="single" w:sz="4" w:space="0" w:color="auto"/>
              <w:right w:val="single" w:sz="4" w:space="0" w:color="auto"/>
            </w:tcBorders>
            <w:noWrap/>
            <w:vAlign w:val="bottom"/>
            <w:hideMark/>
          </w:tcPr>
          <w:p w14:paraId="04378BC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61F9935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0FB6AEF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4347E1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 Višak prihoda ranijih godina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CD5E87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140,97</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543C1D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140,97</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3715B0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140,97</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EBE25A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5C12B52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E63F28E"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9.3. Višak prihoda prethodne godine PK</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B5D18D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140,97</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D8EAF4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140,97</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5E6C8A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140,97</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1AB84C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582D0EE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4BC0BE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4D21975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1CB829E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140,97</w:t>
            </w:r>
          </w:p>
        </w:tc>
        <w:tc>
          <w:tcPr>
            <w:tcW w:w="1070" w:type="dxa"/>
            <w:tcBorders>
              <w:top w:val="single" w:sz="4" w:space="0" w:color="auto"/>
              <w:left w:val="nil"/>
              <w:bottom w:val="single" w:sz="4" w:space="0" w:color="auto"/>
              <w:right w:val="single" w:sz="4" w:space="0" w:color="auto"/>
            </w:tcBorders>
            <w:noWrap/>
            <w:vAlign w:val="bottom"/>
            <w:hideMark/>
          </w:tcPr>
          <w:p w14:paraId="602BF3A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140,97</w:t>
            </w:r>
          </w:p>
        </w:tc>
        <w:tc>
          <w:tcPr>
            <w:tcW w:w="1095" w:type="dxa"/>
            <w:tcBorders>
              <w:top w:val="single" w:sz="4" w:space="0" w:color="auto"/>
              <w:left w:val="nil"/>
              <w:bottom w:val="single" w:sz="4" w:space="0" w:color="auto"/>
              <w:right w:val="single" w:sz="4" w:space="0" w:color="auto"/>
            </w:tcBorders>
            <w:noWrap/>
            <w:vAlign w:val="bottom"/>
            <w:hideMark/>
          </w:tcPr>
          <w:p w14:paraId="112E659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140,97</w:t>
            </w:r>
          </w:p>
        </w:tc>
        <w:tc>
          <w:tcPr>
            <w:tcW w:w="918" w:type="dxa"/>
            <w:tcBorders>
              <w:top w:val="single" w:sz="4" w:space="0" w:color="auto"/>
              <w:left w:val="nil"/>
              <w:bottom w:val="single" w:sz="4" w:space="0" w:color="auto"/>
              <w:right w:val="single" w:sz="4" w:space="0" w:color="auto"/>
            </w:tcBorders>
            <w:noWrap/>
            <w:vAlign w:val="bottom"/>
            <w:hideMark/>
          </w:tcPr>
          <w:p w14:paraId="3BFC469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5C41683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3A1C461" w14:textId="77777777" w:rsidR="00416D67" w:rsidRPr="00416D67" w:rsidRDefault="00416D67" w:rsidP="00416D67">
            <w:pPr>
              <w:rPr>
                <w:rFonts w:ascii="Arial" w:hAnsi="Arial" w:cs="Arial"/>
                <w:sz w:val="14"/>
                <w:szCs w:val="14"/>
              </w:rPr>
            </w:pPr>
            <w:r w:rsidRPr="00416D67">
              <w:rPr>
                <w:rFonts w:ascii="Arial" w:hAnsi="Arial" w:cs="Arial"/>
                <w:sz w:val="14"/>
                <w:szCs w:val="14"/>
              </w:rPr>
              <w:t>3222</w:t>
            </w:r>
          </w:p>
        </w:tc>
        <w:tc>
          <w:tcPr>
            <w:tcW w:w="8106" w:type="dxa"/>
            <w:tcBorders>
              <w:top w:val="single" w:sz="4" w:space="0" w:color="auto"/>
              <w:left w:val="nil"/>
              <w:bottom w:val="single" w:sz="4" w:space="0" w:color="auto"/>
              <w:right w:val="single" w:sz="4" w:space="0" w:color="auto"/>
            </w:tcBorders>
            <w:noWrap/>
            <w:vAlign w:val="bottom"/>
            <w:hideMark/>
          </w:tcPr>
          <w:p w14:paraId="7FF79EDE" w14:textId="77777777" w:rsidR="00416D67" w:rsidRPr="00416D67" w:rsidRDefault="00416D67" w:rsidP="00416D67">
            <w:pPr>
              <w:rPr>
                <w:rFonts w:ascii="Arial" w:hAnsi="Arial" w:cs="Arial"/>
                <w:sz w:val="14"/>
                <w:szCs w:val="14"/>
              </w:rPr>
            </w:pPr>
            <w:r w:rsidRPr="00416D67">
              <w:rPr>
                <w:rFonts w:ascii="Arial" w:hAnsi="Arial" w:cs="Arial"/>
                <w:sz w:val="14"/>
                <w:szCs w:val="14"/>
              </w:rPr>
              <w:t>Materijal i sirovine</w:t>
            </w:r>
          </w:p>
        </w:tc>
        <w:tc>
          <w:tcPr>
            <w:tcW w:w="1095" w:type="dxa"/>
            <w:tcBorders>
              <w:top w:val="single" w:sz="4" w:space="0" w:color="auto"/>
              <w:left w:val="nil"/>
              <w:bottom w:val="single" w:sz="4" w:space="0" w:color="auto"/>
              <w:right w:val="single" w:sz="4" w:space="0" w:color="auto"/>
            </w:tcBorders>
            <w:noWrap/>
            <w:vAlign w:val="bottom"/>
            <w:hideMark/>
          </w:tcPr>
          <w:p w14:paraId="59969E7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24AF45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08D23D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140,97</w:t>
            </w:r>
          </w:p>
        </w:tc>
        <w:tc>
          <w:tcPr>
            <w:tcW w:w="918" w:type="dxa"/>
            <w:tcBorders>
              <w:top w:val="single" w:sz="4" w:space="0" w:color="auto"/>
              <w:left w:val="nil"/>
              <w:bottom w:val="single" w:sz="4" w:space="0" w:color="auto"/>
              <w:right w:val="single" w:sz="4" w:space="0" w:color="auto"/>
            </w:tcBorders>
            <w:noWrap/>
            <w:vAlign w:val="bottom"/>
            <w:hideMark/>
          </w:tcPr>
          <w:p w14:paraId="11A4043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53A7AE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447404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A100002</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4C7A804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Božićno darivanje predškolske djece</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298B18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16.063,00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06DFAB0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16.063,00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DB06E8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18.283,99</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048DF69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113,83%</w:t>
            </w:r>
          </w:p>
        </w:tc>
      </w:tr>
      <w:tr w:rsidR="00416D67" w:rsidRPr="00416D67" w14:paraId="5180E00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F8A3E5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5869FE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8B1CE1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83B37E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16.452,53</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2DC1E3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121,87%</w:t>
            </w:r>
          </w:p>
        </w:tc>
      </w:tr>
      <w:tr w:rsidR="00416D67" w:rsidRPr="00416D67" w14:paraId="463FCA5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81F4C8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3C7BBA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0778D2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56ED89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16.452,53</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8775D3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121,87%</w:t>
            </w:r>
          </w:p>
        </w:tc>
      </w:tr>
      <w:tr w:rsidR="00416D67" w:rsidRPr="00416D67" w14:paraId="682FC7B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84250C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4321048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64B8B2D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w:t>
            </w:r>
          </w:p>
        </w:tc>
        <w:tc>
          <w:tcPr>
            <w:tcW w:w="1070" w:type="dxa"/>
            <w:tcBorders>
              <w:top w:val="single" w:sz="4" w:space="0" w:color="auto"/>
              <w:left w:val="nil"/>
              <w:bottom w:val="single" w:sz="4" w:space="0" w:color="auto"/>
              <w:right w:val="single" w:sz="4" w:space="0" w:color="auto"/>
            </w:tcBorders>
            <w:noWrap/>
            <w:vAlign w:val="bottom"/>
            <w:hideMark/>
          </w:tcPr>
          <w:p w14:paraId="1CB2F57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w:t>
            </w:r>
          </w:p>
        </w:tc>
        <w:tc>
          <w:tcPr>
            <w:tcW w:w="1095" w:type="dxa"/>
            <w:tcBorders>
              <w:top w:val="single" w:sz="4" w:space="0" w:color="auto"/>
              <w:left w:val="nil"/>
              <w:bottom w:val="single" w:sz="4" w:space="0" w:color="auto"/>
              <w:right w:val="single" w:sz="4" w:space="0" w:color="auto"/>
            </w:tcBorders>
            <w:noWrap/>
            <w:vAlign w:val="bottom"/>
            <w:hideMark/>
          </w:tcPr>
          <w:p w14:paraId="187EE77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4.287,50</w:t>
            </w:r>
          </w:p>
        </w:tc>
        <w:tc>
          <w:tcPr>
            <w:tcW w:w="918" w:type="dxa"/>
            <w:tcBorders>
              <w:top w:val="single" w:sz="4" w:space="0" w:color="auto"/>
              <w:left w:val="nil"/>
              <w:bottom w:val="single" w:sz="4" w:space="0" w:color="auto"/>
              <w:right w:val="single" w:sz="4" w:space="0" w:color="auto"/>
            </w:tcBorders>
            <w:noWrap/>
            <w:vAlign w:val="bottom"/>
            <w:hideMark/>
          </w:tcPr>
          <w:p w14:paraId="57836E6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171,50%</w:t>
            </w:r>
          </w:p>
        </w:tc>
      </w:tr>
      <w:tr w:rsidR="00416D67" w:rsidRPr="00416D67" w14:paraId="2203F8B9" w14:textId="77777777" w:rsidTr="00BB1392">
        <w:trPr>
          <w:trHeight w:val="28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0C0D0D2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Organizacijska klasifikacija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BBE2C97"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07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9C18920"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0B67C9A"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9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3D6C9AE"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2025/2024.           (3/2)</w:t>
            </w:r>
          </w:p>
        </w:tc>
      </w:tr>
      <w:tr w:rsidR="00416D67" w:rsidRPr="00416D67" w14:paraId="19D8094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0D6982E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Izvori</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23CF025A"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5799FFE6"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49FB0627"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3E27D9B7" w14:textId="77777777" w:rsidR="00416D67" w:rsidRPr="00416D67" w:rsidRDefault="00416D67" w:rsidP="00416D67">
            <w:pPr>
              <w:rPr>
                <w:rFonts w:ascii="Arial" w:hAnsi="Arial" w:cs="Arial"/>
                <w:sz w:val="14"/>
                <w:szCs w:val="14"/>
              </w:rPr>
            </w:pPr>
          </w:p>
        </w:tc>
      </w:tr>
      <w:tr w:rsidR="00416D67" w:rsidRPr="00416D67" w14:paraId="73372DC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000000"/>
            </w:tcBorders>
            <w:shd w:val="clear" w:color="000000" w:fill="D9D9D9"/>
            <w:hideMark/>
          </w:tcPr>
          <w:p w14:paraId="0FE829A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Projekt/Aktivnost</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5891DA9B"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6E7C5355"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3295DAB7"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39F47B9E" w14:textId="77777777" w:rsidR="00416D67" w:rsidRPr="00416D67" w:rsidRDefault="00416D67" w:rsidP="00416D67">
            <w:pPr>
              <w:rPr>
                <w:rFonts w:ascii="Arial" w:hAnsi="Arial" w:cs="Arial"/>
                <w:sz w:val="14"/>
                <w:szCs w:val="14"/>
              </w:rPr>
            </w:pPr>
          </w:p>
        </w:tc>
      </w:tr>
      <w:tr w:rsidR="00416D67" w:rsidRPr="00416D67" w14:paraId="612F621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6E3C273" w14:textId="77777777" w:rsidR="00416D67" w:rsidRPr="00416D67" w:rsidRDefault="00416D67" w:rsidP="00416D67">
            <w:pPr>
              <w:rPr>
                <w:rFonts w:ascii="Arial" w:hAnsi="Arial" w:cs="Arial"/>
                <w:sz w:val="14"/>
                <w:szCs w:val="14"/>
              </w:rPr>
            </w:pPr>
            <w:r w:rsidRPr="00416D67">
              <w:rPr>
                <w:rFonts w:ascii="Arial" w:hAnsi="Arial" w:cs="Arial"/>
                <w:sz w:val="14"/>
                <w:szCs w:val="14"/>
              </w:rPr>
              <w:t>3239</w:t>
            </w:r>
          </w:p>
        </w:tc>
        <w:tc>
          <w:tcPr>
            <w:tcW w:w="8106" w:type="dxa"/>
            <w:tcBorders>
              <w:top w:val="single" w:sz="4" w:space="0" w:color="auto"/>
              <w:left w:val="nil"/>
              <w:bottom w:val="single" w:sz="4" w:space="0" w:color="auto"/>
              <w:right w:val="single" w:sz="4" w:space="0" w:color="auto"/>
            </w:tcBorders>
            <w:noWrap/>
            <w:vAlign w:val="bottom"/>
            <w:hideMark/>
          </w:tcPr>
          <w:p w14:paraId="0AA76E34" w14:textId="77777777" w:rsidR="00416D67" w:rsidRPr="00416D67" w:rsidRDefault="00416D67" w:rsidP="00416D67">
            <w:pPr>
              <w:rPr>
                <w:rFonts w:ascii="Arial" w:hAnsi="Arial" w:cs="Arial"/>
                <w:sz w:val="14"/>
                <w:szCs w:val="14"/>
              </w:rPr>
            </w:pPr>
            <w:r w:rsidRPr="00416D67">
              <w:rPr>
                <w:rFonts w:ascii="Arial" w:hAnsi="Arial" w:cs="Arial"/>
                <w:sz w:val="14"/>
                <w:szCs w:val="14"/>
              </w:rPr>
              <w:t>Ostale usluge</w:t>
            </w:r>
          </w:p>
        </w:tc>
        <w:tc>
          <w:tcPr>
            <w:tcW w:w="1095" w:type="dxa"/>
            <w:tcBorders>
              <w:top w:val="single" w:sz="4" w:space="0" w:color="auto"/>
              <w:left w:val="nil"/>
              <w:bottom w:val="single" w:sz="4" w:space="0" w:color="auto"/>
              <w:right w:val="single" w:sz="4" w:space="0" w:color="auto"/>
            </w:tcBorders>
            <w:noWrap/>
            <w:vAlign w:val="bottom"/>
            <w:hideMark/>
          </w:tcPr>
          <w:p w14:paraId="543B6BC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6A17AB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BECBF4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4.287,50</w:t>
            </w:r>
          </w:p>
        </w:tc>
        <w:tc>
          <w:tcPr>
            <w:tcW w:w="918" w:type="dxa"/>
            <w:tcBorders>
              <w:top w:val="single" w:sz="4" w:space="0" w:color="auto"/>
              <w:left w:val="nil"/>
              <w:bottom w:val="single" w:sz="4" w:space="0" w:color="auto"/>
              <w:right w:val="single" w:sz="4" w:space="0" w:color="auto"/>
            </w:tcBorders>
            <w:noWrap/>
            <w:vAlign w:val="bottom"/>
            <w:hideMark/>
          </w:tcPr>
          <w:p w14:paraId="4471EA1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5F6DBB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1D289A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37</w:t>
            </w:r>
          </w:p>
        </w:tc>
        <w:tc>
          <w:tcPr>
            <w:tcW w:w="8106" w:type="dxa"/>
            <w:tcBorders>
              <w:top w:val="single" w:sz="4" w:space="0" w:color="auto"/>
              <w:left w:val="nil"/>
              <w:bottom w:val="single" w:sz="4" w:space="0" w:color="auto"/>
              <w:right w:val="single" w:sz="4" w:space="0" w:color="auto"/>
            </w:tcBorders>
            <w:noWrap/>
            <w:vAlign w:val="bottom"/>
            <w:hideMark/>
          </w:tcPr>
          <w:p w14:paraId="34F7DD8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Naknade građanima i kućanstvima na temelju osiguranja i druge naknade</w:t>
            </w:r>
          </w:p>
        </w:tc>
        <w:tc>
          <w:tcPr>
            <w:tcW w:w="1095" w:type="dxa"/>
            <w:tcBorders>
              <w:top w:val="single" w:sz="4" w:space="0" w:color="auto"/>
              <w:left w:val="nil"/>
              <w:bottom w:val="single" w:sz="4" w:space="0" w:color="auto"/>
              <w:right w:val="single" w:sz="4" w:space="0" w:color="auto"/>
            </w:tcBorders>
            <w:noWrap/>
            <w:vAlign w:val="bottom"/>
            <w:hideMark/>
          </w:tcPr>
          <w:p w14:paraId="23FB5D3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11.000,00</w:t>
            </w:r>
          </w:p>
        </w:tc>
        <w:tc>
          <w:tcPr>
            <w:tcW w:w="1070" w:type="dxa"/>
            <w:tcBorders>
              <w:top w:val="single" w:sz="4" w:space="0" w:color="auto"/>
              <w:left w:val="nil"/>
              <w:bottom w:val="single" w:sz="4" w:space="0" w:color="auto"/>
              <w:right w:val="single" w:sz="4" w:space="0" w:color="auto"/>
            </w:tcBorders>
            <w:noWrap/>
            <w:vAlign w:val="bottom"/>
            <w:hideMark/>
          </w:tcPr>
          <w:p w14:paraId="7D34C00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11.000,00</w:t>
            </w:r>
          </w:p>
        </w:tc>
        <w:tc>
          <w:tcPr>
            <w:tcW w:w="1095" w:type="dxa"/>
            <w:tcBorders>
              <w:top w:val="single" w:sz="4" w:space="0" w:color="auto"/>
              <w:left w:val="nil"/>
              <w:bottom w:val="single" w:sz="4" w:space="0" w:color="auto"/>
              <w:right w:val="single" w:sz="4" w:space="0" w:color="auto"/>
            </w:tcBorders>
            <w:noWrap/>
            <w:vAlign w:val="bottom"/>
            <w:hideMark/>
          </w:tcPr>
          <w:p w14:paraId="6BB7C8B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12.165,03</w:t>
            </w:r>
          </w:p>
        </w:tc>
        <w:tc>
          <w:tcPr>
            <w:tcW w:w="918" w:type="dxa"/>
            <w:tcBorders>
              <w:top w:val="single" w:sz="4" w:space="0" w:color="auto"/>
              <w:left w:val="nil"/>
              <w:bottom w:val="single" w:sz="4" w:space="0" w:color="auto"/>
              <w:right w:val="single" w:sz="4" w:space="0" w:color="auto"/>
            </w:tcBorders>
            <w:noWrap/>
            <w:vAlign w:val="bottom"/>
            <w:hideMark/>
          </w:tcPr>
          <w:p w14:paraId="049B541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110,59%</w:t>
            </w:r>
          </w:p>
        </w:tc>
      </w:tr>
      <w:tr w:rsidR="00416D67" w:rsidRPr="00416D67" w14:paraId="1629985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A56D224" w14:textId="77777777" w:rsidR="00416D67" w:rsidRPr="00416D67" w:rsidRDefault="00416D67" w:rsidP="00416D67">
            <w:pPr>
              <w:rPr>
                <w:rFonts w:ascii="Arial" w:hAnsi="Arial" w:cs="Arial"/>
                <w:sz w:val="14"/>
                <w:szCs w:val="14"/>
              </w:rPr>
            </w:pPr>
            <w:r w:rsidRPr="00416D67">
              <w:rPr>
                <w:rFonts w:ascii="Arial" w:hAnsi="Arial" w:cs="Arial"/>
                <w:sz w:val="14"/>
                <w:szCs w:val="14"/>
              </w:rPr>
              <w:t>3722</w:t>
            </w:r>
          </w:p>
        </w:tc>
        <w:tc>
          <w:tcPr>
            <w:tcW w:w="8106" w:type="dxa"/>
            <w:tcBorders>
              <w:top w:val="single" w:sz="4" w:space="0" w:color="auto"/>
              <w:left w:val="nil"/>
              <w:bottom w:val="single" w:sz="4" w:space="0" w:color="auto"/>
              <w:right w:val="single" w:sz="4" w:space="0" w:color="auto"/>
            </w:tcBorders>
            <w:noWrap/>
            <w:vAlign w:val="bottom"/>
            <w:hideMark/>
          </w:tcPr>
          <w:p w14:paraId="6FC89BCC" w14:textId="77777777" w:rsidR="00416D67" w:rsidRPr="00416D67" w:rsidRDefault="00416D67" w:rsidP="00416D67">
            <w:pPr>
              <w:rPr>
                <w:rFonts w:ascii="Arial" w:hAnsi="Arial" w:cs="Arial"/>
                <w:sz w:val="14"/>
                <w:szCs w:val="14"/>
              </w:rPr>
            </w:pPr>
            <w:r w:rsidRPr="00416D67">
              <w:rPr>
                <w:rFonts w:ascii="Arial" w:hAnsi="Arial" w:cs="Arial"/>
                <w:sz w:val="14"/>
                <w:szCs w:val="14"/>
              </w:rPr>
              <w:t>Naknade građanima i kućanstvima u naravi</w:t>
            </w:r>
          </w:p>
        </w:tc>
        <w:tc>
          <w:tcPr>
            <w:tcW w:w="1095" w:type="dxa"/>
            <w:tcBorders>
              <w:top w:val="single" w:sz="4" w:space="0" w:color="auto"/>
              <w:left w:val="nil"/>
              <w:bottom w:val="single" w:sz="4" w:space="0" w:color="auto"/>
              <w:right w:val="single" w:sz="4" w:space="0" w:color="auto"/>
            </w:tcBorders>
            <w:noWrap/>
            <w:vAlign w:val="bottom"/>
            <w:hideMark/>
          </w:tcPr>
          <w:p w14:paraId="7E0DD08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305A8C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B28BD2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12.165,03</w:t>
            </w:r>
          </w:p>
        </w:tc>
        <w:tc>
          <w:tcPr>
            <w:tcW w:w="918" w:type="dxa"/>
            <w:tcBorders>
              <w:top w:val="single" w:sz="4" w:space="0" w:color="auto"/>
              <w:left w:val="nil"/>
              <w:bottom w:val="single" w:sz="4" w:space="0" w:color="auto"/>
              <w:right w:val="single" w:sz="4" w:space="0" w:color="auto"/>
            </w:tcBorders>
            <w:noWrap/>
            <w:vAlign w:val="bottom"/>
            <w:hideMark/>
          </w:tcPr>
          <w:p w14:paraId="24EC3E9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F0E227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C5527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0FA50F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2.563,00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DFFE4A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2.563,00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CF2950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1.831,46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14B411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71,46%</w:t>
            </w:r>
          </w:p>
        </w:tc>
      </w:tr>
      <w:tr w:rsidR="00416D67" w:rsidRPr="00416D67" w14:paraId="310F96C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C4D3821"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4.4. Prihodi za posebne PK boravak roditelji i </w:t>
            </w:r>
            <w:proofErr w:type="spellStart"/>
            <w:r w:rsidRPr="00416D67">
              <w:rPr>
                <w:rFonts w:ascii="Arial" w:hAnsi="Arial" w:cs="Arial"/>
                <w:b/>
                <w:bCs/>
                <w:color w:val="333333"/>
                <w:sz w:val="14"/>
                <w:szCs w:val="14"/>
              </w:rPr>
              <w:t>soc.program</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96EF81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2.563,00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12F993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2.563,00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A15A22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1.831,46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AFB985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71,46%</w:t>
            </w:r>
          </w:p>
        </w:tc>
      </w:tr>
      <w:tr w:rsidR="00416D67" w:rsidRPr="00416D67" w14:paraId="1FA4D53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E186B1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49D15BE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7FBF5AC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2.563,00</w:t>
            </w:r>
          </w:p>
        </w:tc>
        <w:tc>
          <w:tcPr>
            <w:tcW w:w="1070" w:type="dxa"/>
            <w:tcBorders>
              <w:top w:val="single" w:sz="4" w:space="0" w:color="auto"/>
              <w:left w:val="nil"/>
              <w:bottom w:val="single" w:sz="4" w:space="0" w:color="auto"/>
              <w:right w:val="single" w:sz="4" w:space="0" w:color="auto"/>
            </w:tcBorders>
            <w:noWrap/>
            <w:vAlign w:val="bottom"/>
            <w:hideMark/>
          </w:tcPr>
          <w:p w14:paraId="6B0A3E0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2.563,00</w:t>
            </w:r>
          </w:p>
        </w:tc>
        <w:tc>
          <w:tcPr>
            <w:tcW w:w="1095" w:type="dxa"/>
            <w:tcBorders>
              <w:top w:val="single" w:sz="4" w:space="0" w:color="auto"/>
              <w:left w:val="nil"/>
              <w:bottom w:val="single" w:sz="4" w:space="0" w:color="auto"/>
              <w:right w:val="single" w:sz="4" w:space="0" w:color="auto"/>
            </w:tcBorders>
            <w:noWrap/>
            <w:vAlign w:val="bottom"/>
            <w:hideMark/>
          </w:tcPr>
          <w:p w14:paraId="02FBC77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1.831,46</w:t>
            </w:r>
          </w:p>
        </w:tc>
        <w:tc>
          <w:tcPr>
            <w:tcW w:w="918" w:type="dxa"/>
            <w:tcBorders>
              <w:top w:val="single" w:sz="4" w:space="0" w:color="auto"/>
              <w:left w:val="nil"/>
              <w:bottom w:val="single" w:sz="4" w:space="0" w:color="auto"/>
              <w:right w:val="single" w:sz="4" w:space="0" w:color="auto"/>
            </w:tcBorders>
            <w:noWrap/>
            <w:vAlign w:val="bottom"/>
            <w:hideMark/>
          </w:tcPr>
          <w:p w14:paraId="101F665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71,46%</w:t>
            </w:r>
          </w:p>
        </w:tc>
      </w:tr>
      <w:tr w:rsidR="00416D67" w:rsidRPr="00416D67" w14:paraId="19B07FD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19595A0" w14:textId="77777777" w:rsidR="00416D67" w:rsidRPr="00416D67" w:rsidRDefault="00416D67" w:rsidP="00416D67">
            <w:pPr>
              <w:rPr>
                <w:rFonts w:ascii="Arial" w:hAnsi="Arial" w:cs="Arial"/>
                <w:sz w:val="14"/>
                <w:szCs w:val="14"/>
              </w:rPr>
            </w:pPr>
            <w:r w:rsidRPr="00416D67">
              <w:rPr>
                <w:rFonts w:ascii="Arial" w:hAnsi="Arial" w:cs="Arial"/>
                <w:sz w:val="14"/>
                <w:szCs w:val="14"/>
              </w:rPr>
              <w:t>3233</w:t>
            </w:r>
          </w:p>
        </w:tc>
        <w:tc>
          <w:tcPr>
            <w:tcW w:w="8106" w:type="dxa"/>
            <w:tcBorders>
              <w:top w:val="single" w:sz="4" w:space="0" w:color="auto"/>
              <w:left w:val="nil"/>
              <w:bottom w:val="single" w:sz="4" w:space="0" w:color="auto"/>
              <w:right w:val="single" w:sz="4" w:space="0" w:color="auto"/>
            </w:tcBorders>
            <w:noWrap/>
            <w:vAlign w:val="bottom"/>
            <w:hideMark/>
          </w:tcPr>
          <w:p w14:paraId="3299D665" w14:textId="77777777" w:rsidR="00416D67" w:rsidRPr="00416D67" w:rsidRDefault="00416D67" w:rsidP="00416D67">
            <w:pPr>
              <w:rPr>
                <w:rFonts w:ascii="Arial" w:hAnsi="Arial" w:cs="Arial"/>
                <w:sz w:val="14"/>
                <w:szCs w:val="14"/>
              </w:rPr>
            </w:pPr>
            <w:r w:rsidRPr="00416D67">
              <w:rPr>
                <w:rFonts w:ascii="Arial" w:hAnsi="Arial" w:cs="Arial"/>
                <w:sz w:val="14"/>
                <w:szCs w:val="14"/>
              </w:rPr>
              <w:t>Usluge promidžbe i informiranja</w:t>
            </w:r>
          </w:p>
        </w:tc>
        <w:tc>
          <w:tcPr>
            <w:tcW w:w="1095" w:type="dxa"/>
            <w:tcBorders>
              <w:top w:val="single" w:sz="4" w:space="0" w:color="auto"/>
              <w:left w:val="nil"/>
              <w:bottom w:val="single" w:sz="4" w:space="0" w:color="auto"/>
              <w:right w:val="single" w:sz="4" w:space="0" w:color="auto"/>
            </w:tcBorders>
            <w:noWrap/>
            <w:vAlign w:val="bottom"/>
            <w:hideMark/>
          </w:tcPr>
          <w:p w14:paraId="52C2AE2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1A07A6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48529B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68,75</w:t>
            </w:r>
          </w:p>
        </w:tc>
        <w:tc>
          <w:tcPr>
            <w:tcW w:w="918" w:type="dxa"/>
            <w:tcBorders>
              <w:top w:val="single" w:sz="4" w:space="0" w:color="auto"/>
              <w:left w:val="nil"/>
              <w:bottom w:val="single" w:sz="4" w:space="0" w:color="auto"/>
              <w:right w:val="single" w:sz="4" w:space="0" w:color="auto"/>
            </w:tcBorders>
            <w:noWrap/>
            <w:vAlign w:val="bottom"/>
            <w:hideMark/>
          </w:tcPr>
          <w:p w14:paraId="139D6EC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8DD07D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325655A" w14:textId="77777777" w:rsidR="00416D67" w:rsidRPr="00416D67" w:rsidRDefault="00416D67" w:rsidP="00416D67">
            <w:pPr>
              <w:rPr>
                <w:rFonts w:ascii="Arial" w:hAnsi="Arial" w:cs="Arial"/>
                <w:sz w:val="14"/>
                <w:szCs w:val="14"/>
              </w:rPr>
            </w:pPr>
            <w:r w:rsidRPr="00416D67">
              <w:rPr>
                <w:rFonts w:ascii="Arial" w:hAnsi="Arial" w:cs="Arial"/>
                <w:sz w:val="14"/>
                <w:szCs w:val="14"/>
              </w:rPr>
              <w:t>3235</w:t>
            </w:r>
          </w:p>
        </w:tc>
        <w:tc>
          <w:tcPr>
            <w:tcW w:w="8106" w:type="dxa"/>
            <w:tcBorders>
              <w:top w:val="single" w:sz="4" w:space="0" w:color="auto"/>
              <w:left w:val="nil"/>
              <w:bottom w:val="single" w:sz="4" w:space="0" w:color="auto"/>
              <w:right w:val="single" w:sz="4" w:space="0" w:color="auto"/>
            </w:tcBorders>
            <w:noWrap/>
            <w:vAlign w:val="bottom"/>
            <w:hideMark/>
          </w:tcPr>
          <w:p w14:paraId="6CADE60A" w14:textId="77777777" w:rsidR="00416D67" w:rsidRPr="00416D67" w:rsidRDefault="00416D67" w:rsidP="00416D67">
            <w:pPr>
              <w:rPr>
                <w:rFonts w:ascii="Arial" w:hAnsi="Arial" w:cs="Arial"/>
                <w:sz w:val="14"/>
                <w:szCs w:val="14"/>
              </w:rPr>
            </w:pPr>
            <w:r w:rsidRPr="00416D67">
              <w:rPr>
                <w:rFonts w:ascii="Arial" w:hAnsi="Arial" w:cs="Arial"/>
                <w:sz w:val="14"/>
                <w:szCs w:val="14"/>
              </w:rPr>
              <w:t>Zakupnine i najamnine</w:t>
            </w:r>
          </w:p>
        </w:tc>
        <w:tc>
          <w:tcPr>
            <w:tcW w:w="1095" w:type="dxa"/>
            <w:tcBorders>
              <w:top w:val="single" w:sz="4" w:space="0" w:color="auto"/>
              <w:left w:val="nil"/>
              <w:bottom w:val="single" w:sz="4" w:space="0" w:color="auto"/>
              <w:right w:val="single" w:sz="4" w:space="0" w:color="auto"/>
            </w:tcBorders>
            <w:noWrap/>
            <w:vAlign w:val="bottom"/>
            <w:hideMark/>
          </w:tcPr>
          <w:p w14:paraId="665EFE3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54CB76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B243E8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1.140,63</w:t>
            </w:r>
          </w:p>
        </w:tc>
        <w:tc>
          <w:tcPr>
            <w:tcW w:w="918" w:type="dxa"/>
            <w:tcBorders>
              <w:top w:val="single" w:sz="4" w:space="0" w:color="auto"/>
              <w:left w:val="nil"/>
              <w:bottom w:val="single" w:sz="4" w:space="0" w:color="auto"/>
              <w:right w:val="single" w:sz="4" w:space="0" w:color="auto"/>
            </w:tcBorders>
            <w:noWrap/>
            <w:vAlign w:val="bottom"/>
            <w:hideMark/>
          </w:tcPr>
          <w:p w14:paraId="487EF07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E5A9C4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28366F3" w14:textId="77777777" w:rsidR="00416D67" w:rsidRPr="00416D67" w:rsidRDefault="00416D67" w:rsidP="00416D67">
            <w:pPr>
              <w:rPr>
                <w:rFonts w:ascii="Arial" w:hAnsi="Arial" w:cs="Arial"/>
                <w:sz w:val="14"/>
                <w:szCs w:val="14"/>
              </w:rPr>
            </w:pPr>
            <w:r w:rsidRPr="00416D67">
              <w:rPr>
                <w:rFonts w:ascii="Arial" w:hAnsi="Arial" w:cs="Arial"/>
                <w:sz w:val="14"/>
                <w:szCs w:val="14"/>
              </w:rPr>
              <w:t>3237</w:t>
            </w:r>
          </w:p>
        </w:tc>
        <w:tc>
          <w:tcPr>
            <w:tcW w:w="8106" w:type="dxa"/>
            <w:tcBorders>
              <w:top w:val="single" w:sz="4" w:space="0" w:color="auto"/>
              <w:left w:val="nil"/>
              <w:bottom w:val="single" w:sz="4" w:space="0" w:color="auto"/>
              <w:right w:val="single" w:sz="4" w:space="0" w:color="auto"/>
            </w:tcBorders>
            <w:noWrap/>
            <w:vAlign w:val="bottom"/>
            <w:hideMark/>
          </w:tcPr>
          <w:p w14:paraId="661164EC" w14:textId="77777777" w:rsidR="00416D67" w:rsidRPr="00416D67" w:rsidRDefault="00416D67" w:rsidP="00416D67">
            <w:pPr>
              <w:rPr>
                <w:rFonts w:ascii="Arial" w:hAnsi="Arial" w:cs="Arial"/>
                <w:sz w:val="14"/>
                <w:szCs w:val="14"/>
              </w:rPr>
            </w:pPr>
            <w:r w:rsidRPr="00416D67">
              <w:rPr>
                <w:rFonts w:ascii="Arial" w:hAnsi="Arial" w:cs="Arial"/>
                <w:sz w:val="14"/>
                <w:szCs w:val="14"/>
              </w:rPr>
              <w:t>Intelektualne i osobne usluge</w:t>
            </w:r>
          </w:p>
        </w:tc>
        <w:tc>
          <w:tcPr>
            <w:tcW w:w="1095" w:type="dxa"/>
            <w:tcBorders>
              <w:top w:val="single" w:sz="4" w:space="0" w:color="auto"/>
              <w:left w:val="nil"/>
              <w:bottom w:val="single" w:sz="4" w:space="0" w:color="auto"/>
              <w:right w:val="single" w:sz="4" w:space="0" w:color="auto"/>
            </w:tcBorders>
            <w:noWrap/>
            <w:vAlign w:val="bottom"/>
            <w:hideMark/>
          </w:tcPr>
          <w:p w14:paraId="44599A1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C79FEF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F37E91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527,76</w:t>
            </w:r>
          </w:p>
        </w:tc>
        <w:tc>
          <w:tcPr>
            <w:tcW w:w="918" w:type="dxa"/>
            <w:tcBorders>
              <w:top w:val="single" w:sz="4" w:space="0" w:color="auto"/>
              <w:left w:val="nil"/>
              <w:bottom w:val="single" w:sz="4" w:space="0" w:color="auto"/>
              <w:right w:val="single" w:sz="4" w:space="0" w:color="auto"/>
            </w:tcBorders>
            <w:noWrap/>
            <w:vAlign w:val="bottom"/>
            <w:hideMark/>
          </w:tcPr>
          <w:p w14:paraId="0EF594D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1CDAF8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52AD3F1" w14:textId="77777777" w:rsidR="00416D67" w:rsidRPr="00416D67" w:rsidRDefault="00416D67" w:rsidP="00416D67">
            <w:pPr>
              <w:rPr>
                <w:rFonts w:ascii="Arial" w:hAnsi="Arial" w:cs="Arial"/>
                <w:sz w:val="14"/>
                <w:szCs w:val="14"/>
              </w:rPr>
            </w:pPr>
            <w:r w:rsidRPr="00416D67">
              <w:rPr>
                <w:rFonts w:ascii="Arial" w:hAnsi="Arial" w:cs="Arial"/>
                <w:sz w:val="14"/>
                <w:szCs w:val="14"/>
              </w:rPr>
              <w:t>3239</w:t>
            </w:r>
          </w:p>
        </w:tc>
        <w:tc>
          <w:tcPr>
            <w:tcW w:w="8106" w:type="dxa"/>
            <w:tcBorders>
              <w:top w:val="single" w:sz="4" w:space="0" w:color="auto"/>
              <w:left w:val="nil"/>
              <w:bottom w:val="single" w:sz="4" w:space="0" w:color="auto"/>
              <w:right w:val="single" w:sz="4" w:space="0" w:color="auto"/>
            </w:tcBorders>
            <w:noWrap/>
            <w:vAlign w:val="bottom"/>
            <w:hideMark/>
          </w:tcPr>
          <w:p w14:paraId="0711B792" w14:textId="77777777" w:rsidR="00416D67" w:rsidRPr="00416D67" w:rsidRDefault="00416D67" w:rsidP="00416D67">
            <w:pPr>
              <w:rPr>
                <w:rFonts w:ascii="Arial" w:hAnsi="Arial" w:cs="Arial"/>
                <w:sz w:val="14"/>
                <w:szCs w:val="14"/>
              </w:rPr>
            </w:pPr>
            <w:r w:rsidRPr="00416D67">
              <w:rPr>
                <w:rFonts w:ascii="Arial" w:hAnsi="Arial" w:cs="Arial"/>
                <w:sz w:val="14"/>
                <w:szCs w:val="14"/>
              </w:rPr>
              <w:t>Ostale usluge</w:t>
            </w:r>
          </w:p>
        </w:tc>
        <w:tc>
          <w:tcPr>
            <w:tcW w:w="1095" w:type="dxa"/>
            <w:tcBorders>
              <w:top w:val="single" w:sz="4" w:space="0" w:color="auto"/>
              <w:left w:val="nil"/>
              <w:bottom w:val="single" w:sz="4" w:space="0" w:color="auto"/>
              <w:right w:val="single" w:sz="4" w:space="0" w:color="auto"/>
            </w:tcBorders>
            <w:noWrap/>
            <w:vAlign w:val="bottom"/>
            <w:hideMark/>
          </w:tcPr>
          <w:p w14:paraId="4DBC089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1A3988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C1F219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94,32</w:t>
            </w:r>
          </w:p>
        </w:tc>
        <w:tc>
          <w:tcPr>
            <w:tcW w:w="918" w:type="dxa"/>
            <w:tcBorders>
              <w:top w:val="single" w:sz="4" w:space="0" w:color="auto"/>
              <w:left w:val="nil"/>
              <w:bottom w:val="single" w:sz="4" w:space="0" w:color="auto"/>
              <w:right w:val="single" w:sz="4" w:space="0" w:color="auto"/>
            </w:tcBorders>
            <w:noWrap/>
            <w:vAlign w:val="bottom"/>
            <w:hideMark/>
          </w:tcPr>
          <w:p w14:paraId="1157D68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96FA14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AD336D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A100003</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13EABE1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Aktivnost: Provođenje programa </w:t>
            </w:r>
            <w:proofErr w:type="spellStart"/>
            <w:r w:rsidRPr="00416D67">
              <w:rPr>
                <w:rFonts w:ascii="Arial" w:hAnsi="Arial" w:cs="Arial"/>
                <w:b/>
                <w:bCs/>
                <w:sz w:val="14"/>
                <w:szCs w:val="14"/>
              </w:rPr>
              <w:t>predškole</w:t>
            </w:r>
            <w:proofErr w:type="spellEnd"/>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F8ACA2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1.268,00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7A7904B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1.268,00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FB5D6B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659,43</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4DF9F66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52,01%</w:t>
            </w:r>
          </w:p>
        </w:tc>
      </w:tr>
      <w:tr w:rsidR="00416D67" w:rsidRPr="00416D67" w14:paraId="4C942B0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A8B911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749E6D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929848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8CDC7F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285,03</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97E47C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35,63%</w:t>
            </w:r>
          </w:p>
        </w:tc>
      </w:tr>
      <w:tr w:rsidR="00416D67" w:rsidRPr="00416D67" w14:paraId="3B0067B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42A86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4.4. Prihodi za posebne PK boravak roditelji i </w:t>
            </w:r>
            <w:proofErr w:type="spellStart"/>
            <w:r w:rsidRPr="00416D67">
              <w:rPr>
                <w:rFonts w:ascii="Arial" w:hAnsi="Arial" w:cs="Arial"/>
                <w:b/>
                <w:bCs/>
                <w:color w:val="333333"/>
                <w:sz w:val="14"/>
                <w:szCs w:val="14"/>
              </w:rPr>
              <w:t>soc.program</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743EFA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44DD15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864608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285,03</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DD6F84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35,63%</w:t>
            </w:r>
          </w:p>
        </w:tc>
      </w:tr>
      <w:tr w:rsidR="00416D67" w:rsidRPr="00416D67" w14:paraId="3451FA6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9984EF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031A585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24BC9A3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800,00</w:t>
            </w:r>
          </w:p>
        </w:tc>
        <w:tc>
          <w:tcPr>
            <w:tcW w:w="1070" w:type="dxa"/>
            <w:tcBorders>
              <w:top w:val="single" w:sz="4" w:space="0" w:color="auto"/>
              <w:left w:val="nil"/>
              <w:bottom w:val="single" w:sz="4" w:space="0" w:color="auto"/>
              <w:right w:val="single" w:sz="4" w:space="0" w:color="auto"/>
            </w:tcBorders>
            <w:noWrap/>
            <w:vAlign w:val="bottom"/>
            <w:hideMark/>
          </w:tcPr>
          <w:p w14:paraId="7274ECD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800,00</w:t>
            </w:r>
          </w:p>
        </w:tc>
        <w:tc>
          <w:tcPr>
            <w:tcW w:w="1095" w:type="dxa"/>
            <w:tcBorders>
              <w:top w:val="single" w:sz="4" w:space="0" w:color="auto"/>
              <w:left w:val="nil"/>
              <w:bottom w:val="single" w:sz="4" w:space="0" w:color="auto"/>
              <w:right w:val="single" w:sz="4" w:space="0" w:color="auto"/>
            </w:tcBorders>
            <w:noWrap/>
            <w:vAlign w:val="bottom"/>
            <w:hideMark/>
          </w:tcPr>
          <w:p w14:paraId="0AAE380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285,03</w:t>
            </w:r>
          </w:p>
        </w:tc>
        <w:tc>
          <w:tcPr>
            <w:tcW w:w="918" w:type="dxa"/>
            <w:tcBorders>
              <w:top w:val="single" w:sz="4" w:space="0" w:color="auto"/>
              <w:left w:val="nil"/>
              <w:bottom w:val="single" w:sz="4" w:space="0" w:color="auto"/>
              <w:right w:val="single" w:sz="4" w:space="0" w:color="auto"/>
            </w:tcBorders>
            <w:noWrap/>
            <w:vAlign w:val="bottom"/>
            <w:hideMark/>
          </w:tcPr>
          <w:p w14:paraId="58A7B18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35,63%</w:t>
            </w:r>
          </w:p>
        </w:tc>
      </w:tr>
      <w:tr w:rsidR="00416D67" w:rsidRPr="00416D67" w14:paraId="48571C2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8003F5F" w14:textId="77777777" w:rsidR="00416D67" w:rsidRPr="00416D67" w:rsidRDefault="00416D67" w:rsidP="00416D67">
            <w:pPr>
              <w:rPr>
                <w:rFonts w:ascii="Arial" w:hAnsi="Arial" w:cs="Arial"/>
                <w:sz w:val="14"/>
                <w:szCs w:val="14"/>
              </w:rPr>
            </w:pPr>
            <w:r w:rsidRPr="00416D67">
              <w:rPr>
                <w:rFonts w:ascii="Arial" w:hAnsi="Arial" w:cs="Arial"/>
                <w:sz w:val="14"/>
                <w:szCs w:val="14"/>
              </w:rPr>
              <w:t>3221</w:t>
            </w:r>
          </w:p>
        </w:tc>
        <w:tc>
          <w:tcPr>
            <w:tcW w:w="8106" w:type="dxa"/>
            <w:tcBorders>
              <w:top w:val="single" w:sz="4" w:space="0" w:color="auto"/>
              <w:left w:val="nil"/>
              <w:bottom w:val="single" w:sz="4" w:space="0" w:color="auto"/>
              <w:right w:val="single" w:sz="4" w:space="0" w:color="auto"/>
            </w:tcBorders>
            <w:noWrap/>
            <w:vAlign w:val="bottom"/>
            <w:hideMark/>
          </w:tcPr>
          <w:p w14:paraId="4C8C0650" w14:textId="77777777" w:rsidR="00416D67" w:rsidRPr="00416D67" w:rsidRDefault="00416D67" w:rsidP="00416D67">
            <w:pPr>
              <w:rPr>
                <w:rFonts w:ascii="Arial" w:hAnsi="Arial" w:cs="Arial"/>
                <w:sz w:val="14"/>
                <w:szCs w:val="14"/>
              </w:rPr>
            </w:pPr>
            <w:r w:rsidRPr="00416D67">
              <w:rPr>
                <w:rFonts w:ascii="Arial" w:hAnsi="Arial" w:cs="Arial"/>
                <w:sz w:val="14"/>
                <w:szCs w:val="14"/>
              </w:rPr>
              <w:t>Uredski materijal i ostali materijalni rashodi</w:t>
            </w:r>
          </w:p>
        </w:tc>
        <w:tc>
          <w:tcPr>
            <w:tcW w:w="1095" w:type="dxa"/>
            <w:tcBorders>
              <w:top w:val="single" w:sz="4" w:space="0" w:color="auto"/>
              <w:left w:val="nil"/>
              <w:bottom w:val="single" w:sz="4" w:space="0" w:color="auto"/>
              <w:right w:val="single" w:sz="4" w:space="0" w:color="auto"/>
            </w:tcBorders>
            <w:noWrap/>
            <w:vAlign w:val="bottom"/>
            <w:hideMark/>
          </w:tcPr>
          <w:p w14:paraId="32DB0CF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88E55A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7779D7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285,03</w:t>
            </w:r>
          </w:p>
        </w:tc>
        <w:tc>
          <w:tcPr>
            <w:tcW w:w="918" w:type="dxa"/>
            <w:tcBorders>
              <w:top w:val="single" w:sz="4" w:space="0" w:color="auto"/>
              <w:left w:val="nil"/>
              <w:bottom w:val="single" w:sz="4" w:space="0" w:color="auto"/>
              <w:right w:val="single" w:sz="4" w:space="0" w:color="auto"/>
            </w:tcBorders>
            <w:noWrap/>
            <w:vAlign w:val="bottom"/>
            <w:hideMark/>
          </w:tcPr>
          <w:p w14:paraId="32DFA20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1F11F3F"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DF5CC1"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 Pomoći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3F6437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468,00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987D10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468,00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A6BB3D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374,40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0E024D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80,00%</w:t>
            </w:r>
          </w:p>
        </w:tc>
      </w:tr>
      <w:tr w:rsidR="00416D67" w:rsidRPr="00416D67" w14:paraId="314D324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488C0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5.2. Tekuće pomoći državni proračun PK</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C2FD8B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468,00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299DE9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468,00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3FC99C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374,40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CA4974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80,00%</w:t>
            </w:r>
          </w:p>
        </w:tc>
      </w:tr>
      <w:tr w:rsidR="00416D67" w:rsidRPr="00416D67" w14:paraId="09B0650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98F78D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101B5A7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0469A3F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468,00</w:t>
            </w:r>
          </w:p>
        </w:tc>
        <w:tc>
          <w:tcPr>
            <w:tcW w:w="1070" w:type="dxa"/>
            <w:tcBorders>
              <w:top w:val="single" w:sz="4" w:space="0" w:color="auto"/>
              <w:left w:val="nil"/>
              <w:bottom w:val="single" w:sz="4" w:space="0" w:color="auto"/>
              <w:right w:val="single" w:sz="4" w:space="0" w:color="auto"/>
            </w:tcBorders>
            <w:noWrap/>
            <w:vAlign w:val="bottom"/>
            <w:hideMark/>
          </w:tcPr>
          <w:p w14:paraId="63C387A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468,00</w:t>
            </w:r>
          </w:p>
        </w:tc>
        <w:tc>
          <w:tcPr>
            <w:tcW w:w="1095" w:type="dxa"/>
            <w:tcBorders>
              <w:top w:val="single" w:sz="4" w:space="0" w:color="auto"/>
              <w:left w:val="nil"/>
              <w:bottom w:val="single" w:sz="4" w:space="0" w:color="auto"/>
              <w:right w:val="single" w:sz="4" w:space="0" w:color="auto"/>
            </w:tcBorders>
            <w:noWrap/>
            <w:vAlign w:val="bottom"/>
            <w:hideMark/>
          </w:tcPr>
          <w:p w14:paraId="5F3709F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374,40</w:t>
            </w:r>
          </w:p>
        </w:tc>
        <w:tc>
          <w:tcPr>
            <w:tcW w:w="918" w:type="dxa"/>
            <w:tcBorders>
              <w:top w:val="single" w:sz="4" w:space="0" w:color="auto"/>
              <w:left w:val="nil"/>
              <w:bottom w:val="single" w:sz="4" w:space="0" w:color="auto"/>
              <w:right w:val="single" w:sz="4" w:space="0" w:color="auto"/>
            </w:tcBorders>
            <w:noWrap/>
            <w:vAlign w:val="bottom"/>
            <w:hideMark/>
          </w:tcPr>
          <w:p w14:paraId="5D86712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80,00%</w:t>
            </w:r>
          </w:p>
        </w:tc>
      </w:tr>
      <w:tr w:rsidR="00416D67" w:rsidRPr="00416D67" w14:paraId="73FD543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F2162D0" w14:textId="77777777" w:rsidR="00416D67" w:rsidRPr="00416D67" w:rsidRDefault="00416D67" w:rsidP="00416D67">
            <w:pPr>
              <w:rPr>
                <w:rFonts w:ascii="Arial" w:hAnsi="Arial" w:cs="Arial"/>
                <w:sz w:val="14"/>
                <w:szCs w:val="14"/>
              </w:rPr>
            </w:pPr>
            <w:r w:rsidRPr="00416D67">
              <w:rPr>
                <w:rFonts w:ascii="Arial" w:hAnsi="Arial" w:cs="Arial"/>
                <w:sz w:val="14"/>
                <w:szCs w:val="14"/>
              </w:rPr>
              <w:t>3221</w:t>
            </w:r>
          </w:p>
        </w:tc>
        <w:tc>
          <w:tcPr>
            <w:tcW w:w="8106" w:type="dxa"/>
            <w:tcBorders>
              <w:top w:val="single" w:sz="4" w:space="0" w:color="auto"/>
              <w:left w:val="nil"/>
              <w:bottom w:val="single" w:sz="4" w:space="0" w:color="auto"/>
              <w:right w:val="single" w:sz="4" w:space="0" w:color="auto"/>
            </w:tcBorders>
            <w:noWrap/>
            <w:vAlign w:val="bottom"/>
            <w:hideMark/>
          </w:tcPr>
          <w:p w14:paraId="4ED89D27" w14:textId="77777777" w:rsidR="00416D67" w:rsidRPr="00416D67" w:rsidRDefault="00416D67" w:rsidP="00416D67">
            <w:pPr>
              <w:rPr>
                <w:rFonts w:ascii="Arial" w:hAnsi="Arial" w:cs="Arial"/>
                <w:sz w:val="14"/>
                <w:szCs w:val="14"/>
              </w:rPr>
            </w:pPr>
            <w:r w:rsidRPr="00416D67">
              <w:rPr>
                <w:rFonts w:ascii="Arial" w:hAnsi="Arial" w:cs="Arial"/>
                <w:sz w:val="14"/>
                <w:szCs w:val="14"/>
              </w:rPr>
              <w:t>Uredski materijal i ostali materijalni rashodi</w:t>
            </w:r>
          </w:p>
        </w:tc>
        <w:tc>
          <w:tcPr>
            <w:tcW w:w="1095" w:type="dxa"/>
            <w:tcBorders>
              <w:top w:val="single" w:sz="4" w:space="0" w:color="auto"/>
              <w:left w:val="nil"/>
              <w:bottom w:val="single" w:sz="4" w:space="0" w:color="auto"/>
              <w:right w:val="single" w:sz="4" w:space="0" w:color="auto"/>
            </w:tcBorders>
            <w:noWrap/>
            <w:vAlign w:val="bottom"/>
            <w:hideMark/>
          </w:tcPr>
          <w:p w14:paraId="6711C7F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031570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FE46A8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374,40</w:t>
            </w:r>
          </w:p>
        </w:tc>
        <w:tc>
          <w:tcPr>
            <w:tcW w:w="918" w:type="dxa"/>
            <w:tcBorders>
              <w:top w:val="single" w:sz="4" w:space="0" w:color="auto"/>
              <w:left w:val="nil"/>
              <w:bottom w:val="single" w:sz="4" w:space="0" w:color="auto"/>
              <w:right w:val="single" w:sz="4" w:space="0" w:color="auto"/>
            </w:tcBorders>
            <w:noWrap/>
            <w:vAlign w:val="bottom"/>
            <w:hideMark/>
          </w:tcPr>
          <w:p w14:paraId="28D7A5B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109219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895A48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A100004</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7FD6300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Provođenje programa zavičajne nastave</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6FE4E7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1.450,00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7515333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1.450,00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95B058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1.585,00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43F09EC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109,31%</w:t>
            </w:r>
          </w:p>
        </w:tc>
      </w:tr>
      <w:tr w:rsidR="00416D67" w:rsidRPr="00416D67" w14:paraId="3349CC3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65ABF7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2707D7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450,00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089405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450,00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C76908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585,00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B93E1C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130,00%</w:t>
            </w:r>
          </w:p>
        </w:tc>
      </w:tr>
      <w:tr w:rsidR="00416D67" w:rsidRPr="00416D67" w14:paraId="233F18A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12B240E"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4.4. Prihodi za posebne PK boravak roditelji i </w:t>
            </w:r>
            <w:proofErr w:type="spellStart"/>
            <w:r w:rsidRPr="00416D67">
              <w:rPr>
                <w:rFonts w:ascii="Arial" w:hAnsi="Arial" w:cs="Arial"/>
                <w:b/>
                <w:bCs/>
                <w:color w:val="333333"/>
                <w:sz w:val="14"/>
                <w:szCs w:val="14"/>
              </w:rPr>
              <w:t>soc.program</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F13060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450,00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7DB055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450,00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867FF4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585,00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8B8C3D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130,00%</w:t>
            </w:r>
          </w:p>
        </w:tc>
      </w:tr>
      <w:tr w:rsidR="00416D67" w:rsidRPr="00416D67" w14:paraId="7313B0B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6A0B16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1DC393B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73079E2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450,00</w:t>
            </w:r>
          </w:p>
        </w:tc>
        <w:tc>
          <w:tcPr>
            <w:tcW w:w="1070" w:type="dxa"/>
            <w:tcBorders>
              <w:top w:val="single" w:sz="4" w:space="0" w:color="auto"/>
              <w:left w:val="nil"/>
              <w:bottom w:val="single" w:sz="4" w:space="0" w:color="auto"/>
              <w:right w:val="single" w:sz="4" w:space="0" w:color="auto"/>
            </w:tcBorders>
            <w:noWrap/>
            <w:vAlign w:val="bottom"/>
            <w:hideMark/>
          </w:tcPr>
          <w:p w14:paraId="064A94D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450,00</w:t>
            </w:r>
          </w:p>
        </w:tc>
        <w:tc>
          <w:tcPr>
            <w:tcW w:w="1095" w:type="dxa"/>
            <w:tcBorders>
              <w:top w:val="single" w:sz="4" w:space="0" w:color="auto"/>
              <w:left w:val="nil"/>
              <w:bottom w:val="single" w:sz="4" w:space="0" w:color="auto"/>
              <w:right w:val="single" w:sz="4" w:space="0" w:color="auto"/>
            </w:tcBorders>
            <w:noWrap/>
            <w:vAlign w:val="bottom"/>
            <w:hideMark/>
          </w:tcPr>
          <w:p w14:paraId="763B98D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585,00</w:t>
            </w:r>
          </w:p>
        </w:tc>
        <w:tc>
          <w:tcPr>
            <w:tcW w:w="918" w:type="dxa"/>
            <w:tcBorders>
              <w:top w:val="single" w:sz="4" w:space="0" w:color="auto"/>
              <w:left w:val="nil"/>
              <w:bottom w:val="single" w:sz="4" w:space="0" w:color="auto"/>
              <w:right w:val="single" w:sz="4" w:space="0" w:color="auto"/>
            </w:tcBorders>
            <w:noWrap/>
            <w:vAlign w:val="bottom"/>
            <w:hideMark/>
          </w:tcPr>
          <w:p w14:paraId="676399E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130,00%</w:t>
            </w:r>
          </w:p>
        </w:tc>
      </w:tr>
      <w:tr w:rsidR="00416D67" w:rsidRPr="00416D67" w14:paraId="6F201F8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5705EF6" w14:textId="77777777" w:rsidR="00416D67" w:rsidRPr="00416D67" w:rsidRDefault="00416D67" w:rsidP="00416D67">
            <w:pPr>
              <w:rPr>
                <w:rFonts w:ascii="Arial" w:hAnsi="Arial" w:cs="Arial"/>
                <w:sz w:val="14"/>
                <w:szCs w:val="14"/>
              </w:rPr>
            </w:pPr>
            <w:r w:rsidRPr="00416D67">
              <w:rPr>
                <w:rFonts w:ascii="Arial" w:hAnsi="Arial" w:cs="Arial"/>
                <w:sz w:val="14"/>
                <w:szCs w:val="14"/>
              </w:rPr>
              <w:t>3231</w:t>
            </w:r>
          </w:p>
        </w:tc>
        <w:tc>
          <w:tcPr>
            <w:tcW w:w="8106" w:type="dxa"/>
            <w:tcBorders>
              <w:top w:val="single" w:sz="4" w:space="0" w:color="auto"/>
              <w:left w:val="nil"/>
              <w:bottom w:val="single" w:sz="4" w:space="0" w:color="auto"/>
              <w:right w:val="single" w:sz="4" w:space="0" w:color="auto"/>
            </w:tcBorders>
            <w:noWrap/>
            <w:vAlign w:val="bottom"/>
            <w:hideMark/>
          </w:tcPr>
          <w:p w14:paraId="52F7D99C" w14:textId="77777777" w:rsidR="00416D67" w:rsidRPr="00416D67" w:rsidRDefault="00416D67" w:rsidP="00416D67">
            <w:pPr>
              <w:rPr>
                <w:rFonts w:ascii="Arial" w:hAnsi="Arial" w:cs="Arial"/>
                <w:sz w:val="14"/>
                <w:szCs w:val="14"/>
              </w:rPr>
            </w:pPr>
            <w:r w:rsidRPr="00416D67">
              <w:rPr>
                <w:rFonts w:ascii="Arial" w:hAnsi="Arial" w:cs="Arial"/>
                <w:sz w:val="14"/>
                <w:szCs w:val="14"/>
              </w:rPr>
              <w:t>Usluge telefona, interneta, pošte i prijevoza</w:t>
            </w:r>
          </w:p>
        </w:tc>
        <w:tc>
          <w:tcPr>
            <w:tcW w:w="1095" w:type="dxa"/>
            <w:tcBorders>
              <w:top w:val="single" w:sz="4" w:space="0" w:color="auto"/>
              <w:left w:val="nil"/>
              <w:bottom w:val="single" w:sz="4" w:space="0" w:color="auto"/>
              <w:right w:val="single" w:sz="4" w:space="0" w:color="auto"/>
            </w:tcBorders>
            <w:noWrap/>
            <w:vAlign w:val="bottom"/>
            <w:hideMark/>
          </w:tcPr>
          <w:p w14:paraId="0964122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F1881B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A35EBE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585,00</w:t>
            </w:r>
          </w:p>
        </w:tc>
        <w:tc>
          <w:tcPr>
            <w:tcW w:w="918" w:type="dxa"/>
            <w:tcBorders>
              <w:top w:val="single" w:sz="4" w:space="0" w:color="auto"/>
              <w:left w:val="nil"/>
              <w:bottom w:val="single" w:sz="4" w:space="0" w:color="auto"/>
              <w:right w:val="single" w:sz="4" w:space="0" w:color="auto"/>
            </w:tcBorders>
            <w:noWrap/>
            <w:vAlign w:val="bottom"/>
            <w:hideMark/>
          </w:tcPr>
          <w:p w14:paraId="11A7D84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ED7E30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E67AB0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 Pomoći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A18418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F96645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793E2A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F69F49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2FE0847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2D252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5.4. Tekuće pomoći PK JLP(R)S </w:t>
            </w:r>
            <w:proofErr w:type="spellStart"/>
            <w:r w:rsidRPr="00416D67">
              <w:rPr>
                <w:rFonts w:ascii="Arial" w:hAnsi="Arial" w:cs="Arial"/>
                <w:b/>
                <w:bCs/>
                <w:color w:val="333333"/>
                <w:sz w:val="14"/>
                <w:szCs w:val="14"/>
              </w:rPr>
              <w:t>Ist.županija</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DF86B5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E3ADEC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380F03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48BBD0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32FA2E3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346ED6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lastRenderedPageBreak/>
              <w:t>32</w:t>
            </w:r>
          </w:p>
        </w:tc>
        <w:tc>
          <w:tcPr>
            <w:tcW w:w="8106" w:type="dxa"/>
            <w:tcBorders>
              <w:top w:val="single" w:sz="4" w:space="0" w:color="auto"/>
              <w:left w:val="nil"/>
              <w:bottom w:val="single" w:sz="4" w:space="0" w:color="auto"/>
              <w:right w:val="single" w:sz="4" w:space="0" w:color="auto"/>
            </w:tcBorders>
            <w:noWrap/>
            <w:vAlign w:val="bottom"/>
            <w:hideMark/>
          </w:tcPr>
          <w:p w14:paraId="630E3AE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33F7338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1070" w:type="dxa"/>
            <w:tcBorders>
              <w:top w:val="single" w:sz="4" w:space="0" w:color="auto"/>
              <w:left w:val="nil"/>
              <w:bottom w:val="single" w:sz="4" w:space="0" w:color="auto"/>
              <w:right w:val="single" w:sz="4" w:space="0" w:color="auto"/>
            </w:tcBorders>
            <w:noWrap/>
            <w:vAlign w:val="bottom"/>
            <w:hideMark/>
          </w:tcPr>
          <w:p w14:paraId="2D81441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1095" w:type="dxa"/>
            <w:tcBorders>
              <w:top w:val="single" w:sz="4" w:space="0" w:color="auto"/>
              <w:left w:val="nil"/>
              <w:bottom w:val="single" w:sz="4" w:space="0" w:color="auto"/>
              <w:right w:val="single" w:sz="4" w:space="0" w:color="auto"/>
            </w:tcBorders>
            <w:noWrap/>
            <w:vAlign w:val="bottom"/>
            <w:hideMark/>
          </w:tcPr>
          <w:p w14:paraId="531E3C7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918" w:type="dxa"/>
            <w:tcBorders>
              <w:top w:val="single" w:sz="4" w:space="0" w:color="auto"/>
              <w:left w:val="nil"/>
              <w:bottom w:val="single" w:sz="4" w:space="0" w:color="auto"/>
              <w:right w:val="single" w:sz="4" w:space="0" w:color="auto"/>
            </w:tcBorders>
            <w:noWrap/>
            <w:vAlign w:val="bottom"/>
            <w:hideMark/>
          </w:tcPr>
          <w:p w14:paraId="4A0167D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7BD64B5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2CC2F9A" w14:textId="77777777" w:rsidR="00416D67" w:rsidRPr="00416D67" w:rsidRDefault="00416D67" w:rsidP="00416D67">
            <w:pPr>
              <w:rPr>
                <w:rFonts w:ascii="Arial" w:hAnsi="Arial" w:cs="Arial"/>
                <w:sz w:val="14"/>
                <w:szCs w:val="14"/>
              </w:rPr>
            </w:pPr>
            <w:r w:rsidRPr="00416D67">
              <w:rPr>
                <w:rFonts w:ascii="Arial" w:hAnsi="Arial" w:cs="Arial"/>
                <w:sz w:val="14"/>
                <w:szCs w:val="14"/>
              </w:rPr>
              <w:t>3233</w:t>
            </w:r>
          </w:p>
        </w:tc>
        <w:tc>
          <w:tcPr>
            <w:tcW w:w="8106" w:type="dxa"/>
            <w:tcBorders>
              <w:top w:val="single" w:sz="4" w:space="0" w:color="auto"/>
              <w:left w:val="nil"/>
              <w:bottom w:val="single" w:sz="4" w:space="0" w:color="auto"/>
              <w:right w:val="single" w:sz="4" w:space="0" w:color="auto"/>
            </w:tcBorders>
            <w:noWrap/>
            <w:vAlign w:val="bottom"/>
            <w:hideMark/>
          </w:tcPr>
          <w:p w14:paraId="2E4AFA31" w14:textId="77777777" w:rsidR="00416D67" w:rsidRPr="00416D67" w:rsidRDefault="00416D67" w:rsidP="00416D67">
            <w:pPr>
              <w:rPr>
                <w:rFonts w:ascii="Arial" w:hAnsi="Arial" w:cs="Arial"/>
                <w:sz w:val="14"/>
                <w:szCs w:val="14"/>
              </w:rPr>
            </w:pPr>
            <w:r w:rsidRPr="00416D67">
              <w:rPr>
                <w:rFonts w:ascii="Arial" w:hAnsi="Arial" w:cs="Arial"/>
                <w:sz w:val="14"/>
                <w:szCs w:val="14"/>
              </w:rPr>
              <w:t>Usluge promidžbe i informiranja</w:t>
            </w:r>
          </w:p>
        </w:tc>
        <w:tc>
          <w:tcPr>
            <w:tcW w:w="1095" w:type="dxa"/>
            <w:tcBorders>
              <w:top w:val="single" w:sz="4" w:space="0" w:color="auto"/>
              <w:left w:val="nil"/>
              <w:bottom w:val="single" w:sz="4" w:space="0" w:color="auto"/>
              <w:right w:val="single" w:sz="4" w:space="0" w:color="auto"/>
            </w:tcBorders>
            <w:noWrap/>
            <w:vAlign w:val="bottom"/>
            <w:hideMark/>
          </w:tcPr>
          <w:p w14:paraId="0D6CFC1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290F295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5B0B5A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1.000,00</w:t>
            </w:r>
          </w:p>
        </w:tc>
        <w:tc>
          <w:tcPr>
            <w:tcW w:w="918" w:type="dxa"/>
            <w:tcBorders>
              <w:top w:val="single" w:sz="4" w:space="0" w:color="auto"/>
              <w:left w:val="nil"/>
              <w:bottom w:val="single" w:sz="4" w:space="0" w:color="auto"/>
              <w:right w:val="single" w:sz="4" w:space="0" w:color="auto"/>
            </w:tcBorders>
            <w:noWrap/>
            <w:vAlign w:val="bottom"/>
            <w:hideMark/>
          </w:tcPr>
          <w:p w14:paraId="2736C95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C4B33E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7145E4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A100009</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1371D3B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Priprema obroka za vanjske korisnike</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0D4BC8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4C502EE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B231FF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27.404,40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4D8D2ED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97,87%</w:t>
            </w:r>
          </w:p>
        </w:tc>
      </w:tr>
      <w:tr w:rsidR="00416D67" w:rsidRPr="00416D67" w14:paraId="5A1CCD7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C13863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3. Vlastiti prihodi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411405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28.000,00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4DDA78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28.000,00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67033F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27.404,40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987643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97,87%</w:t>
            </w:r>
          </w:p>
        </w:tc>
      </w:tr>
      <w:tr w:rsidR="00416D67" w:rsidRPr="00416D67" w14:paraId="73B8BEE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02A09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3.4. Vlastiti prihodi PK</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5D7F60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28.000,00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90672B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28.000,00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76AA55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27.404,40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156384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97,87%</w:t>
            </w:r>
          </w:p>
        </w:tc>
      </w:tr>
      <w:tr w:rsidR="00416D67" w:rsidRPr="00416D67" w14:paraId="491F6D9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1805A9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042129F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0753453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28.000,00</w:t>
            </w:r>
          </w:p>
        </w:tc>
        <w:tc>
          <w:tcPr>
            <w:tcW w:w="1070" w:type="dxa"/>
            <w:tcBorders>
              <w:top w:val="single" w:sz="4" w:space="0" w:color="auto"/>
              <w:left w:val="nil"/>
              <w:bottom w:val="single" w:sz="4" w:space="0" w:color="auto"/>
              <w:right w:val="single" w:sz="4" w:space="0" w:color="auto"/>
            </w:tcBorders>
            <w:noWrap/>
            <w:vAlign w:val="bottom"/>
            <w:hideMark/>
          </w:tcPr>
          <w:p w14:paraId="2093251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28.000,00</w:t>
            </w:r>
          </w:p>
        </w:tc>
        <w:tc>
          <w:tcPr>
            <w:tcW w:w="1095" w:type="dxa"/>
            <w:tcBorders>
              <w:top w:val="single" w:sz="4" w:space="0" w:color="auto"/>
              <w:left w:val="nil"/>
              <w:bottom w:val="single" w:sz="4" w:space="0" w:color="auto"/>
              <w:right w:val="single" w:sz="4" w:space="0" w:color="auto"/>
            </w:tcBorders>
            <w:noWrap/>
            <w:vAlign w:val="bottom"/>
            <w:hideMark/>
          </w:tcPr>
          <w:p w14:paraId="4802186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27.404,40</w:t>
            </w:r>
          </w:p>
        </w:tc>
        <w:tc>
          <w:tcPr>
            <w:tcW w:w="918" w:type="dxa"/>
            <w:tcBorders>
              <w:top w:val="single" w:sz="4" w:space="0" w:color="auto"/>
              <w:left w:val="nil"/>
              <w:bottom w:val="single" w:sz="4" w:space="0" w:color="auto"/>
              <w:right w:val="single" w:sz="4" w:space="0" w:color="auto"/>
            </w:tcBorders>
            <w:noWrap/>
            <w:vAlign w:val="bottom"/>
            <w:hideMark/>
          </w:tcPr>
          <w:p w14:paraId="136FF53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97,87%</w:t>
            </w:r>
          </w:p>
        </w:tc>
      </w:tr>
      <w:tr w:rsidR="00416D67" w:rsidRPr="00416D67" w14:paraId="77F3D09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5BB0FB1" w14:textId="77777777" w:rsidR="00416D67" w:rsidRPr="00416D67" w:rsidRDefault="00416D67" w:rsidP="00416D67">
            <w:pPr>
              <w:rPr>
                <w:rFonts w:ascii="Arial" w:hAnsi="Arial" w:cs="Arial"/>
                <w:sz w:val="14"/>
                <w:szCs w:val="14"/>
              </w:rPr>
            </w:pPr>
            <w:r w:rsidRPr="00416D67">
              <w:rPr>
                <w:rFonts w:ascii="Arial" w:hAnsi="Arial" w:cs="Arial"/>
                <w:sz w:val="14"/>
                <w:szCs w:val="14"/>
              </w:rPr>
              <w:t>3222</w:t>
            </w:r>
          </w:p>
        </w:tc>
        <w:tc>
          <w:tcPr>
            <w:tcW w:w="8106" w:type="dxa"/>
            <w:tcBorders>
              <w:top w:val="single" w:sz="4" w:space="0" w:color="auto"/>
              <w:left w:val="nil"/>
              <w:bottom w:val="single" w:sz="4" w:space="0" w:color="auto"/>
              <w:right w:val="single" w:sz="4" w:space="0" w:color="auto"/>
            </w:tcBorders>
            <w:noWrap/>
            <w:vAlign w:val="bottom"/>
            <w:hideMark/>
          </w:tcPr>
          <w:p w14:paraId="0455E61A" w14:textId="77777777" w:rsidR="00416D67" w:rsidRPr="00416D67" w:rsidRDefault="00416D67" w:rsidP="00416D67">
            <w:pPr>
              <w:rPr>
                <w:rFonts w:ascii="Arial" w:hAnsi="Arial" w:cs="Arial"/>
                <w:sz w:val="14"/>
                <w:szCs w:val="14"/>
              </w:rPr>
            </w:pPr>
            <w:r w:rsidRPr="00416D67">
              <w:rPr>
                <w:rFonts w:ascii="Arial" w:hAnsi="Arial" w:cs="Arial"/>
                <w:sz w:val="14"/>
                <w:szCs w:val="14"/>
              </w:rPr>
              <w:t>Materijal i sirovine</w:t>
            </w:r>
          </w:p>
        </w:tc>
        <w:tc>
          <w:tcPr>
            <w:tcW w:w="1095" w:type="dxa"/>
            <w:tcBorders>
              <w:top w:val="single" w:sz="4" w:space="0" w:color="auto"/>
              <w:left w:val="nil"/>
              <w:bottom w:val="single" w:sz="4" w:space="0" w:color="auto"/>
              <w:right w:val="single" w:sz="4" w:space="0" w:color="auto"/>
            </w:tcBorders>
            <w:noWrap/>
            <w:vAlign w:val="bottom"/>
            <w:hideMark/>
          </w:tcPr>
          <w:p w14:paraId="6E691D0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18B8E7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1E5BEC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27.288,73</w:t>
            </w:r>
          </w:p>
        </w:tc>
        <w:tc>
          <w:tcPr>
            <w:tcW w:w="918" w:type="dxa"/>
            <w:tcBorders>
              <w:top w:val="single" w:sz="4" w:space="0" w:color="auto"/>
              <w:left w:val="nil"/>
              <w:bottom w:val="single" w:sz="4" w:space="0" w:color="auto"/>
              <w:right w:val="single" w:sz="4" w:space="0" w:color="auto"/>
            </w:tcBorders>
            <w:noWrap/>
            <w:vAlign w:val="bottom"/>
            <w:hideMark/>
          </w:tcPr>
          <w:p w14:paraId="15D3C33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657E75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F962DFC" w14:textId="77777777" w:rsidR="00416D67" w:rsidRPr="00416D67" w:rsidRDefault="00416D67" w:rsidP="00416D67">
            <w:pPr>
              <w:rPr>
                <w:rFonts w:ascii="Arial" w:hAnsi="Arial" w:cs="Arial"/>
                <w:sz w:val="14"/>
                <w:szCs w:val="14"/>
              </w:rPr>
            </w:pPr>
            <w:r w:rsidRPr="00416D67">
              <w:rPr>
                <w:rFonts w:ascii="Arial" w:hAnsi="Arial" w:cs="Arial"/>
                <w:sz w:val="14"/>
                <w:szCs w:val="14"/>
              </w:rPr>
              <w:t>3223</w:t>
            </w:r>
          </w:p>
        </w:tc>
        <w:tc>
          <w:tcPr>
            <w:tcW w:w="8106" w:type="dxa"/>
            <w:tcBorders>
              <w:top w:val="single" w:sz="4" w:space="0" w:color="auto"/>
              <w:left w:val="nil"/>
              <w:bottom w:val="single" w:sz="4" w:space="0" w:color="auto"/>
              <w:right w:val="single" w:sz="4" w:space="0" w:color="auto"/>
            </w:tcBorders>
            <w:noWrap/>
            <w:vAlign w:val="bottom"/>
            <w:hideMark/>
          </w:tcPr>
          <w:p w14:paraId="1F6F0393" w14:textId="77777777" w:rsidR="00416D67" w:rsidRPr="00416D67" w:rsidRDefault="00416D67" w:rsidP="00416D67">
            <w:pPr>
              <w:rPr>
                <w:rFonts w:ascii="Arial" w:hAnsi="Arial" w:cs="Arial"/>
                <w:sz w:val="14"/>
                <w:szCs w:val="14"/>
              </w:rPr>
            </w:pPr>
            <w:r w:rsidRPr="00416D67">
              <w:rPr>
                <w:rFonts w:ascii="Arial" w:hAnsi="Arial" w:cs="Arial"/>
                <w:sz w:val="14"/>
                <w:szCs w:val="14"/>
              </w:rPr>
              <w:t>Energija</w:t>
            </w:r>
          </w:p>
        </w:tc>
        <w:tc>
          <w:tcPr>
            <w:tcW w:w="1095" w:type="dxa"/>
            <w:tcBorders>
              <w:top w:val="single" w:sz="4" w:space="0" w:color="auto"/>
              <w:left w:val="nil"/>
              <w:bottom w:val="single" w:sz="4" w:space="0" w:color="auto"/>
              <w:right w:val="single" w:sz="4" w:space="0" w:color="auto"/>
            </w:tcBorders>
            <w:noWrap/>
            <w:vAlign w:val="bottom"/>
            <w:hideMark/>
          </w:tcPr>
          <w:p w14:paraId="00E8EEE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320E45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FE5873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115,67</w:t>
            </w:r>
          </w:p>
        </w:tc>
        <w:tc>
          <w:tcPr>
            <w:tcW w:w="918" w:type="dxa"/>
            <w:tcBorders>
              <w:top w:val="single" w:sz="4" w:space="0" w:color="auto"/>
              <w:left w:val="nil"/>
              <w:bottom w:val="single" w:sz="4" w:space="0" w:color="auto"/>
              <w:right w:val="single" w:sz="4" w:space="0" w:color="auto"/>
            </w:tcBorders>
            <w:noWrap/>
            <w:vAlign w:val="bottom"/>
            <w:hideMark/>
          </w:tcPr>
          <w:p w14:paraId="438166F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6B3AE3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0552A90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3021</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4F2C5D9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Program: Program javnih potreba u djelatnosti predškolskog odgoja</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741066F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267.400,00</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3449FEA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261.400,00</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15BAEAB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258.464,26</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3ECB421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98,88%</w:t>
            </w:r>
          </w:p>
        </w:tc>
      </w:tr>
      <w:tr w:rsidR="00416D67" w:rsidRPr="00416D67" w14:paraId="0B9258D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62E8A5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427DB45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Sufinanciranje dječjih  vrtića - osnivači JLS</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B7D840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493E6FA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B4F6B8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17.462,12</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30DC396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87,31%</w:t>
            </w:r>
          </w:p>
        </w:tc>
      </w:tr>
      <w:tr w:rsidR="00416D67" w:rsidRPr="00416D67" w14:paraId="591427A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8661934"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FE19A1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CE2032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5A0E1D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17.462,12</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804BEB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87,31%</w:t>
            </w:r>
          </w:p>
        </w:tc>
      </w:tr>
      <w:tr w:rsidR="00416D67" w:rsidRPr="00416D67" w14:paraId="2A7AFB0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541F09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DB85A5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46E114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D996C4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17.462,12</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1DC461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87,31%</w:t>
            </w:r>
          </w:p>
        </w:tc>
      </w:tr>
      <w:tr w:rsidR="00416D67" w:rsidRPr="00416D67" w14:paraId="3CBB9950" w14:textId="77777777" w:rsidTr="00BB1392">
        <w:trPr>
          <w:trHeight w:val="240"/>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4AFD782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Organizacijska klasifikacija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8F6B7D2"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07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BF6DCB7"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87E21D6"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9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9E4E1E9"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2025/2024.           (3/2)</w:t>
            </w:r>
          </w:p>
        </w:tc>
      </w:tr>
      <w:tr w:rsidR="00416D67" w:rsidRPr="00416D67" w14:paraId="4916F26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03F55A9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Izvori</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76A14C76"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24FF4381"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6FCD706C"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375EC0CB" w14:textId="77777777" w:rsidR="00416D67" w:rsidRPr="00416D67" w:rsidRDefault="00416D67" w:rsidP="00416D67">
            <w:pPr>
              <w:rPr>
                <w:rFonts w:ascii="Arial" w:hAnsi="Arial" w:cs="Arial"/>
                <w:sz w:val="14"/>
                <w:szCs w:val="14"/>
              </w:rPr>
            </w:pPr>
          </w:p>
        </w:tc>
      </w:tr>
      <w:tr w:rsidR="00416D67" w:rsidRPr="00416D67" w14:paraId="5DCA4C8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000000"/>
            </w:tcBorders>
            <w:shd w:val="clear" w:color="000000" w:fill="D9D9D9"/>
            <w:hideMark/>
          </w:tcPr>
          <w:p w14:paraId="105E3E4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Projekt/Aktivnost</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0A87C9A4"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164F53A0"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7C47D9B1"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6B7760D2" w14:textId="77777777" w:rsidR="00416D67" w:rsidRPr="00416D67" w:rsidRDefault="00416D67" w:rsidP="00416D67">
            <w:pPr>
              <w:rPr>
                <w:rFonts w:ascii="Arial" w:hAnsi="Arial" w:cs="Arial"/>
                <w:sz w:val="14"/>
                <w:szCs w:val="14"/>
              </w:rPr>
            </w:pPr>
          </w:p>
        </w:tc>
      </w:tr>
      <w:tr w:rsidR="00416D67" w:rsidRPr="00416D67" w14:paraId="6CB3B84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4E5C03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36</w:t>
            </w:r>
          </w:p>
        </w:tc>
        <w:tc>
          <w:tcPr>
            <w:tcW w:w="8106" w:type="dxa"/>
            <w:tcBorders>
              <w:top w:val="single" w:sz="4" w:space="0" w:color="auto"/>
              <w:left w:val="nil"/>
              <w:bottom w:val="single" w:sz="4" w:space="0" w:color="auto"/>
              <w:right w:val="single" w:sz="4" w:space="0" w:color="auto"/>
            </w:tcBorders>
            <w:noWrap/>
            <w:vAlign w:val="bottom"/>
            <w:hideMark/>
          </w:tcPr>
          <w:p w14:paraId="6D0BBF2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Pomoći dane u inozemstvo i unutar općeg proračuna</w:t>
            </w:r>
          </w:p>
        </w:tc>
        <w:tc>
          <w:tcPr>
            <w:tcW w:w="1095" w:type="dxa"/>
            <w:tcBorders>
              <w:top w:val="single" w:sz="4" w:space="0" w:color="auto"/>
              <w:left w:val="nil"/>
              <w:bottom w:val="single" w:sz="4" w:space="0" w:color="auto"/>
              <w:right w:val="single" w:sz="4" w:space="0" w:color="auto"/>
            </w:tcBorders>
            <w:noWrap/>
            <w:vAlign w:val="bottom"/>
            <w:hideMark/>
          </w:tcPr>
          <w:p w14:paraId="76B1AF8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20.000,00</w:t>
            </w:r>
          </w:p>
        </w:tc>
        <w:tc>
          <w:tcPr>
            <w:tcW w:w="1070" w:type="dxa"/>
            <w:tcBorders>
              <w:top w:val="single" w:sz="4" w:space="0" w:color="auto"/>
              <w:left w:val="nil"/>
              <w:bottom w:val="single" w:sz="4" w:space="0" w:color="auto"/>
              <w:right w:val="single" w:sz="4" w:space="0" w:color="auto"/>
            </w:tcBorders>
            <w:noWrap/>
            <w:vAlign w:val="bottom"/>
            <w:hideMark/>
          </w:tcPr>
          <w:p w14:paraId="19A6F4C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20.000,00</w:t>
            </w:r>
          </w:p>
        </w:tc>
        <w:tc>
          <w:tcPr>
            <w:tcW w:w="1095" w:type="dxa"/>
            <w:tcBorders>
              <w:top w:val="single" w:sz="4" w:space="0" w:color="auto"/>
              <w:left w:val="nil"/>
              <w:bottom w:val="single" w:sz="4" w:space="0" w:color="auto"/>
              <w:right w:val="single" w:sz="4" w:space="0" w:color="auto"/>
            </w:tcBorders>
            <w:noWrap/>
            <w:vAlign w:val="bottom"/>
            <w:hideMark/>
          </w:tcPr>
          <w:p w14:paraId="350A4FF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17.462,12</w:t>
            </w:r>
          </w:p>
        </w:tc>
        <w:tc>
          <w:tcPr>
            <w:tcW w:w="918" w:type="dxa"/>
            <w:tcBorders>
              <w:top w:val="single" w:sz="4" w:space="0" w:color="auto"/>
              <w:left w:val="nil"/>
              <w:bottom w:val="single" w:sz="4" w:space="0" w:color="auto"/>
              <w:right w:val="single" w:sz="4" w:space="0" w:color="auto"/>
            </w:tcBorders>
            <w:noWrap/>
            <w:vAlign w:val="bottom"/>
            <w:hideMark/>
          </w:tcPr>
          <w:p w14:paraId="67A9808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87,31%</w:t>
            </w:r>
          </w:p>
        </w:tc>
      </w:tr>
      <w:tr w:rsidR="00416D67" w:rsidRPr="00416D67" w14:paraId="7E3A0A2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5B1F082" w14:textId="77777777" w:rsidR="00416D67" w:rsidRPr="00416D67" w:rsidRDefault="00416D67" w:rsidP="00416D67">
            <w:pPr>
              <w:rPr>
                <w:rFonts w:ascii="Arial" w:hAnsi="Arial" w:cs="Arial"/>
                <w:sz w:val="14"/>
                <w:szCs w:val="14"/>
              </w:rPr>
            </w:pPr>
            <w:r w:rsidRPr="00416D67">
              <w:rPr>
                <w:rFonts w:ascii="Arial" w:hAnsi="Arial" w:cs="Arial"/>
                <w:sz w:val="14"/>
                <w:szCs w:val="14"/>
              </w:rPr>
              <w:t>3661</w:t>
            </w:r>
          </w:p>
        </w:tc>
        <w:tc>
          <w:tcPr>
            <w:tcW w:w="8106" w:type="dxa"/>
            <w:tcBorders>
              <w:top w:val="single" w:sz="4" w:space="0" w:color="auto"/>
              <w:left w:val="nil"/>
              <w:bottom w:val="single" w:sz="4" w:space="0" w:color="auto"/>
              <w:right w:val="single" w:sz="4" w:space="0" w:color="auto"/>
            </w:tcBorders>
            <w:noWrap/>
            <w:vAlign w:val="bottom"/>
            <w:hideMark/>
          </w:tcPr>
          <w:p w14:paraId="56648E5B" w14:textId="77777777" w:rsidR="00416D67" w:rsidRPr="00416D67" w:rsidRDefault="00416D67" w:rsidP="00416D67">
            <w:pPr>
              <w:rPr>
                <w:rFonts w:ascii="Arial" w:hAnsi="Arial" w:cs="Arial"/>
                <w:sz w:val="14"/>
                <w:szCs w:val="14"/>
              </w:rPr>
            </w:pPr>
            <w:r w:rsidRPr="00416D67">
              <w:rPr>
                <w:rFonts w:ascii="Arial" w:hAnsi="Arial" w:cs="Arial"/>
                <w:sz w:val="14"/>
                <w:szCs w:val="14"/>
              </w:rPr>
              <w:t>Tekuće pomoći proračunskim korisnicima drugih proračuna</w:t>
            </w:r>
          </w:p>
        </w:tc>
        <w:tc>
          <w:tcPr>
            <w:tcW w:w="1095" w:type="dxa"/>
            <w:tcBorders>
              <w:top w:val="single" w:sz="4" w:space="0" w:color="auto"/>
              <w:left w:val="nil"/>
              <w:bottom w:val="single" w:sz="4" w:space="0" w:color="auto"/>
              <w:right w:val="single" w:sz="4" w:space="0" w:color="auto"/>
            </w:tcBorders>
            <w:noWrap/>
            <w:vAlign w:val="bottom"/>
            <w:hideMark/>
          </w:tcPr>
          <w:p w14:paraId="6AB61EC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7C8DEA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012F61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17.462,12</w:t>
            </w:r>
          </w:p>
        </w:tc>
        <w:tc>
          <w:tcPr>
            <w:tcW w:w="918" w:type="dxa"/>
            <w:tcBorders>
              <w:top w:val="single" w:sz="4" w:space="0" w:color="auto"/>
              <w:left w:val="nil"/>
              <w:bottom w:val="single" w:sz="4" w:space="0" w:color="auto"/>
              <w:right w:val="single" w:sz="4" w:space="0" w:color="auto"/>
            </w:tcBorders>
            <w:noWrap/>
            <w:vAlign w:val="bottom"/>
            <w:hideMark/>
          </w:tcPr>
          <w:p w14:paraId="12771A5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BF3C4F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3A3EA1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A100002</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1257195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Sufinanciranje dječjih vrtića - privatni osnivači</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273FAE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247.000,00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266DDAD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241.000,00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F706EC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240.894,14</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77567C8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99,96%</w:t>
            </w:r>
          </w:p>
        </w:tc>
      </w:tr>
      <w:tr w:rsidR="00416D67" w:rsidRPr="00416D67" w14:paraId="3256E0CC"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D74E74"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BE9B07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247.000,00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F24073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241.000,00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435D37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240.894,14</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FFDB00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99,96%</w:t>
            </w:r>
          </w:p>
        </w:tc>
      </w:tr>
      <w:tr w:rsidR="00416D67" w:rsidRPr="00416D67" w14:paraId="71ABED5C"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9FACD4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5A2B89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247.000,00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E9187B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241.000,00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00FB2F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240.894,14</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552B9B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99,96%</w:t>
            </w:r>
          </w:p>
        </w:tc>
      </w:tr>
      <w:tr w:rsidR="00416D67" w:rsidRPr="00416D67" w14:paraId="2CE2857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BBDC5A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6A5377D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1F2988E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247.000,00</w:t>
            </w:r>
          </w:p>
        </w:tc>
        <w:tc>
          <w:tcPr>
            <w:tcW w:w="1070" w:type="dxa"/>
            <w:tcBorders>
              <w:top w:val="single" w:sz="4" w:space="0" w:color="auto"/>
              <w:left w:val="nil"/>
              <w:bottom w:val="single" w:sz="4" w:space="0" w:color="auto"/>
              <w:right w:val="single" w:sz="4" w:space="0" w:color="auto"/>
            </w:tcBorders>
            <w:noWrap/>
            <w:vAlign w:val="bottom"/>
            <w:hideMark/>
          </w:tcPr>
          <w:p w14:paraId="17754A2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241.000,00</w:t>
            </w:r>
          </w:p>
        </w:tc>
        <w:tc>
          <w:tcPr>
            <w:tcW w:w="1095" w:type="dxa"/>
            <w:tcBorders>
              <w:top w:val="single" w:sz="4" w:space="0" w:color="auto"/>
              <w:left w:val="nil"/>
              <w:bottom w:val="single" w:sz="4" w:space="0" w:color="auto"/>
              <w:right w:val="single" w:sz="4" w:space="0" w:color="auto"/>
            </w:tcBorders>
            <w:noWrap/>
            <w:vAlign w:val="bottom"/>
            <w:hideMark/>
          </w:tcPr>
          <w:p w14:paraId="09A9896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240.894,14</w:t>
            </w:r>
          </w:p>
        </w:tc>
        <w:tc>
          <w:tcPr>
            <w:tcW w:w="918" w:type="dxa"/>
            <w:tcBorders>
              <w:top w:val="single" w:sz="4" w:space="0" w:color="auto"/>
              <w:left w:val="nil"/>
              <w:bottom w:val="single" w:sz="4" w:space="0" w:color="auto"/>
              <w:right w:val="single" w:sz="4" w:space="0" w:color="auto"/>
            </w:tcBorders>
            <w:noWrap/>
            <w:vAlign w:val="bottom"/>
            <w:hideMark/>
          </w:tcPr>
          <w:p w14:paraId="48096E8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99,96%</w:t>
            </w:r>
          </w:p>
        </w:tc>
      </w:tr>
      <w:tr w:rsidR="00416D67" w:rsidRPr="00416D67" w14:paraId="0B4A500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926FE33" w14:textId="77777777" w:rsidR="00416D67" w:rsidRPr="00416D67" w:rsidRDefault="00416D67" w:rsidP="00416D67">
            <w:pPr>
              <w:rPr>
                <w:rFonts w:ascii="Arial" w:hAnsi="Arial" w:cs="Arial"/>
                <w:sz w:val="14"/>
                <w:szCs w:val="14"/>
              </w:rPr>
            </w:pPr>
            <w:r w:rsidRPr="00416D67">
              <w:rPr>
                <w:rFonts w:ascii="Arial" w:hAnsi="Arial" w:cs="Arial"/>
                <w:sz w:val="14"/>
                <w:szCs w:val="14"/>
              </w:rPr>
              <w:t>3811</w:t>
            </w:r>
          </w:p>
        </w:tc>
        <w:tc>
          <w:tcPr>
            <w:tcW w:w="8106" w:type="dxa"/>
            <w:tcBorders>
              <w:top w:val="single" w:sz="4" w:space="0" w:color="auto"/>
              <w:left w:val="nil"/>
              <w:bottom w:val="single" w:sz="4" w:space="0" w:color="auto"/>
              <w:right w:val="single" w:sz="4" w:space="0" w:color="auto"/>
            </w:tcBorders>
            <w:noWrap/>
            <w:vAlign w:val="bottom"/>
            <w:hideMark/>
          </w:tcPr>
          <w:p w14:paraId="37F2A772" w14:textId="77777777" w:rsidR="00416D67" w:rsidRPr="00416D67" w:rsidRDefault="00416D67" w:rsidP="00416D67">
            <w:pPr>
              <w:rPr>
                <w:rFonts w:ascii="Arial" w:hAnsi="Arial" w:cs="Arial"/>
                <w:sz w:val="14"/>
                <w:szCs w:val="14"/>
              </w:rPr>
            </w:pPr>
            <w:r w:rsidRPr="00416D67">
              <w:rPr>
                <w:rFonts w:ascii="Arial" w:hAnsi="Arial" w:cs="Arial"/>
                <w:sz w:val="14"/>
                <w:szCs w:val="14"/>
              </w:rPr>
              <w:t>Tekuće donacije u novcu</w:t>
            </w:r>
          </w:p>
        </w:tc>
        <w:tc>
          <w:tcPr>
            <w:tcW w:w="1095" w:type="dxa"/>
            <w:tcBorders>
              <w:top w:val="single" w:sz="4" w:space="0" w:color="auto"/>
              <w:left w:val="nil"/>
              <w:bottom w:val="single" w:sz="4" w:space="0" w:color="auto"/>
              <w:right w:val="single" w:sz="4" w:space="0" w:color="auto"/>
            </w:tcBorders>
            <w:noWrap/>
            <w:vAlign w:val="bottom"/>
            <w:hideMark/>
          </w:tcPr>
          <w:p w14:paraId="730E8DB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06076E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FBD933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240.894,14</w:t>
            </w:r>
          </w:p>
        </w:tc>
        <w:tc>
          <w:tcPr>
            <w:tcW w:w="918" w:type="dxa"/>
            <w:tcBorders>
              <w:top w:val="single" w:sz="4" w:space="0" w:color="auto"/>
              <w:left w:val="nil"/>
              <w:bottom w:val="single" w:sz="4" w:space="0" w:color="auto"/>
              <w:right w:val="single" w:sz="4" w:space="0" w:color="auto"/>
            </w:tcBorders>
            <w:noWrap/>
            <w:vAlign w:val="bottom"/>
            <w:hideMark/>
          </w:tcPr>
          <w:p w14:paraId="06C694E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98282A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CED2A0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A100005</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7171662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Aktivnost: Sufinanciranje programa </w:t>
            </w:r>
            <w:proofErr w:type="spellStart"/>
            <w:r w:rsidRPr="00416D67">
              <w:rPr>
                <w:rFonts w:ascii="Arial" w:hAnsi="Arial" w:cs="Arial"/>
                <w:b/>
                <w:bCs/>
                <w:sz w:val="14"/>
                <w:szCs w:val="14"/>
              </w:rPr>
              <w:t>predškole</w:t>
            </w:r>
            <w:proofErr w:type="spellEnd"/>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669587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3274775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91447B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108,00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5A0EEC0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27,00%</w:t>
            </w:r>
          </w:p>
        </w:tc>
      </w:tr>
      <w:tr w:rsidR="00416D67" w:rsidRPr="00416D67" w14:paraId="6688B28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EDAB83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7D9689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A8DA68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73B05D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108,00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E5C507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27,00%</w:t>
            </w:r>
          </w:p>
        </w:tc>
      </w:tr>
      <w:tr w:rsidR="00416D67" w:rsidRPr="00416D67" w14:paraId="2C7A7F2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535230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28DC2C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375E9B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D94E04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108,00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36C4AB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27,00%</w:t>
            </w:r>
          </w:p>
        </w:tc>
      </w:tr>
      <w:tr w:rsidR="00416D67" w:rsidRPr="00416D67" w14:paraId="42D9652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26C077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3567C22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688FAB6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w:t>
            </w:r>
          </w:p>
        </w:tc>
        <w:tc>
          <w:tcPr>
            <w:tcW w:w="1070" w:type="dxa"/>
            <w:tcBorders>
              <w:top w:val="single" w:sz="4" w:space="0" w:color="auto"/>
              <w:left w:val="nil"/>
              <w:bottom w:val="single" w:sz="4" w:space="0" w:color="auto"/>
              <w:right w:val="single" w:sz="4" w:space="0" w:color="auto"/>
            </w:tcBorders>
            <w:noWrap/>
            <w:vAlign w:val="bottom"/>
            <w:hideMark/>
          </w:tcPr>
          <w:p w14:paraId="6AB0785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w:t>
            </w:r>
          </w:p>
        </w:tc>
        <w:tc>
          <w:tcPr>
            <w:tcW w:w="1095" w:type="dxa"/>
            <w:tcBorders>
              <w:top w:val="single" w:sz="4" w:space="0" w:color="auto"/>
              <w:left w:val="nil"/>
              <w:bottom w:val="single" w:sz="4" w:space="0" w:color="auto"/>
              <w:right w:val="single" w:sz="4" w:space="0" w:color="auto"/>
            </w:tcBorders>
            <w:noWrap/>
            <w:vAlign w:val="bottom"/>
            <w:hideMark/>
          </w:tcPr>
          <w:p w14:paraId="0F04C81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108,00</w:t>
            </w:r>
          </w:p>
        </w:tc>
        <w:tc>
          <w:tcPr>
            <w:tcW w:w="918" w:type="dxa"/>
            <w:tcBorders>
              <w:top w:val="single" w:sz="4" w:space="0" w:color="auto"/>
              <w:left w:val="nil"/>
              <w:bottom w:val="single" w:sz="4" w:space="0" w:color="auto"/>
              <w:right w:val="single" w:sz="4" w:space="0" w:color="auto"/>
            </w:tcBorders>
            <w:noWrap/>
            <w:vAlign w:val="bottom"/>
            <w:hideMark/>
          </w:tcPr>
          <w:p w14:paraId="457C0BB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27,00%</w:t>
            </w:r>
          </w:p>
        </w:tc>
      </w:tr>
      <w:tr w:rsidR="00416D67" w:rsidRPr="00416D67" w14:paraId="3507213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909AF68" w14:textId="77777777" w:rsidR="00416D67" w:rsidRPr="00416D67" w:rsidRDefault="00416D67" w:rsidP="00416D67">
            <w:pPr>
              <w:rPr>
                <w:rFonts w:ascii="Arial" w:hAnsi="Arial" w:cs="Arial"/>
                <w:sz w:val="14"/>
                <w:szCs w:val="14"/>
              </w:rPr>
            </w:pPr>
            <w:r w:rsidRPr="00416D67">
              <w:rPr>
                <w:rFonts w:ascii="Arial" w:hAnsi="Arial" w:cs="Arial"/>
                <w:sz w:val="14"/>
                <w:szCs w:val="14"/>
              </w:rPr>
              <w:t>3811</w:t>
            </w:r>
          </w:p>
        </w:tc>
        <w:tc>
          <w:tcPr>
            <w:tcW w:w="8106" w:type="dxa"/>
            <w:tcBorders>
              <w:top w:val="single" w:sz="4" w:space="0" w:color="auto"/>
              <w:left w:val="nil"/>
              <w:bottom w:val="single" w:sz="4" w:space="0" w:color="auto"/>
              <w:right w:val="single" w:sz="4" w:space="0" w:color="auto"/>
            </w:tcBorders>
            <w:noWrap/>
            <w:vAlign w:val="bottom"/>
            <w:hideMark/>
          </w:tcPr>
          <w:p w14:paraId="739AEB64" w14:textId="77777777" w:rsidR="00416D67" w:rsidRPr="00416D67" w:rsidRDefault="00416D67" w:rsidP="00416D67">
            <w:pPr>
              <w:rPr>
                <w:rFonts w:ascii="Arial" w:hAnsi="Arial" w:cs="Arial"/>
                <w:sz w:val="14"/>
                <w:szCs w:val="14"/>
              </w:rPr>
            </w:pPr>
            <w:r w:rsidRPr="00416D67">
              <w:rPr>
                <w:rFonts w:ascii="Arial" w:hAnsi="Arial" w:cs="Arial"/>
                <w:sz w:val="14"/>
                <w:szCs w:val="14"/>
              </w:rPr>
              <w:t>Tekuće donacije u novcu</w:t>
            </w:r>
          </w:p>
        </w:tc>
        <w:tc>
          <w:tcPr>
            <w:tcW w:w="1095" w:type="dxa"/>
            <w:tcBorders>
              <w:top w:val="single" w:sz="4" w:space="0" w:color="auto"/>
              <w:left w:val="nil"/>
              <w:bottom w:val="single" w:sz="4" w:space="0" w:color="auto"/>
              <w:right w:val="single" w:sz="4" w:space="0" w:color="auto"/>
            </w:tcBorders>
            <w:noWrap/>
            <w:vAlign w:val="bottom"/>
            <w:hideMark/>
          </w:tcPr>
          <w:p w14:paraId="1945478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1D5C49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0E461D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108,00</w:t>
            </w:r>
          </w:p>
        </w:tc>
        <w:tc>
          <w:tcPr>
            <w:tcW w:w="918" w:type="dxa"/>
            <w:tcBorders>
              <w:top w:val="single" w:sz="4" w:space="0" w:color="auto"/>
              <w:left w:val="nil"/>
              <w:bottom w:val="single" w:sz="4" w:space="0" w:color="auto"/>
              <w:right w:val="single" w:sz="4" w:space="0" w:color="auto"/>
            </w:tcBorders>
            <w:noWrap/>
            <w:vAlign w:val="bottom"/>
            <w:hideMark/>
          </w:tcPr>
          <w:p w14:paraId="648A9F1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D4EC50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6D91C9E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3022</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0CFB0F4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Program: Program javnih potreba u školstvu</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16864D3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1.182.400,00</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394E28A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1.133.400,00</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067B56E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179.973,39</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44C2B96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15,88%</w:t>
            </w:r>
          </w:p>
        </w:tc>
      </w:tr>
      <w:tr w:rsidR="00416D67" w:rsidRPr="00416D67" w14:paraId="1DDAA2B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1E9BB5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0EC4E72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Sufinanciranje produženog boravka OŠ Marčana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2E38D6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5EB41C3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EAADFC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96.678,64</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3C582D9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99,67%</w:t>
            </w:r>
          </w:p>
        </w:tc>
      </w:tr>
      <w:tr w:rsidR="00416D67" w:rsidRPr="00416D67" w14:paraId="4E893F6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7A1600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4ED0D8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48.500,00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52D0E5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48.500,00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C8B398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48.339,36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42BC74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99,67%</w:t>
            </w:r>
          </w:p>
        </w:tc>
      </w:tr>
      <w:tr w:rsidR="00416D67" w:rsidRPr="00416D67" w14:paraId="1846F15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251D38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82D4AC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48.500,00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C9A482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48.500,00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5CECFD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48.339,36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A0761F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99,67%</w:t>
            </w:r>
          </w:p>
        </w:tc>
      </w:tr>
      <w:tr w:rsidR="00416D67" w:rsidRPr="00416D67" w14:paraId="01022E5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4A4720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36</w:t>
            </w:r>
          </w:p>
        </w:tc>
        <w:tc>
          <w:tcPr>
            <w:tcW w:w="8106" w:type="dxa"/>
            <w:tcBorders>
              <w:top w:val="single" w:sz="4" w:space="0" w:color="auto"/>
              <w:left w:val="nil"/>
              <w:bottom w:val="single" w:sz="4" w:space="0" w:color="auto"/>
              <w:right w:val="single" w:sz="4" w:space="0" w:color="auto"/>
            </w:tcBorders>
            <w:noWrap/>
            <w:vAlign w:val="bottom"/>
            <w:hideMark/>
          </w:tcPr>
          <w:p w14:paraId="63B8AE2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Pomoći dane u inozemstvo i unutar općeg proračuna</w:t>
            </w:r>
          </w:p>
        </w:tc>
        <w:tc>
          <w:tcPr>
            <w:tcW w:w="1095" w:type="dxa"/>
            <w:tcBorders>
              <w:top w:val="single" w:sz="4" w:space="0" w:color="auto"/>
              <w:left w:val="nil"/>
              <w:bottom w:val="single" w:sz="4" w:space="0" w:color="auto"/>
              <w:right w:val="single" w:sz="4" w:space="0" w:color="auto"/>
            </w:tcBorders>
            <w:noWrap/>
            <w:vAlign w:val="bottom"/>
            <w:hideMark/>
          </w:tcPr>
          <w:p w14:paraId="3EFDB5A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48.500,00</w:t>
            </w:r>
          </w:p>
        </w:tc>
        <w:tc>
          <w:tcPr>
            <w:tcW w:w="1070" w:type="dxa"/>
            <w:tcBorders>
              <w:top w:val="single" w:sz="4" w:space="0" w:color="auto"/>
              <w:left w:val="nil"/>
              <w:bottom w:val="single" w:sz="4" w:space="0" w:color="auto"/>
              <w:right w:val="single" w:sz="4" w:space="0" w:color="auto"/>
            </w:tcBorders>
            <w:noWrap/>
            <w:vAlign w:val="bottom"/>
            <w:hideMark/>
          </w:tcPr>
          <w:p w14:paraId="262EBD4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48.500,00</w:t>
            </w:r>
          </w:p>
        </w:tc>
        <w:tc>
          <w:tcPr>
            <w:tcW w:w="1095" w:type="dxa"/>
            <w:tcBorders>
              <w:top w:val="single" w:sz="4" w:space="0" w:color="auto"/>
              <w:left w:val="nil"/>
              <w:bottom w:val="single" w:sz="4" w:space="0" w:color="auto"/>
              <w:right w:val="single" w:sz="4" w:space="0" w:color="auto"/>
            </w:tcBorders>
            <w:noWrap/>
            <w:vAlign w:val="bottom"/>
            <w:hideMark/>
          </w:tcPr>
          <w:p w14:paraId="6A2139E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48.339,36</w:t>
            </w:r>
          </w:p>
        </w:tc>
        <w:tc>
          <w:tcPr>
            <w:tcW w:w="918" w:type="dxa"/>
            <w:tcBorders>
              <w:top w:val="single" w:sz="4" w:space="0" w:color="auto"/>
              <w:left w:val="nil"/>
              <w:bottom w:val="single" w:sz="4" w:space="0" w:color="auto"/>
              <w:right w:val="single" w:sz="4" w:space="0" w:color="auto"/>
            </w:tcBorders>
            <w:noWrap/>
            <w:vAlign w:val="bottom"/>
            <w:hideMark/>
          </w:tcPr>
          <w:p w14:paraId="17B7CB6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99,67%</w:t>
            </w:r>
          </w:p>
        </w:tc>
      </w:tr>
      <w:tr w:rsidR="00416D67" w:rsidRPr="00416D67" w14:paraId="61CCA3E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BB995BA" w14:textId="77777777" w:rsidR="00416D67" w:rsidRPr="00416D67" w:rsidRDefault="00416D67" w:rsidP="00416D67">
            <w:pPr>
              <w:rPr>
                <w:rFonts w:ascii="Arial" w:hAnsi="Arial" w:cs="Arial"/>
                <w:sz w:val="14"/>
                <w:szCs w:val="14"/>
              </w:rPr>
            </w:pPr>
            <w:r w:rsidRPr="00416D67">
              <w:rPr>
                <w:rFonts w:ascii="Arial" w:hAnsi="Arial" w:cs="Arial"/>
                <w:sz w:val="14"/>
                <w:szCs w:val="14"/>
              </w:rPr>
              <w:t>3661</w:t>
            </w:r>
          </w:p>
        </w:tc>
        <w:tc>
          <w:tcPr>
            <w:tcW w:w="8106" w:type="dxa"/>
            <w:tcBorders>
              <w:top w:val="single" w:sz="4" w:space="0" w:color="auto"/>
              <w:left w:val="nil"/>
              <w:bottom w:val="single" w:sz="4" w:space="0" w:color="auto"/>
              <w:right w:val="single" w:sz="4" w:space="0" w:color="auto"/>
            </w:tcBorders>
            <w:noWrap/>
            <w:vAlign w:val="bottom"/>
            <w:hideMark/>
          </w:tcPr>
          <w:p w14:paraId="29B1E8A6" w14:textId="77777777" w:rsidR="00416D67" w:rsidRPr="00416D67" w:rsidRDefault="00416D67" w:rsidP="00416D67">
            <w:pPr>
              <w:rPr>
                <w:rFonts w:ascii="Arial" w:hAnsi="Arial" w:cs="Arial"/>
                <w:sz w:val="14"/>
                <w:szCs w:val="14"/>
              </w:rPr>
            </w:pPr>
            <w:r w:rsidRPr="00416D67">
              <w:rPr>
                <w:rFonts w:ascii="Arial" w:hAnsi="Arial" w:cs="Arial"/>
                <w:sz w:val="14"/>
                <w:szCs w:val="14"/>
              </w:rPr>
              <w:t>Tekuće pomoći proračunskim korisnicima drugih proračuna</w:t>
            </w:r>
          </w:p>
        </w:tc>
        <w:tc>
          <w:tcPr>
            <w:tcW w:w="1095" w:type="dxa"/>
            <w:tcBorders>
              <w:top w:val="single" w:sz="4" w:space="0" w:color="auto"/>
              <w:left w:val="nil"/>
              <w:bottom w:val="single" w:sz="4" w:space="0" w:color="auto"/>
              <w:right w:val="single" w:sz="4" w:space="0" w:color="auto"/>
            </w:tcBorders>
            <w:noWrap/>
            <w:vAlign w:val="bottom"/>
            <w:hideMark/>
          </w:tcPr>
          <w:p w14:paraId="2936F2B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C09F1C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48C577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48.339,36</w:t>
            </w:r>
          </w:p>
        </w:tc>
        <w:tc>
          <w:tcPr>
            <w:tcW w:w="918" w:type="dxa"/>
            <w:tcBorders>
              <w:top w:val="single" w:sz="4" w:space="0" w:color="auto"/>
              <w:left w:val="nil"/>
              <w:bottom w:val="single" w:sz="4" w:space="0" w:color="auto"/>
              <w:right w:val="single" w:sz="4" w:space="0" w:color="auto"/>
            </w:tcBorders>
            <w:noWrap/>
            <w:vAlign w:val="bottom"/>
            <w:hideMark/>
          </w:tcPr>
          <w:p w14:paraId="7703A48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FB9EB1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2B8469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 Pomoći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2798DE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48.500,00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C46092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48.500,00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5DAD28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48.339,28</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6CC1E7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99,67%</w:t>
            </w:r>
          </w:p>
        </w:tc>
      </w:tr>
      <w:tr w:rsidR="00416D67" w:rsidRPr="00416D67" w14:paraId="5978E85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7C90C0"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5.1.1 Pomoći Istarska županija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7C9BC7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48.500,00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150DDB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48.500,00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6570C0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48.339,28</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474374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99,67%</w:t>
            </w:r>
          </w:p>
        </w:tc>
      </w:tr>
      <w:tr w:rsidR="00416D67" w:rsidRPr="00416D67" w14:paraId="383216C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E75699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36</w:t>
            </w:r>
          </w:p>
        </w:tc>
        <w:tc>
          <w:tcPr>
            <w:tcW w:w="8106" w:type="dxa"/>
            <w:tcBorders>
              <w:top w:val="single" w:sz="4" w:space="0" w:color="auto"/>
              <w:left w:val="nil"/>
              <w:bottom w:val="single" w:sz="4" w:space="0" w:color="auto"/>
              <w:right w:val="single" w:sz="4" w:space="0" w:color="auto"/>
            </w:tcBorders>
            <w:noWrap/>
            <w:vAlign w:val="bottom"/>
            <w:hideMark/>
          </w:tcPr>
          <w:p w14:paraId="496134A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Pomoći dane u inozemstvo i unutar općeg proračuna</w:t>
            </w:r>
          </w:p>
        </w:tc>
        <w:tc>
          <w:tcPr>
            <w:tcW w:w="1095" w:type="dxa"/>
            <w:tcBorders>
              <w:top w:val="single" w:sz="4" w:space="0" w:color="auto"/>
              <w:left w:val="nil"/>
              <w:bottom w:val="single" w:sz="4" w:space="0" w:color="auto"/>
              <w:right w:val="single" w:sz="4" w:space="0" w:color="auto"/>
            </w:tcBorders>
            <w:noWrap/>
            <w:vAlign w:val="bottom"/>
            <w:hideMark/>
          </w:tcPr>
          <w:p w14:paraId="312DC03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48.500,00</w:t>
            </w:r>
          </w:p>
        </w:tc>
        <w:tc>
          <w:tcPr>
            <w:tcW w:w="1070" w:type="dxa"/>
            <w:tcBorders>
              <w:top w:val="single" w:sz="4" w:space="0" w:color="auto"/>
              <w:left w:val="nil"/>
              <w:bottom w:val="single" w:sz="4" w:space="0" w:color="auto"/>
              <w:right w:val="single" w:sz="4" w:space="0" w:color="auto"/>
            </w:tcBorders>
            <w:noWrap/>
            <w:vAlign w:val="bottom"/>
            <w:hideMark/>
          </w:tcPr>
          <w:p w14:paraId="4334A84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48.500,00</w:t>
            </w:r>
          </w:p>
        </w:tc>
        <w:tc>
          <w:tcPr>
            <w:tcW w:w="1095" w:type="dxa"/>
            <w:tcBorders>
              <w:top w:val="single" w:sz="4" w:space="0" w:color="auto"/>
              <w:left w:val="nil"/>
              <w:bottom w:val="single" w:sz="4" w:space="0" w:color="auto"/>
              <w:right w:val="single" w:sz="4" w:space="0" w:color="auto"/>
            </w:tcBorders>
            <w:noWrap/>
            <w:vAlign w:val="bottom"/>
            <w:hideMark/>
          </w:tcPr>
          <w:p w14:paraId="56283D2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48.339,28</w:t>
            </w:r>
          </w:p>
        </w:tc>
        <w:tc>
          <w:tcPr>
            <w:tcW w:w="918" w:type="dxa"/>
            <w:tcBorders>
              <w:top w:val="single" w:sz="4" w:space="0" w:color="auto"/>
              <w:left w:val="nil"/>
              <w:bottom w:val="single" w:sz="4" w:space="0" w:color="auto"/>
              <w:right w:val="single" w:sz="4" w:space="0" w:color="auto"/>
            </w:tcBorders>
            <w:noWrap/>
            <w:vAlign w:val="bottom"/>
            <w:hideMark/>
          </w:tcPr>
          <w:p w14:paraId="60BFC69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99,67%</w:t>
            </w:r>
          </w:p>
        </w:tc>
      </w:tr>
      <w:tr w:rsidR="00416D67" w:rsidRPr="00416D67" w14:paraId="68C0B54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4A173B0" w14:textId="77777777" w:rsidR="00416D67" w:rsidRPr="00416D67" w:rsidRDefault="00416D67" w:rsidP="00416D67">
            <w:pPr>
              <w:rPr>
                <w:rFonts w:ascii="Arial" w:hAnsi="Arial" w:cs="Arial"/>
                <w:sz w:val="14"/>
                <w:szCs w:val="14"/>
              </w:rPr>
            </w:pPr>
            <w:r w:rsidRPr="00416D67">
              <w:rPr>
                <w:rFonts w:ascii="Arial" w:hAnsi="Arial" w:cs="Arial"/>
                <w:sz w:val="14"/>
                <w:szCs w:val="14"/>
              </w:rPr>
              <w:t>3661</w:t>
            </w:r>
          </w:p>
        </w:tc>
        <w:tc>
          <w:tcPr>
            <w:tcW w:w="8106" w:type="dxa"/>
            <w:tcBorders>
              <w:top w:val="single" w:sz="4" w:space="0" w:color="auto"/>
              <w:left w:val="nil"/>
              <w:bottom w:val="single" w:sz="4" w:space="0" w:color="auto"/>
              <w:right w:val="single" w:sz="4" w:space="0" w:color="auto"/>
            </w:tcBorders>
            <w:noWrap/>
            <w:vAlign w:val="bottom"/>
            <w:hideMark/>
          </w:tcPr>
          <w:p w14:paraId="70E01022" w14:textId="77777777" w:rsidR="00416D67" w:rsidRPr="00416D67" w:rsidRDefault="00416D67" w:rsidP="00416D67">
            <w:pPr>
              <w:rPr>
                <w:rFonts w:ascii="Arial" w:hAnsi="Arial" w:cs="Arial"/>
                <w:sz w:val="14"/>
                <w:szCs w:val="14"/>
              </w:rPr>
            </w:pPr>
            <w:r w:rsidRPr="00416D67">
              <w:rPr>
                <w:rFonts w:ascii="Arial" w:hAnsi="Arial" w:cs="Arial"/>
                <w:sz w:val="14"/>
                <w:szCs w:val="14"/>
              </w:rPr>
              <w:t>Tekuće pomoći proračunskim korisnicima drugih proračuna</w:t>
            </w:r>
          </w:p>
        </w:tc>
        <w:tc>
          <w:tcPr>
            <w:tcW w:w="1095" w:type="dxa"/>
            <w:tcBorders>
              <w:top w:val="single" w:sz="4" w:space="0" w:color="auto"/>
              <w:left w:val="nil"/>
              <w:bottom w:val="single" w:sz="4" w:space="0" w:color="auto"/>
              <w:right w:val="single" w:sz="4" w:space="0" w:color="auto"/>
            </w:tcBorders>
            <w:noWrap/>
            <w:vAlign w:val="bottom"/>
            <w:hideMark/>
          </w:tcPr>
          <w:p w14:paraId="5ED7E97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C23DFC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74CD0E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48.339,28</w:t>
            </w:r>
          </w:p>
        </w:tc>
        <w:tc>
          <w:tcPr>
            <w:tcW w:w="918" w:type="dxa"/>
            <w:tcBorders>
              <w:top w:val="single" w:sz="4" w:space="0" w:color="auto"/>
              <w:left w:val="nil"/>
              <w:bottom w:val="single" w:sz="4" w:space="0" w:color="auto"/>
              <w:right w:val="single" w:sz="4" w:space="0" w:color="auto"/>
            </w:tcBorders>
            <w:noWrap/>
            <w:vAlign w:val="bottom"/>
            <w:hideMark/>
          </w:tcPr>
          <w:p w14:paraId="48F7E2B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4BB42D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3F682B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A100002</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630162D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Aktivnost: Sufinanciranje produženog boravka OŠ </w:t>
            </w:r>
            <w:proofErr w:type="spellStart"/>
            <w:r w:rsidRPr="00416D67">
              <w:rPr>
                <w:rFonts w:ascii="Arial" w:hAnsi="Arial" w:cs="Arial"/>
                <w:b/>
                <w:bCs/>
                <w:sz w:val="14"/>
                <w:szCs w:val="14"/>
              </w:rPr>
              <w:t>V.Nazora</w:t>
            </w:r>
            <w:proofErr w:type="spellEnd"/>
            <w:r w:rsidRPr="00416D67">
              <w:rPr>
                <w:rFonts w:ascii="Arial" w:hAnsi="Arial" w:cs="Arial"/>
                <w:b/>
                <w:bCs/>
                <w:sz w:val="14"/>
                <w:szCs w:val="14"/>
              </w:rPr>
              <w:t xml:space="preserve"> </w:t>
            </w:r>
            <w:proofErr w:type="spellStart"/>
            <w:r w:rsidRPr="00416D67">
              <w:rPr>
                <w:rFonts w:ascii="Arial" w:hAnsi="Arial" w:cs="Arial"/>
                <w:b/>
                <w:bCs/>
                <w:sz w:val="14"/>
                <w:szCs w:val="14"/>
              </w:rPr>
              <w:t>Krnica</w:t>
            </w:r>
            <w:proofErr w:type="spellEnd"/>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73AEE4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60.000,00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3AD4483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60.000,00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CE3AD8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62.425,05</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45846FA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104,04%</w:t>
            </w:r>
          </w:p>
        </w:tc>
      </w:tr>
      <w:tr w:rsidR="00416D67" w:rsidRPr="00416D67" w14:paraId="1E3CBFF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FFF34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C255F2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0BF81D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DE5749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31.212,52</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6B7A4D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104,04%</w:t>
            </w:r>
          </w:p>
        </w:tc>
      </w:tr>
      <w:tr w:rsidR="00416D67" w:rsidRPr="00416D67" w14:paraId="524E224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B9D9FCE"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9086E5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37DC48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AE9C02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31.212,52</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47E09E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104,04%</w:t>
            </w:r>
          </w:p>
        </w:tc>
      </w:tr>
      <w:tr w:rsidR="00416D67" w:rsidRPr="00416D67" w14:paraId="47FB504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A84FAD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36</w:t>
            </w:r>
          </w:p>
        </w:tc>
        <w:tc>
          <w:tcPr>
            <w:tcW w:w="8106" w:type="dxa"/>
            <w:tcBorders>
              <w:top w:val="single" w:sz="4" w:space="0" w:color="auto"/>
              <w:left w:val="nil"/>
              <w:bottom w:val="single" w:sz="4" w:space="0" w:color="auto"/>
              <w:right w:val="single" w:sz="4" w:space="0" w:color="auto"/>
            </w:tcBorders>
            <w:noWrap/>
            <w:vAlign w:val="bottom"/>
            <w:hideMark/>
          </w:tcPr>
          <w:p w14:paraId="7A9710A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Pomoći dane u inozemstvo i unutar općeg proračuna</w:t>
            </w:r>
          </w:p>
        </w:tc>
        <w:tc>
          <w:tcPr>
            <w:tcW w:w="1095" w:type="dxa"/>
            <w:tcBorders>
              <w:top w:val="single" w:sz="4" w:space="0" w:color="auto"/>
              <w:left w:val="nil"/>
              <w:bottom w:val="single" w:sz="4" w:space="0" w:color="auto"/>
              <w:right w:val="single" w:sz="4" w:space="0" w:color="auto"/>
            </w:tcBorders>
            <w:noWrap/>
            <w:vAlign w:val="bottom"/>
            <w:hideMark/>
          </w:tcPr>
          <w:p w14:paraId="1066794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30.000,00</w:t>
            </w:r>
          </w:p>
        </w:tc>
        <w:tc>
          <w:tcPr>
            <w:tcW w:w="1070" w:type="dxa"/>
            <w:tcBorders>
              <w:top w:val="single" w:sz="4" w:space="0" w:color="auto"/>
              <w:left w:val="nil"/>
              <w:bottom w:val="single" w:sz="4" w:space="0" w:color="auto"/>
              <w:right w:val="single" w:sz="4" w:space="0" w:color="auto"/>
            </w:tcBorders>
            <w:noWrap/>
            <w:vAlign w:val="bottom"/>
            <w:hideMark/>
          </w:tcPr>
          <w:p w14:paraId="4647BC5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30.000,00</w:t>
            </w:r>
          </w:p>
        </w:tc>
        <w:tc>
          <w:tcPr>
            <w:tcW w:w="1095" w:type="dxa"/>
            <w:tcBorders>
              <w:top w:val="single" w:sz="4" w:space="0" w:color="auto"/>
              <w:left w:val="nil"/>
              <w:bottom w:val="single" w:sz="4" w:space="0" w:color="auto"/>
              <w:right w:val="single" w:sz="4" w:space="0" w:color="auto"/>
            </w:tcBorders>
            <w:noWrap/>
            <w:vAlign w:val="bottom"/>
            <w:hideMark/>
          </w:tcPr>
          <w:p w14:paraId="4912034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31.212,52</w:t>
            </w:r>
          </w:p>
        </w:tc>
        <w:tc>
          <w:tcPr>
            <w:tcW w:w="918" w:type="dxa"/>
            <w:tcBorders>
              <w:top w:val="single" w:sz="4" w:space="0" w:color="auto"/>
              <w:left w:val="nil"/>
              <w:bottom w:val="single" w:sz="4" w:space="0" w:color="auto"/>
              <w:right w:val="single" w:sz="4" w:space="0" w:color="auto"/>
            </w:tcBorders>
            <w:noWrap/>
            <w:vAlign w:val="bottom"/>
            <w:hideMark/>
          </w:tcPr>
          <w:p w14:paraId="53142C7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104,04%</w:t>
            </w:r>
          </w:p>
        </w:tc>
      </w:tr>
      <w:tr w:rsidR="00416D67" w:rsidRPr="00416D67" w14:paraId="0D52133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F43E60D" w14:textId="77777777" w:rsidR="00416D67" w:rsidRPr="00416D67" w:rsidRDefault="00416D67" w:rsidP="00416D67">
            <w:pPr>
              <w:rPr>
                <w:rFonts w:ascii="Arial" w:hAnsi="Arial" w:cs="Arial"/>
                <w:sz w:val="14"/>
                <w:szCs w:val="14"/>
              </w:rPr>
            </w:pPr>
            <w:r w:rsidRPr="00416D67">
              <w:rPr>
                <w:rFonts w:ascii="Arial" w:hAnsi="Arial" w:cs="Arial"/>
                <w:sz w:val="14"/>
                <w:szCs w:val="14"/>
              </w:rPr>
              <w:t>3661</w:t>
            </w:r>
          </w:p>
        </w:tc>
        <w:tc>
          <w:tcPr>
            <w:tcW w:w="8106" w:type="dxa"/>
            <w:tcBorders>
              <w:top w:val="single" w:sz="4" w:space="0" w:color="auto"/>
              <w:left w:val="nil"/>
              <w:bottom w:val="single" w:sz="4" w:space="0" w:color="auto"/>
              <w:right w:val="single" w:sz="4" w:space="0" w:color="auto"/>
            </w:tcBorders>
            <w:noWrap/>
            <w:vAlign w:val="bottom"/>
            <w:hideMark/>
          </w:tcPr>
          <w:p w14:paraId="3ADD38EB" w14:textId="77777777" w:rsidR="00416D67" w:rsidRPr="00416D67" w:rsidRDefault="00416D67" w:rsidP="00416D67">
            <w:pPr>
              <w:rPr>
                <w:rFonts w:ascii="Arial" w:hAnsi="Arial" w:cs="Arial"/>
                <w:sz w:val="14"/>
                <w:szCs w:val="14"/>
              </w:rPr>
            </w:pPr>
            <w:r w:rsidRPr="00416D67">
              <w:rPr>
                <w:rFonts w:ascii="Arial" w:hAnsi="Arial" w:cs="Arial"/>
                <w:sz w:val="14"/>
                <w:szCs w:val="14"/>
              </w:rPr>
              <w:t>Tekuće pomoći proračunskim korisnicima drugih proračuna</w:t>
            </w:r>
          </w:p>
        </w:tc>
        <w:tc>
          <w:tcPr>
            <w:tcW w:w="1095" w:type="dxa"/>
            <w:tcBorders>
              <w:top w:val="single" w:sz="4" w:space="0" w:color="auto"/>
              <w:left w:val="nil"/>
              <w:bottom w:val="single" w:sz="4" w:space="0" w:color="auto"/>
              <w:right w:val="single" w:sz="4" w:space="0" w:color="auto"/>
            </w:tcBorders>
            <w:noWrap/>
            <w:vAlign w:val="bottom"/>
            <w:hideMark/>
          </w:tcPr>
          <w:p w14:paraId="53DD720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16D3F0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717D56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31.212,52</w:t>
            </w:r>
          </w:p>
        </w:tc>
        <w:tc>
          <w:tcPr>
            <w:tcW w:w="918" w:type="dxa"/>
            <w:tcBorders>
              <w:top w:val="single" w:sz="4" w:space="0" w:color="auto"/>
              <w:left w:val="nil"/>
              <w:bottom w:val="single" w:sz="4" w:space="0" w:color="auto"/>
              <w:right w:val="single" w:sz="4" w:space="0" w:color="auto"/>
            </w:tcBorders>
            <w:noWrap/>
            <w:vAlign w:val="bottom"/>
            <w:hideMark/>
          </w:tcPr>
          <w:p w14:paraId="386171A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C22275F"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0B744D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 Pomoći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1D910F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F6C052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E0DAE7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31.212,53</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DE9C47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104,04%</w:t>
            </w:r>
          </w:p>
        </w:tc>
      </w:tr>
      <w:tr w:rsidR="00416D67" w:rsidRPr="00416D67" w14:paraId="7607921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54D5F2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lastRenderedPageBreak/>
              <w:t>Izvor 5.1.1 Pomoći Istarska županija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448F7E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E5AEF0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190831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31.212,53</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000B40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104,04%</w:t>
            </w:r>
          </w:p>
        </w:tc>
      </w:tr>
      <w:tr w:rsidR="00416D67" w:rsidRPr="00416D67" w14:paraId="0D7D37C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B7C478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36</w:t>
            </w:r>
          </w:p>
        </w:tc>
        <w:tc>
          <w:tcPr>
            <w:tcW w:w="8106" w:type="dxa"/>
            <w:tcBorders>
              <w:top w:val="single" w:sz="4" w:space="0" w:color="auto"/>
              <w:left w:val="nil"/>
              <w:bottom w:val="single" w:sz="4" w:space="0" w:color="auto"/>
              <w:right w:val="single" w:sz="4" w:space="0" w:color="auto"/>
            </w:tcBorders>
            <w:noWrap/>
            <w:vAlign w:val="bottom"/>
            <w:hideMark/>
          </w:tcPr>
          <w:p w14:paraId="09D0274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Pomoći dane u inozemstvo i unutar općeg proračuna</w:t>
            </w:r>
          </w:p>
        </w:tc>
        <w:tc>
          <w:tcPr>
            <w:tcW w:w="1095" w:type="dxa"/>
            <w:tcBorders>
              <w:top w:val="single" w:sz="4" w:space="0" w:color="auto"/>
              <w:left w:val="nil"/>
              <w:bottom w:val="single" w:sz="4" w:space="0" w:color="auto"/>
              <w:right w:val="single" w:sz="4" w:space="0" w:color="auto"/>
            </w:tcBorders>
            <w:noWrap/>
            <w:vAlign w:val="bottom"/>
            <w:hideMark/>
          </w:tcPr>
          <w:p w14:paraId="117EF16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30.000,00</w:t>
            </w:r>
          </w:p>
        </w:tc>
        <w:tc>
          <w:tcPr>
            <w:tcW w:w="1070" w:type="dxa"/>
            <w:tcBorders>
              <w:top w:val="single" w:sz="4" w:space="0" w:color="auto"/>
              <w:left w:val="nil"/>
              <w:bottom w:val="single" w:sz="4" w:space="0" w:color="auto"/>
              <w:right w:val="single" w:sz="4" w:space="0" w:color="auto"/>
            </w:tcBorders>
            <w:noWrap/>
            <w:vAlign w:val="bottom"/>
            <w:hideMark/>
          </w:tcPr>
          <w:p w14:paraId="4E00FCB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30.000,00</w:t>
            </w:r>
          </w:p>
        </w:tc>
        <w:tc>
          <w:tcPr>
            <w:tcW w:w="1095" w:type="dxa"/>
            <w:tcBorders>
              <w:top w:val="single" w:sz="4" w:space="0" w:color="auto"/>
              <w:left w:val="nil"/>
              <w:bottom w:val="single" w:sz="4" w:space="0" w:color="auto"/>
              <w:right w:val="single" w:sz="4" w:space="0" w:color="auto"/>
            </w:tcBorders>
            <w:noWrap/>
            <w:vAlign w:val="bottom"/>
            <w:hideMark/>
          </w:tcPr>
          <w:p w14:paraId="16EC376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31.212,53</w:t>
            </w:r>
          </w:p>
        </w:tc>
        <w:tc>
          <w:tcPr>
            <w:tcW w:w="918" w:type="dxa"/>
            <w:tcBorders>
              <w:top w:val="single" w:sz="4" w:space="0" w:color="auto"/>
              <w:left w:val="nil"/>
              <w:bottom w:val="single" w:sz="4" w:space="0" w:color="auto"/>
              <w:right w:val="single" w:sz="4" w:space="0" w:color="auto"/>
            </w:tcBorders>
            <w:noWrap/>
            <w:vAlign w:val="bottom"/>
            <w:hideMark/>
          </w:tcPr>
          <w:p w14:paraId="7F1616F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104,04%</w:t>
            </w:r>
          </w:p>
        </w:tc>
      </w:tr>
      <w:tr w:rsidR="00416D67" w:rsidRPr="00416D67" w14:paraId="5890B45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7D108E3" w14:textId="77777777" w:rsidR="00416D67" w:rsidRPr="00416D67" w:rsidRDefault="00416D67" w:rsidP="00416D67">
            <w:pPr>
              <w:rPr>
                <w:rFonts w:ascii="Arial" w:hAnsi="Arial" w:cs="Arial"/>
                <w:sz w:val="14"/>
                <w:szCs w:val="14"/>
              </w:rPr>
            </w:pPr>
            <w:r w:rsidRPr="00416D67">
              <w:rPr>
                <w:rFonts w:ascii="Arial" w:hAnsi="Arial" w:cs="Arial"/>
                <w:sz w:val="14"/>
                <w:szCs w:val="14"/>
              </w:rPr>
              <w:t>3661</w:t>
            </w:r>
          </w:p>
        </w:tc>
        <w:tc>
          <w:tcPr>
            <w:tcW w:w="8106" w:type="dxa"/>
            <w:tcBorders>
              <w:top w:val="single" w:sz="4" w:space="0" w:color="auto"/>
              <w:left w:val="nil"/>
              <w:bottom w:val="single" w:sz="4" w:space="0" w:color="auto"/>
              <w:right w:val="single" w:sz="4" w:space="0" w:color="auto"/>
            </w:tcBorders>
            <w:noWrap/>
            <w:vAlign w:val="bottom"/>
            <w:hideMark/>
          </w:tcPr>
          <w:p w14:paraId="494EA629" w14:textId="77777777" w:rsidR="00416D67" w:rsidRPr="00416D67" w:rsidRDefault="00416D67" w:rsidP="00416D67">
            <w:pPr>
              <w:rPr>
                <w:rFonts w:ascii="Arial" w:hAnsi="Arial" w:cs="Arial"/>
                <w:sz w:val="14"/>
                <w:szCs w:val="14"/>
              </w:rPr>
            </w:pPr>
            <w:r w:rsidRPr="00416D67">
              <w:rPr>
                <w:rFonts w:ascii="Arial" w:hAnsi="Arial" w:cs="Arial"/>
                <w:sz w:val="14"/>
                <w:szCs w:val="14"/>
              </w:rPr>
              <w:t>Tekuće pomoći proračunskim korisnicima drugih proračuna</w:t>
            </w:r>
          </w:p>
        </w:tc>
        <w:tc>
          <w:tcPr>
            <w:tcW w:w="1095" w:type="dxa"/>
            <w:tcBorders>
              <w:top w:val="single" w:sz="4" w:space="0" w:color="auto"/>
              <w:left w:val="nil"/>
              <w:bottom w:val="single" w:sz="4" w:space="0" w:color="auto"/>
              <w:right w:val="single" w:sz="4" w:space="0" w:color="auto"/>
            </w:tcBorders>
            <w:noWrap/>
            <w:vAlign w:val="bottom"/>
            <w:hideMark/>
          </w:tcPr>
          <w:p w14:paraId="6949477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B48630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30BA42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31.212,53</w:t>
            </w:r>
          </w:p>
        </w:tc>
        <w:tc>
          <w:tcPr>
            <w:tcW w:w="918" w:type="dxa"/>
            <w:tcBorders>
              <w:top w:val="single" w:sz="4" w:space="0" w:color="auto"/>
              <w:left w:val="nil"/>
              <w:bottom w:val="single" w:sz="4" w:space="0" w:color="auto"/>
              <w:right w:val="single" w:sz="4" w:space="0" w:color="auto"/>
            </w:tcBorders>
            <w:noWrap/>
            <w:vAlign w:val="bottom"/>
            <w:hideMark/>
          </w:tcPr>
          <w:p w14:paraId="50A4AD1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11B625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263C39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A100003</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0853BBC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Sufinanciranje produženog boravka OŠ Divšići</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F58343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45D7D0D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372833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11.193,07</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5B1FE18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79,95%</w:t>
            </w:r>
          </w:p>
        </w:tc>
      </w:tr>
      <w:tr w:rsidR="00416D67" w:rsidRPr="00416D67" w14:paraId="176B58B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2977D5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8B04A3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E1B46F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77E53A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5.596,48</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45C63B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79,95%</w:t>
            </w:r>
          </w:p>
        </w:tc>
      </w:tr>
      <w:tr w:rsidR="00416D67" w:rsidRPr="00416D67" w14:paraId="1794B06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C369B6E"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5F57A9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56DC6F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F766A6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5.596,48</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CDC397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79,95%</w:t>
            </w:r>
          </w:p>
        </w:tc>
      </w:tr>
      <w:tr w:rsidR="00416D67" w:rsidRPr="00416D67" w14:paraId="1F838D2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E3FCE5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36</w:t>
            </w:r>
          </w:p>
        </w:tc>
        <w:tc>
          <w:tcPr>
            <w:tcW w:w="8106" w:type="dxa"/>
            <w:tcBorders>
              <w:top w:val="single" w:sz="4" w:space="0" w:color="auto"/>
              <w:left w:val="nil"/>
              <w:bottom w:val="single" w:sz="4" w:space="0" w:color="auto"/>
              <w:right w:val="single" w:sz="4" w:space="0" w:color="auto"/>
            </w:tcBorders>
            <w:noWrap/>
            <w:vAlign w:val="bottom"/>
            <w:hideMark/>
          </w:tcPr>
          <w:p w14:paraId="30DB833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Pomoći dane u inozemstvo i unutar općeg proračuna</w:t>
            </w:r>
          </w:p>
        </w:tc>
        <w:tc>
          <w:tcPr>
            <w:tcW w:w="1095" w:type="dxa"/>
            <w:tcBorders>
              <w:top w:val="single" w:sz="4" w:space="0" w:color="auto"/>
              <w:left w:val="nil"/>
              <w:bottom w:val="single" w:sz="4" w:space="0" w:color="auto"/>
              <w:right w:val="single" w:sz="4" w:space="0" w:color="auto"/>
            </w:tcBorders>
            <w:noWrap/>
            <w:vAlign w:val="bottom"/>
            <w:hideMark/>
          </w:tcPr>
          <w:p w14:paraId="7044F9B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7.000,00</w:t>
            </w:r>
          </w:p>
        </w:tc>
        <w:tc>
          <w:tcPr>
            <w:tcW w:w="1070" w:type="dxa"/>
            <w:tcBorders>
              <w:top w:val="single" w:sz="4" w:space="0" w:color="auto"/>
              <w:left w:val="nil"/>
              <w:bottom w:val="single" w:sz="4" w:space="0" w:color="auto"/>
              <w:right w:val="single" w:sz="4" w:space="0" w:color="auto"/>
            </w:tcBorders>
            <w:noWrap/>
            <w:vAlign w:val="bottom"/>
            <w:hideMark/>
          </w:tcPr>
          <w:p w14:paraId="212CD88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7.000,00</w:t>
            </w:r>
          </w:p>
        </w:tc>
        <w:tc>
          <w:tcPr>
            <w:tcW w:w="1095" w:type="dxa"/>
            <w:tcBorders>
              <w:top w:val="single" w:sz="4" w:space="0" w:color="auto"/>
              <w:left w:val="nil"/>
              <w:bottom w:val="single" w:sz="4" w:space="0" w:color="auto"/>
              <w:right w:val="single" w:sz="4" w:space="0" w:color="auto"/>
            </w:tcBorders>
            <w:noWrap/>
            <w:vAlign w:val="bottom"/>
            <w:hideMark/>
          </w:tcPr>
          <w:p w14:paraId="507C181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5.596,48</w:t>
            </w:r>
          </w:p>
        </w:tc>
        <w:tc>
          <w:tcPr>
            <w:tcW w:w="918" w:type="dxa"/>
            <w:tcBorders>
              <w:top w:val="single" w:sz="4" w:space="0" w:color="auto"/>
              <w:left w:val="nil"/>
              <w:bottom w:val="single" w:sz="4" w:space="0" w:color="auto"/>
              <w:right w:val="single" w:sz="4" w:space="0" w:color="auto"/>
            </w:tcBorders>
            <w:noWrap/>
            <w:vAlign w:val="bottom"/>
            <w:hideMark/>
          </w:tcPr>
          <w:p w14:paraId="43B55B7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79,95%</w:t>
            </w:r>
          </w:p>
        </w:tc>
      </w:tr>
      <w:tr w:rsidR="00416D67" w:rsidRPr="00416D67" w14:paraId="209068C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4CBA4C2" w14:textId="77777777" w:rsidR="00416D67" w:rsidRPr="00416D67" w:rsidRDefault="00416D67" w:rsidP="00416D67">
            <w:pPr>
              <w:rPr>
                <w:rFonts w:ascii="Arial" w:hAnsi="Arial" w:cs="Arial"/>
                <w:sz w:val="14"/>
                <w:szCs w:val="14"/>
              </w:rPr>
            </w:pPr>
            <w:r w:rsidRPr="00416D67">
              <w:rPr>
                <w:rFonts w:ascii="Arial" w:hAnsi="Arial" w:cs="Arial"/>
                <w:sz w:val="14"/>
                <w:szCs w:val="14"/>
              </w:rPr>
              <w:t>3661</w:t>
            </w:r>
          </w:p>
        </w:tc>
        <w:tc>
          <w:tcPr>
            <w:tcW w:w="8106" w:type="dxa"/>
            <w:tcBorders>
              <w:top w:val="single" w:sz="4" w:space="0" w:color="auto"/>
              <w:left w:val="nil"/>
              <w:bottom w:val="single" w:sz="4" w:space="0" w:color="auto"/>
              <w:right w:val="single" w:sz="4" w:space="0" w:color="auto"/>
            </w:tcBorders>
            <w:noWrap/>
            <w:vAlign w:val="bottom"/>
            <w:hideMark/>
          </w:tcPr>
          <w:p w14:paraId="637C5CCC" w14:textId="77777777" w:rsidR="00416D67" w:rsidRPr="00416D67" w:rsidRDefault="00416D67" w:rsidP="00416D67">
            <w:pPr>
              <w:rPr>
                <w:rFonts w:ascii="Arial" w:hAnsi="Arial" w:cs="Arial"/>
                <w:sz w:val="14"/>
                <w:szCs w:val="14"/>
              </w:rPr>
            </w:pPr>
            <w:r w:rsidRPr="00416D67">
              <w:rPr>
                <w:rFonts w:ascii="Arial" w:hAnsi="Arial" w:cs="Arial"/>
                <w:sz w:val="14"/>
                <w:szCs w:val="14"/>
              </w:rPr>
              <w:t>Tekuće pomoći proračunskim korisnicima drugih proračuna</w:t>
            </w:r>
          </w:p>
        </w:tc>
        <w:tc>
          <w:tcPr>
            <w:tcW w:w="1095" w:type="dxa"/>
            <w:tcBorders>
              <w:top w:val="single" w:sz="4" w:space="0" w:color="auto"/>
              <w:left w:val="nil"/>
              <w:bottom w:val="single" w:sz="4" w:space="0" w:color="auto"/>
              <w:right w:val="single" w:sz="4" w:space="0" w:color="auto"/>
            </w:tcBorders>
            <w:noWrap/>
            <w:vAlign w:val="bottom"/>
            <w:hideMark/>
          </w:tcPr>
          <w:p w14:paraId="3500F26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060094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F51851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5.596,48</w:t>
            </w:r>
          </w:p>
        </w:tc>
        <w:tc>
          <w:tcPr>
            <w:tcW w:w="918" w:type="dxa"/>
            <w:tcBorders>
              <w:top w:val="single" w:sz="4" w:space="0" w:color="auto"/>
              <w:left w:val="nil"/>
              <w:bottom w:val="single" w:sz="4" w:space="0" w:color="auto"/>
              <w:right w:val="single" w:sz="4" w:space="0" w:color="auto"/>
            </w:tcBorders>
            <w:noWrap/>
            <w:vAlign w:val="bottom"/>
            <w:hideMark/>
          </w:tcPr>
          <w:p w14:paraId="756AE2E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518626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F115E0E"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 Pomoći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8523A4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592343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4EA294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5.596,59</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63F4A7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79,95%</w:t>
            </w:r>
          </w:p>
        </w:tc>
      </w:tr>
      <w:tr w:rsidR="00416D67" w:rsidRPr="00416D67" w14:paraId="46930A2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8361C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5.1.1 Pomoći Istarska županija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24B0C3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41FD28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3DB476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5.596,59</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E4EF82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79,95%</w:t>
            </w:r>
          </w:p>
        </w:tc>
      </w:tr>
      <w:tr w:rsidR="00416D67" w:rsidRPr="00416D67" w14:paraId="3FBB93B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1F911B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36</w:t>
            </w:r>
          </w:p>
        </w:tc>
        <w:tc>
          <w:tcPr>
            <w:tcW w:w="8106" w:type="dxa"/>
            <w:tcBorders>
              <w:top w:val="single" w:sz="4" w:space="0" w:color="auto"/>
              <w:left w:val="nil"/>
              <w:bottom w:val="single" w:sz="4" w:space="0" w:color="auto"/>
              <w:right w:val="single" w:sz="4" w:space="0" w:color="auto"/>
            </w:tcBorders>
            <w:noWrap/>
            <w:vAlign w:val="bottom"/>
            <w:hideMark/>
          </w:tcPr>
          <w:p w14:paraId="1B28B4D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Pomoći dane u inozemstvo i unutar općeg proračuna</w:t>
            </w:r>
          </w:p>
        </w:tc>
        <w:tc>
          <w:tcPr>
            <w:tcW w:w="1095" w:type="dxa"/>
            <w:tcBorders>
              <w:top w:val="single" w:sz="4" w:space="0" w:color="auto"/>
              <w:left w:val="nil"/>
              <w:bottom w:val="single" w:sz="4" w:space="0" w:color="auto"/>
              <w:right w:val="single" w:sz="4" w:space="0" w:color="auto"/>
            </w:tcBorders>
            <w:noWrap/>
            <w:vAlign w:val="bottom"/>
            <w:hideMark/>
          </w:tcPr>
          <w:p w14:paraId="03AEEB3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7.000,00</w:t>
            </w:r>
          </w:p>
        </w:tc>
        <w:tc>
          <w:tcPr>
            <w:tcW w:w="1070" w:type="dxa"/>
            <w:tcBorders>
              <w:top w:val="single" w:sz="4" w:space="0" w:color="auto"/>
              <w:left w:val="nil"/>
              <w:bottom w:val="single" w:sz="4" w:space="0" w:color="auto"/>
              <w:right w:val="single" w:sz="4" w:space="0" w:color="auto"/>
            </w:tcBorders>
            <w:noWrap/>
            <w:vAlign w:val="bottom"/>
            <w:hideMark/>
          </w:tcPr>
          <w:p w14:paraId="68822C3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7.000,00</w:t>
            </w:r>
          </w:p>
        </w:tc>
        <w:tc>
          <w:tcPr>
            <w:tcW w:w="1095" w:type="dxa"/>
            <w:tcBorders>
              <w:top w:val="single" w:sz="4" w:space="0" w:color="auto"/>
              <w:left w:val="nil"/>
              <w:bottom w:val="single" w:sz="4" w:space="0" w:color="auto"/>
              <w:right w:val="single" w:sz="4" w:space="0" w:color="auto"/>
            </w:tcBorders>
            <w:noWrap/>
            <w:vAlign w:val="bottom"/>
            <w:hideMark/>
          </w:tcPr>
          <w:p w14:paraId="64E628C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5.596,59</w:t>
            </w:r>
          </w:p>
        </w:tc>
        <w:tc>
          <w:tcPr>
            <w:tcW w:w="918" w:type="dxa"/>
            <w:tcBorders>
              <w:top w:val="single" w:sz="4" w:space="0" w:color="auto"/>
              <w:left w:val="nil"/>
              <w:bottom w:val="single" w:sz="4" w:space="0" w:color="auto"/>
              <w:right w:val="single" w:sz="4" w:space="0" w:color="auto"/>
            </w:tcBorders>
            <w:noWrap/>
            <w:vAlign w:val="bottom"/>
            <w:hideMark/>
          </w:tcPr>
          <w:p w14:paraId="6CB6E6A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79,95%</w:t>
            </w:r>
          </w:p>
        </w:tc>
      </w:tr>
      <w:tr w:rsidR="00416D67" w:rsidRPr="00416D67" w14:paraId="37D912D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A1FE2A0" w14:textId="77777777" w:rsidR="00416D67" w:rsidRPr="00416D67" w:rsidRDefault="00416D67" w:rsidP="00416D67">
            <w:pPr>
              <w:rPr>
                <w:rFonts w:ascii="Arial" w:hAnsi="Arial" w:cs="Arial"/>
                <w:sz w:val="14"/>
                <w:szCs w:val="14"/>
              </w:rPr>
            </w:pPr>
            <w:r w:rsidRPr="00416D67">
              <w:rPr>
                <w:rFonts w:ascii="Arial" w:hAnsi="Arial" w:cs="Arial"/>
                <w:sz w:val="14"/>
                <w:szCs w:val="14"/>
              </w:rPr>
              <w:t>3661</w:t>
            </w:r>
          </w:p>
        </w:tc>
        <w:tc>
          <w:tcPr>
            <w:tcW w:w="8106" w:type="dxa"/>
            <w:tcBorders>
              <w:top w:val="single" w:sz="4" w:space="0" w:color="auto"/>
              <w:left w:val="nil"/>
              <w:bottom w:val="single" w:sz="4" w:space="0" w:color="auto"/>
              <w:right w:val="single" w:sz="4" w:space="0" w:color="auto"/>
            </w:tcBorders>
            <w:noWrap/>
            <w:vAlign w:val="bottom"/>
            <w:hideMark/>
          </w:tcPr>
          <w:p w14:paraId="5445DE9A" w14:textId="77777777" w:rsidR="00416D67" w:rsidRPr="00416D67" w:rsidRDefault="00416D67" w:rsidP="00416D67">
            <w:pPr>
              <w:rPr>
                <w:rFonts w:ascii="Arial" w:hAnsi="Arial" w:cs="Arial"/>
                <w:sz w:val="14"/>
                <w:szCs w:val="14"/>
              </w:rPr>
            </w:pPr>
            <w:r w:rsidRPr="00416D67">
              <w:rPr>
                <w:rFonts w:ascii="Arial" w:hAnsi="Arial" w:cs="Arial"/>
                <w:sz w:val="14"/>
                <w:szCs w:val="14"/>
              </w:rPr>
              <w:t>Tekuće pomoći proračunskim korisnicima drugih proračuna</w:t>
            </w:r>
          </w:p>
        </w:tc>
        <w:tc>
          <w:tcPr>
            <w:tcW w:w="1095" w:type="dxa"/>
            <w:tcBorders>
              <w:top w:val="single" w:sz="4" w:space="0" w:color="auto"/>
              <w:left w:val="nil"/>
              <w:bottom w:val="single" w:sz="4" w:space="0" w:color="auto"/>
              <w:right w:val="single" w:sz="4" w:space="0" w:color="auto"/>
            </w:tcBorders>
            <w:noWrap/>
            <w:vAlign w:val="bottom"/>
            <w:hideMark/>
          </w:tcPr>
          <w:p w14:paraId="1779A8E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151F33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FEC9FD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5.596,59</w:t>
            </w:r>
          </w:p>
        </w:tc>
        <w:tc>
          <w:tcPr>
            <w:tcW w:w="918" w:type="dxa"/>
            <w:tcBorders>
              <w:top w:val="single" w:sz="4" w:space="0" w:color="auto"/>
              <w:left w:val="nil"/>
              <w:bottom w:val="single" w:sz="4" w:space="0" w:color="auto"/>
              <w:right w:val="single" w:sz="4" w:space="0" w:color="auto"/>
            </w:tcBorders>
            <w:noWrap/>
            <w:vAlign w:val="bottom"/>
            <w:hideMark/>
          </w:tcPr>
          <w:p w14:paraId="23BD7FB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1B0BF0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1DB515B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Organizacijska klasifikacija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70E726E"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07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048D036"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46870D2"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9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5BD13E3"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2025/2024.           (3/2)</w:t>
            </w:r>
          </w:p>
        </w:tc>
      </w:tr>
      <w:tr w:rsidR="00416D67" w:rsidRPr="00416D67" w14:paraId="31A0CE2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749C9DD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Izvori</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37614E4E"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2B05CC19"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187392AE"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24CEEE83" w14:textId="77777777" w:rsidR="00416D67" w:rsidRPr="00416D67" w:rsidRDefault="00416D67" w:rsidP="00416D67">
            <w:pPr>
              <w:rPr>
                <w:rFonts w:ascii="Arial" w:hAnsi="Arial" w:cs="Arial"/>
                <w:sz w:val="14"/>
                <w:szCs w:val="14"/>
              </w:rPr>
            </w:pPr>
          </w:p>
        </w:tc>
      </w:tr>
      <w:tr w:rsidR="00416D67" w:rsidRPr="00416D67" w14:paraId="0772792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000000"/>
            </w:tcBorders>
            <w:shd w:val="clear" w:color="000000" w:fill="D9D9D9"/>
            <w:hideMark/>
          </w:tcPr>
          <w:p w14:paraId="0110F78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Projekt/Aktivnost</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02F57FBE"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1F325340"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68B07834"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55004C0D" w14:textId="77777777" w:rsidR="00416D67" w:rsidRPr="00416D67" w:rsidRDefault="00416D67" w:rsidP="00416D67">
            <w:pPr>
              <w:rPr>
                <w:rFonts w:ascii="Arial" w:hAnsi="Arial" w:cs="Arial"/>
                <w:sz w:val="14"/>
                <w:szCs w:val="14"/>
              </w:rPr>
            </w:pPr>
          </w:p>
        </w:tc>
      </w:tr>
      <w:tr w:rsidR="00416D67" w:rsidRPr="00416D67" w14:paraId="691F793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D9D716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A100004</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2C145FC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Aktivnost: Sufinanciranje produženog boravka ostale OŠ </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4AB033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4FA788C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93844A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3.828,00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2EAE207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95,70%</w:t>
            </w:r>
          </w:p>
        </w:tc>
      </w:tr>
      <w:tr w:rsidR="00416D67" w:rsidRPr="00416D67" w14:paraId="7689786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7A684E"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E00680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0A4B45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9A6F32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3.828,00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4CAE39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95,70%</w:t>
            </w:r>
          </w:p>
        </w:tc>
      </w:tr>
      <w:tr w:rsidR="00416D67" w:rsidRPr="00416D67" w14:paraId="5F8BDFE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2DC3CB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6120EB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DCBABA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9859E8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3.828,00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61E9D7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95,70%</w:t>
            </w:r>
          </w:p>
        </w:tc>
      </w:tr>
      <w:tr w:rsidR="00416D67" w:rsidRPr="00416D67" w14:paraId="35C72FF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41A976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36</w:t>
            </w:r>
          </w:p>
        </w:tc>
        <w:tc>
          <w:tcPr>
            <w:tcW w:w="8106" w:type="dxa"/>
            <w:tcBorders>
              <w:top w:val="single" w:sz="4" w:space="0" w:color="auto"/>
              <w:left w:val="nil"/>
              <w:bottom w:val="single" w:sz="4" w:space="0" w:color="auto"/>
              <w:right w:val="single" w:sz="4" w:space="0" w:color="auto"/>
            </w:tcBorders>
            <w:noWrap/>
            <w:vAlign w:val="bottom"/>
            <w:hideMark/>
          </w:tcPr>
          <w:p w14:paraId="5B2F6AD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Pomoći dane u inozemstvo i unutar općeg proračuna</w:t>
            </w:r>
          </w:p>
        </w:tc>
        <w:tc>
          <w:tcPr>
            <w:tcW w:w="1095" w:type="dxa"/>
            <w:tcBorders>
              <w:top w:val="single" w:sz="4" w:space="0" w:color="auto"/>
              <w:left w:val="nil"/>
              <w:bottom w:val="single" w:sz="4" w:space="0" w:color="auto"/>
              <w:right w:val="single" w:sz="4" w:space="0" w:color="auto"/>
            </w:tcBorders>
            <w:noWrap/>
            <w:vAlign w:val="bottom"/>
            <w:hideMark/>
          </w:tcPr>
          <w:p w14:paraId="45228FD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3.000,00</w:t>
            </w:r>
          </w:p>
        </w:tc>
        <w:tc>
          <w:tcPr>
            <w:tcW w:w="1070" w:type="dxa"/>
            <w:tcBorders>
              <w:top w:val="single" w:sz="4" w:space="0" w:color="auto"/>
              <w:left w:val="nil"/>
              <w:bottom w:val="single" w:sz="4" w:space="0" w:color="auto"/>
              <w:right w:val="single" w:sz="4" w:space="0" w:color="auto"/>
            </w:tcBorders>
            <w:noWrap/>
            <w:vAlign w:val="bottom"/>
            <w:hideMark/>
          </w:tcPr>
          <w:p w14:paraId="59F463B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4.000,00</w:t>
            </w:r>
          </w:p>
        </w:tc>
        <w:tc>
          <w:tcPr>
            <w:tcW w:w="1095" w:type="dxa"/>
            <w:tcBorders>
              <w:top w:val="single" w:sz="4" w:space="0" w:color="auto"/>
              <w:left w:val="nil"/>
              <w:bottom w:val="single" w:sz="4" w:space="0" w:color="auto"/>
              <w:right w:val="single" w:sz="4" w:space="0" w:color="auto"/>
            </w:tcBorders>
            <w:noWrap/>
            <w:vAlign w:val="bottom"/>
            <w:hideMark/>
          </w:tcPr>
          <w:p w14:paraId="0FA19FE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3.828,00</w:t>
            </w:r>
          </w:p>
        </w:tc>
        <w:tc>
          <w:tcPr>
            <w:tcW w:w="918" w:type="dxa"/>
            <w:tcBorders>
              <w:top w:val="single" w:sz="4" w:space="0" w:color="auto"/>
              <w:left w:val="nil"/>
              <w:bottom w:val="single" w:sz="4" w:space="0" w:color="auto"/>
              <w:right w:val="single" w:sz="4" w:space="0" w:color="auto"/>
            </w:tcBorders>
            <w:noWrap/>
            <w:vAlign w:val="bottom"/>
            <w:hideMark/>
          </w:tcPr>
          <w:p w14:paraId="467FF42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95,70%</w:t>
            </w:r>
          </w:p>
        </w:tc>
      </w:tr>
      <w:tr w:rsidR="00416D67" w:rsidRPr="00416D67" w14:paraId="3BDFD30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5884431" w14:textId="77777777" w:rsidR="00416D67" w:rsidRPr="00416D67" w:rsidRDefault="00416D67" w:rsidP="00416D67">
            <w:pPr>
              <w:rPr>
                <w:rFonts w:ascii="Arial" w:hAnsi="Arial" w:cs="Arial"/>
                <w:sz w:val="14"/>
                <w:szCs w:val="14"/>
              </w:rPr>
            </w:pPr>
            <w:r w:rsidRPr="00416D67">
              <w:rPr>
                <w:rFonts w:ascii="Arial" w:hAnsi="Arial" w:cs="Arial"/>
                <w:sz w:val="14"/>
                <w:szCs w:val="14"/>
              </w:rPr>
              <w:t>3661</w:t>
            </w:r>
          </w:p>
        </w:tc>
        <w:tc>
          <w:tcPr>
            <w:tcW w:w="8106" w:type="dxa"/>
            <w:tcBorders>
              <w:top w:val="single" w:sz="4" w:space="0" w:color="auto"/>
              <w:left w:val="nil"/>
              <w:bottom w:val="single" w:sz="4" w:space="0" w:color="auto"/>
              <w:right w:val="single" w:sz="4" w:space="0" w:color="auto"/>
            </w:tcBorders>
            <w:noWrap/>
            <w:vAlign w:val="bottom"/>
            <w:hideMark/>
          </w:tcPr>
          <w:p w14:paraId="47ACD262" w14:textId="77777777" w:rsidR="00416D67" w:rsidRPr="00416D67" w:rsidRDefault="00416D67" w:rsidP="00416D67">
            <w:pPr>
              <w:rPr>
                <w:rFonts w:ascii="Arial" w:hAnsi="Arial" w:cs="Arial"/>
                <w:sz w:val="14"/>
                <w:szCs w:val="14"/>
              </w:rPr>
            </w:pPr>
            <w:r w:rsidRPr="00416D67">
              <w:rPr>
                <w:rFonts w:ascii="Arial" w:hAnsi="Arial" w:cs="Arial"/>
                <w:sz w:val="14"/>
                <w:szCs w:val="14"/>
              </w:rPr>
              <w:t>Tekuće pomoći proračunskim korisnicima drugih proračuna</w:t>
            </w:r>
          </w:p>
        </w:tc>
        <w:tc>
          <w:tcPr>
            <w:tcW w:w="1095" w:type="dxa"/>
            <w:tcBorders>
              <w:top w:val="single" w:sz="4" w:space="0" w:color="auto"/>
              <w:left w:val="nil"/>
              <w:bottom w:val="single" w:sz="4" w:space="0" w:color="auto"/>
              <w:right w:val="single" w:sz="4" w:space="0" w:color="auto"/>
            </w:tcBorders>
            <w:noWrap/>
            <w:vAlign w:val="bottom"/>
            <w:hideMark/>
          </w:tcPr>
          <w:p w14:paraId="4C0FD77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6CAA0B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68553B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3.828,00</w:t>
            </w:r>
          </w:p>
        </w:tc>
        <w:tc>
          <w:tcPr>
            <w:tcW w:w="918" w:type="dxa"/>
            <w:tcBorders>
              <w:top w:val="single" w:sz="4" w:space="0" w:color="auto"/>
              <w:left w:val="nil"/>
              <w:bottom w:val="single" w:sz="4" w:space="0" w:color="auto"/>
              <w:right w:val="single" w:sz="4" w:space="0" w:color="auto"/>
            </w:tcBorders>
            <w:noWrap/>
            <w:vAlign w:val="bottom"/>
            <w:hideMark/>
          </w:tcPr>
          <w:p w14:paraId="73E88FC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FC176D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4AF8D6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A100005</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2DCFBA4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Ostale potrebe osnovnog školstva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529E8D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8.100,00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03D58E8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8.100,00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2C929B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5.548,63</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6A51D0B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68,50%</w:t>
            </w:r>
          </w:p>
        </w:tc>
      </w:tr>
      <w:tr w:rsidR="00416D67" w:rsidRPr="00416D67" w14:paraId="3C07410C"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BF8047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4CF5F0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8.100,00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27E8D8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8.100,00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C084E0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5.548,63</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5A6689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68,50%</w:t>
            </w:r>
          </w:p>
        </w:tc>
      </w:tr>
      <w:tr w:rsidR="00416D67" w:rsidRPr="00416D67" w14:paraId="5CB6F86F"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D573B2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6863B0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8.100,00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693B4B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8.100,00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B87BDC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5.548,63</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18815B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68,50%</w:t>
            </w:r>
          </w:p>
        </w:tc>
      </w:tr>
      <w:tr w:rsidR="00416D67" w:rsidRPr="00416D67" w14:paraId="6C2E69E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2658F1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36</w:t>
            </w:r>
          </w:p>
        </w:tc>
        <w:tc>
          <w:tcPr>
            <w:tcW w:w="8106" w:type="dxa"/>
            <w:tcBorders>
              <w:top w:val="single" w:sz="4" w:space="0" w:color="auto"/>
              <w:left w:val="nil"/>
              <w:bottom w:val="single" w:sz="4" w:space="0" w:color="auto"/>
              <w:right w:val="single" w:sz="4" w:space="0" w:color="auto"/>
            </w:tcBorders>
            <w:noWrap/>
            <w:vAlign w:val="bottom"/>
            <w:hideMark/>
          </w:tcPr>
          <w:p w14:paraId="3D2E753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Pomoći dane u inozemstvo i unutar općeg proračuna</w:t>
            </w:r>
          </w:p>
        </w:tc>
        <w:tc>
          <w:tcPr>
            <w:tcW w:w="1095" w:type="dxa"/>
            <w:tcBorders>
              <w:top w:val="single" w:sz="4" w:space="0" w:color="auto"/>
              <w:left w:val="nil"/>
              <w:bottom w:val="single" w:sz="4" w:space="0" w:color="auto"/>
              <w:right w:val="single" w:sz="4" w:space="0" w:color="auto"/>
            </w:tcBorders>
            <w:noWrap/>
            <w:vAlign w:val="bottom"/>
            <w:hideMark/>
          </w:tcPr>
          <w:p w14:paraId="3A528F9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5.000,00</w:t>
            </w:r>
          </w:p>
        </w:tc>
        <w:tc>
          <w:tcPr>
            <w:tcW w:w="1070" w:type="dxa"/>
            <w:tcBorders>
              <w:top w:val="single" w:sz="4" w:space="0" w:color="auto"/>
              <w:left w:val="nil"/>
              <w:bottom w:val="single" w:sz="4" w:space="0" w:color="auto"/>
              <w:right w:val="single" w:sz="4" w:space="0" w:color="auto"/>
            </w:tcBorders>
            <w:noWrap/>
            <w:vAlign w:val="bottom"/>
            <w:hideMark/>
          </w:tcPr>
          <w:p w14:paraId="0C5ACBC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5.000,00</w:t>
            </w:r>
          </w:p>
        </w:tc>
        <w:tc>
          <w:tcPr>
            <w:tcW w:w="1095" w:type="dxa"/>
            <w:tcBorders>
              <w:top w:val="single" w:sz="4" w:space="0" w:color="auto"/>
              <w:left w:val="nil"/>
              <w:bottom w:val="single" w:sz="4" w:space="0" w:color="auto"/>
              <w:right w:val="single" w:sz="4" w:space="0" w:color="auto"/>
            </w:tcBorders>
            <w:noWrap/>
            <w:vAlign w:val="bottom"/>
            <w:hideMark/>
          </w:tcPr>
          <w:p w14:paraId="12484ED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2.560,00</w:t>
            </w:r>
          </w:p>
        </w:tc>
        <w:tc>
          <w:tcPr>
            <w:tcW w:w="918" w:type="dxa"/>
            <w:tcBorders>
              <w:top w:val="single" w:sz="4" w:space="0" w:color="auto"/>
              <w:left w:val="nil"/>
              <w:bottom w:val="single" w:sz="4" w:space="0" w:color="auto"/>
              <w:right w:val="single" w:sz="4" w:space="0" w:color="auto"/>
            </w:tcBorders>
            <w:noWrap/>
            <w:vAlign w:val="bottom"/>
            <w:hideMark/>
          </w:tcPr>
          <w:p w14:paraId="7B0439E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51,20%</w:t>
            </w:r>
          </w:p>
        </w:tc>
      </w:tr>
      <w:tr w:rsidR="00416D67" w:rsidRPr="00416D67" w14:paraId="6042558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BA176B1" w14:textId="77777777" w:rsidR="00416D67" w:rsidRPr="00416D67" w:rsidRDefault="00416D67" w:rsidP="00416D67">
            <w:pPr>
              <w:rPr>
                <w:rFonts w:ascii="Arial" w:hAnsi="Arial" w:cs="Arial"/>
                <w:sz w:val="14"/>
                <w:szCs w:val="14"/>
              </w:rPr>
            </w:pPr>
            <w:r w:rsidRPr="00416D67">
              <w:rPr>
                <w:rFonts w:ascii="Arial" w:hAnsi="Arial" w:cs="Arial"/>
                <w:sz w:val="14"/>
                <w:szCs w:val="14"/>
              </w:rPr>
              <w:t>3661</w:t>
            </w:r>
          </w:p>
        </w:tc>
        <w:tc>
          <w:tcPr>
            <w:tcW w:w="8106" w:type="dxa"/>
            <w:tcBorders>
              <w:top w:val="single" w:sz="4" w:space="0" w:color="auto"/>
              <w:left w:val="nil"/>
              <w:bottom w:val="single" w:sz="4" w:space="0" w:color="auto"/>
              <w:right w:val="single" w:sz="4" w:space="0" w:color="auto"/>
            </w:tcBorders>
            <w:noWrap/>
            <w:vAlign w:val="bottom"/>
            <w:hideMark/>
          </w:tcPr>
          <w:p w14:paraId="0C5351ED" w14:textId="77777777" w:rsidR="00416D67" w:rsidRPr="00416D67" w:rsidRDefault="00416D67" w:rsidP="00416D67">
            <w:pPr>
              <w:rPr>
                <w:rFonts w:ascii="Arial" w:hAnsi="Arial" w:cs="Arial"/>
                <w:sz w:val="14"/>
                <w:szCs w:val="14"/>
              </w:rPr>
            </w:pPr>
            <w:r w:rsidRPr="00416D67">
              <w:rPr>
                <w:rFonts w:ascii="Arial" w:hAnsi="Arial" w:cs="Arial"/>
                <w:sz w:val="14"/>
                <w:szCs w:val="14"/>
              </w:rPr>
              <w:t>Tekuće pomoći proračunskim korisnicima drugih proračuna</w:t>
            </w:r>
          </w:p>
        </w:tc>
        <w:tc>
          <w:tcPr>
            <w:tcW w:w="1095" w:type="dxa"/>
            <w:tcBorders>
              <w:top w:val="single" w:sz="4" w:space="0" w:color="auto"/>
              <w:left w:val="nil"/>
              <w:bottom w:val="single" w:sz="4" w:space="0" w:color="auto"/>
              <w:right w:val="single" w:sz="4" w:space="0" w:color="auto"/>
            </w:tcBorders>
            <w:noWrap/>
            <w:vAlign w:val="bottom"/>
            <w:hideMark/>
          </w:tcPr>
          <w:p w14:paraId="737A9A9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18A1E4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AB847E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2.560,00</w:t>
            </w:r>
          </w:p>
        </w:tc>
        <w:tc>
          <w:tcPr>
            <w:tcW w:w="918" w:type="dxa"/>
            <w:tcBorders>
              <w:top w:val="single" w:sz="4" w:space="0" w:color="auto"/>
              <w:left w:val="nil"/>
              <w:bottom w:val="single" w:sz="4" w:space="0" w:color="auto"/>
              <w:right w:val="single" w:sz="4" w:space="0" w:color="auto"/>
            </w:tcBorders>
            <w:noWrap/>
            <w:vAlign w:val="bottom"/>
            <w:hideMark/>
          </w:tcPr>
          <w:p w14:paraId="3AAB7F6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BB87A3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BD7D2B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51BC8D6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498A76A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3.100,00</w:t>
            </w:r>
          </w:p>
        </w:tc>
        <w:tc>
          <w:tcPr>
            <w:tcW w:w="1070" w:type="dxa"/>
            <w:tcBorders>
              <w:top w:val="single" w:sz="4" w:space="0" w:color="auto"/>
              <w:left w:val="nil"/>
              <w:bottom w:val="single" w:sz="4" w:space="0" w:color="auto"/>
              <w:right w:val="single" w:sz="4" w:space="0" w:color="auto"/>
            </w:tcBorders>
            <w:noWrap/>
            <w:vAlign w:val="bottom"/>
            <w:hideMark/>
          </w:tcPr>
          <w:p w14:paraId="5FF789C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3.100,00</w:t>
            </w:r>
          </w:p>
        </w:tc>
        <w:tc>
          <w:tcPr>
            <w:tcW w:w="1095" w:type="dxa"/>
            <w:tcBorders>
              <w:top w:val="single" w:sz="4" w:space="0" w:color="auto"/>
              <w:left w:val="nil"/>
              <w:bottom w:val="single" w:sz="4" w:space="0" w:color="auto"/>
              <w:right w:val="single" w:sz="4" w:space="0" w:color="auto"/>
            </w:tcBorders>
            <w:noWrap/>
            <w:vAlign w:val="bottom"/>
            <w:hideMark/>
          </w:tcPr>
          <w:p w14:paraId="366DD40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2.988,63</w:t>
            </w:r>
          </w:p>
        </w:tc>
        <w:tc>
          <w:tcPr>
            <w:tcW w:w="918" w:type="dxa"/>
            <w:tcBorders>
              <w:top w:val="single" w:sz="4" w:space="0" w:color="auto"/>
              <w:left w:val="nil"/>
              <w:bottom w:val="single" w:sz="4" w:space="0" w:color="auto"/>
              <w:right w:val="single" w:sz="4" w:space="0" w:color="auto"/>
            </w:tcBorders>
            <w:noWrap/>
            <w:vAlign w:val="bottom"/>
            <w:hideMark/>
          </w:tcPr>
          <w:p w14:paraId="2E6C4C5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96,41%</w:t>
            </w:r>
          </w:p>
        </w:tc>
      </w:tr>
      <w:tr w:rsidR="00416D67" w:rsidRPr="00416D67" w14:paraId="584D7FB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F368CEB" w14:textId="77777777" w:rsidR="00416D67" w:rsidRPr="00416D67" w:rsidRDefault="00416D67" w:rsidP="00416D67">
            <w:pPr>
              <w:rPr>
                <w:rFonts w:ascii="Arial" w:hAnsi="Arial" w:cs="Arial"/>
                <w:sz w:val="14"/>
                <w:szCs w:val="14"/>
              </w:rPr>
            </w:pPr>
            <w:r w:rsidRPr="00416D67">
              <w:rPr>
                <w:rFonts w:ascii="Arial" w:hAnsi="Arial" w:cs="Arial"/>
                <w:sz w:val="14"/>
                <w:szCs w:val="14"/>
              </w:rPr>
              <w:t>3811</w:t>
            </w:r>
          </w:p>
        </w:tc>
        <w:tc>
          <w:tcPr>
            <w:tcW w:w="8106" w:type="dxa"/>
            <w:tcBorders>
              <w:top w:val="single" w:sz="4" w:space="0" w:color="auto"/>
              <w:left w:val="nil"/>
              <w:bottom w:val="single" w:sz="4" w:space="0" w:color="auto"/>
              <w:right w:val="single" w:sz="4" w:space="0" w:color="auto"/>
            </w:tcBorders>
            <w:noWrap/>
            <w:vAlign w:val="bottom"/>
            <w:hideMark/>
          </w:tcPr>
          <w:p w14:paraId="2AC8D888" w14:textId="77777777" w:rsidR="00416D67" w:rsidRPr="00416D67" w:rsidRDefault="00416D67" w:rsidP="00416D67">
            <w:pPr>
              <w:rPr>
                <w:rFonts w:ascii="Arial" w:hAnsi="Arial" w:cs="Arial"/>
                <w:sz w:val="14"/>
                <w:szCs w:val="14"/>
              </w:rPr>
            </w:pPr>
            <w:r w:rsidRPr="00416D67">
              <w:rPr>
                <w:rFonts w:ascii="Arial" w:hAnsi="Arial" w:cs="Arial"/>
                <w:sz w:val="14"/>
                <w:szCs w:val="14"/>
              </w:rPr>
              <w:t>Tekuće donacije u novcu</w:t>
            </w:r>
          </w:p>
        </w:tc>
        <w:tc>
          <w:tcPr>
            <w:tcW w:w="1095" w:type="dxa"/>
            <w:tcBorders>
              <w:top w:val="single" w:sz="4" w:space="0" w:color="auto"/>
              <w:left w:val="nil"/>
              <w:bottom w:val="single" w:sz="4" w:space="0" w:color="auto"/>
              <w:right w:val="single" w:sz="4" w:space="0" w:color="auto"/>
            </w:tcBorders>
            <w:noWrap/>
            <w:vAlign w:val="bottom"/>
            <w:hideMark/>
          </w:tcPr>
          <w:p w14:paraId="7627A5F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A17807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2A795C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2.988,63</w:t>
            </w:r>
          </w:p>
        </w:tc>
        <w:tc>
          <w:tcPr>
            <w:tcW w:w="918" w:type="dxa"/>
            <w:tcBorders>
              <w:top w:val="single" w:sz="4" w:space="0" w:color="auto"/>
              <w:left w:val="nil"/>
              <w:bottom w:val="single" w:sz="4" w:space="0" w:color="auto"/>
              <w:right w:val="single" w:sz="4" w:space="0" w:color="auto"/>
            </w:tcBorders>
            <w:noWrap/>
            <w:vAlign w:val="bottom"/>
            <w:hideMark/>
          </w:tcPr>
          <w:p w14:paraId="12295FD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4C9CBC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029381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A100006</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3859B56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Sufinanciranje festivala strukovnih zanimanja (HOK IŽ)</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492061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510084F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BFA8F3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7654F86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3730B3A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C9B54A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E0B6FD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7CDAD6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880E66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41510C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454535B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267D01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3A73A2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16ED9A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4A10D0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17D76D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527E5E4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B2B802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1EDEF48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6A580C5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w:t>
            </w:r>
          </w:p>
        </w:tc>
        <w:tc>
          <w:tcPr>
            <w:tcW w:w="1070" w:type="dxa"/>
            <w:tcBorders>
              <w:top w:val="single" w:sz="4" w:space="0" w:color="auto"/>
              <w:left w:val="nil"/>
              <w:bottom w:val="single" w:sz="4" w:space="0" w:color="auto"/>
              <w:right w:val="single" w:sz="4" w:space="0" w:color="auto"/>
            </w:tcBorders>
            <w:noWrap/>
            <w:vAlign w:val="bottom"/>
            <w:hideMark/>
          </w:tcPr>
          <w:p w14:paraId="4EDEB7B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w:t>
            </w:r>
          </w:p>
        </w:tc>
        <w:tc>
          <w:tcPr>
            <w:tcW w:w="1095" w:type="dxa"/>
            <w:tcBorders>
              <w:top w:val="single" w:sz="4" w:space="0" w:color="auto"/>
              <w:left w:val="nil"/>
              <w:bottom w:val="single" w:sz="4" w:space="0" w:color="auto"/>
              <w:right w:val="single" w:sz="4" w:space="0" w:color="auto"/>
            </w:tcBorders>
            <w:noWrap/>
            <w:vAlign w:val="bottom"/>
            <w:hideMark/>
          </w:tcPr>
          <w:p w14:paraId="513A5A8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w:t>
            </w:r>
          </w:p>
        </w:tc>
        <w:tc>
          <w:tcPr>
            <w:tcW w:w="918" w:type="dxa"/>
            <w:tcBorders>
              <w:top w:val="single" w:sz="4" w:space="0" w:color="auto"/>
              <w:left w:val="nil"/>
              <w:bottom w:val="single" w:sz="4" w:space="0" w:color="auto"/>
              <w:right w:val="single" w:sz="4" w:space="0" w:color="auto"/>
            </w:tcBorders>
            <w:noWrap/>
            <w:vAlign w:val="bottom"/>
            <w:hideMark/>
          </w:tcPr>
          <w:p w14:paraId="46AF69E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1AA18D7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4F33C01" w14:textId="77777777" w:rsidR="00416D67" w:rsidRPr="00416D67" w:rsidRDefault="00416D67" w:rsidP="00416D67">
            <w:pPr>
              <w:rPr>
                <w:rFonts w:ascii="Arial" w:hAnsi="Arial" w:cs="Arial"/>
                <w:sz w:val="14"/>
                <w:szCs w:val="14"/>
              </w:rPr>
            </w:pPr>
            <w:r w:rsidRPr="00416D67">
              <w:rPr>
                <w:rFonts w:ascii="Arial" w:hAnsi="Arial" w:cs="Arial"/>
                <w:sz w:val="14"/>
                <w:szCs w:val="14"/>
              </w:rPr>
              <w:t>3811</w:t>
            </w:r>
          </w:p>
        </w:tc>
        <w:tc>
          <w:tcPr>
            <w:tcW w:w="8106" w:type="dxa"/>
            <w:tcBorders>
              <w:top w:val="single" w:sz="4" w:space="0" w:color="auto"/>
              <w:left w:val="nil"/>
              <w:bottom w:val="single" w:sz="4" w:space="0" w:color="auto"/>
              <w:right w:val="single" w:sz="4" w:space="0" w:color="auto"/>
            </w:tcBorders>
            <w:noWrap/>
            <w:vAlign w:val="bottom"/>
            <w:hideMark/>
          </w:tcPr>
          <w:p w14:paraId="1251E262" w14:textId="77777777" w:rsidR="00416D67" w:rsidRPr="00416D67" w:rsidRDefault="00416D67" w:rsidP="00416D67">
            <w:pPr>
              <w:rPr>
                <w:rFonts w:ascii="Arial" w:hAnsi="Arial" w:cs="Arial"/>
                <w:sz w:val="14"/>
                <w:szCs w:val="14"/>
              </w:rPr>
            </w:pPr>
            <w:r w:rsidRPr="00416D67">
              <w:rPr>
                <w:rFonts w:ascii="Arial" w:hAnsi="Arial" w:cs="Arial"/>
                <w:sz w:val="14"/>
                <w:szCs w:val="14"/>
              </w:rPr>
              <w:t>Tekuće donacije u novcu</w:t>
            </w:r>
          </w:p>
        </w:tc>
        <w:tc>
          <w:tcPr>
            <w:tcW w:w="1095" w:type="dxa"/>
            <w:tcBorders>
              <w:top w:val="single" w:sz="4" w:space="0" w:color="auto"/>
              <w:left w:val="nil"/>
              <w:bottom w:val="single" w:sz="4" w:space="0" w:color="auto"/>
              <w:right w:val="single" w:sz="4" w:space="0" w:color="auto"/>
            </w:tcBorders>
            <w:noWrap/>
            <w:vAlign w:val="bottom"/>
            <w:hideMark/>
          </w:tcPr>
          <w:p w14:paraId="6A66924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C06B55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86794A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300,00</w:t>
            </w:r>
          </w:p>
        </w:tc>
        <w:tc>
          <w:tcPr>
            <w:tcW w:w="918" w:type="dxa"/>
            <w:tcBorders>
              <w:top w:val="single" w:sz="4" w:space="0" w:color="auto"/>
              <w:left w:val="nil"/>
              <w:bottom w:val="single" w:sz="4" w:space="0" w:color="auto"/>
              <w:right w:val="single" w:sz="4" w:space="0" w:color="auto"/>
            </w:tcBorders>
            <w:noWrap/>
            <w:vAlign w:val="bottom"/>
            <w:hideMark/>
          </w:tcPr>
          <w:p w14:paraId="28BDF66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9269BD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2BC670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K100010</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50C9EAE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Kapitalni projekt: Sufinanciranje izgradnje i rekonstrukcije osnovne škole i školske </w:t>
            </w:r>
            <w:proofErr w:type="spellStart"/>
            <w:r w:rsidRPr="00416D67">
              <w:rPr>
                <w:rFonts w:ascii="Arial" w:hAnsi="Arial" w:cs="Arial"/>
                <w:b/>
                <w:bCs/>
                <w:sz w:val="14"/>
                <w:szCs w:val="14"/>
              </w:rPr>
              <w:t>spotrske</w:t>
            </w:r>
            <w:proofErr w:type="spellEnd"/>
            <w:r w:rsidRPr="00416D67">
              <w:rPr>
                <w:rFonts w:ascii="Arial" w:hAnsi="Arial" w:cs="Arial"/>
                <w:b/>
                <w:bCs/>
                <w:sz w:val="14"/>
                <w:szCs w:val="14"/>
              </w:rPr>
              <w:t xml:space="preserve"> dvorane u </w:t>
            </w:r>
            <w:proofErr w:type="spellStart"/>
            <w:r w:rsidRPr="00416D67">
              <w:rPr>
                <w:rFonts w:ascii="Arial" w:hAnsi="Arial" w:cs="Arial"/>
                <w:b/>
                <w:bCs/>
                <w:sz w:val="14"/>
                <w:szCs w:val="14"/>
              </w:rPr>
              <w:t>Marčani</w:t>
            </w:r>
            <w:proofErr w:type="spellEnd"/>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D45C54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28AE56C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950.000,00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344522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2F0FB88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24CDA33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93437B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349D69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2BB709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95.000,00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BDC5BF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FC0717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5E7622E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FFA7B2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7532D4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CFDF4B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95.000,00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5A1A8C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5D3EE9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657BB9C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526BDE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36</w:t>
            </w:r>
          </w:p>
        </w:tc>
        <w:tc>
          <w:tcPr>
            <w:tcW w:w="8106" w:type="dxa"/>
            <w:tcBorders>
              <w:top w:val="single" w:sz="4" w:space="0" w:color="auto"/>
              <w:left w:val="nil"/>
              <w:bottom w:val="single" w:sz="4" w:space="0" w:color="auto"/>
              <w:right w:val="single" w:sz="4" w:space="0" w:color="auto"/>
            </w:tcBorders>
            <w:noWrap/>
            <w:vAlign w:val="bottom"/>
            <w:hideMark/>
          </w:tcPr>
          <w:p w14:paraId="6A51398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Pomoći dane u inozemstvo i unutar općeg proračuna</w:t>
            </w:r>
          </w:p>
        </w:tc>
        <w:tc>
          <w:tcPr>
            <w:tcW w:w="1095" w:type="dxa"/>
            <w:tcBorders>
              <w:top w:val="single" w:sz="4" w:space="0" w:color="auto"/>
              <w:left w:val="nil"/>
              <w:bottom w:val="single" w:sz="4" w:space="0" w:color="auto"/>
              <w:right w:val="single" w:sz="4" w:space="0" w:color="auto"/>
            </w:tcBorders>
            <w:noWrap/>
            <w:vAlign w:val="bottom"/>
            <w:hideMark/>
          </w:tcPr>
          <w:p w14:paraId="49183FB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100.000,00</w:t>
            </w:r>
          </w:p>
        </w:tc>
        <w:tc>
          <w:tcPr>
            <w:tcW w:w="1070" w:type="dxa"/>
            <w:tcBorders>
              <w:top w:val="single" w:sz="4" w:space="0" w:color="auto"/>
              <w:left w:val="nil"/>
              <w:bottom w:val="single" w:sz="4" w:space="0" w:color="auto"/>
              <w:right w:val="single" w:sz="4" w:space="0" w:color="auto"/>
            </w:tcBorders>
            <w:noWrap/>
            <w:vAlign w:val="bottom"/>
            <w:hideMark/>
          </w:tcPr>
          <w:p w14:paraId="4251234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95.000,00</w:t>
            </w:r>
          </w:p>
        </w:tc>
        <w:tc>
          <w:tcPr>
            <w:tcW w:w="1095" w:type="dxa"/>
            <w:tcBorders>
              <w:top w:val="single" w:sz="4" w:space="0" w:color="auto"/>
              <w:left w:val="nil"/>
              <w:bottom w:val="single" w:sz="4" w:space="0" w:color="auto"/>
              <w:right w:val="single" w:sz="4" w:space="0" w:color="auto"/>
            </w:tcBorders>
            <w:noWrap/>
            <w:vAlign w:val="bottom"/>
            <w:hideMark/>
          </w:tcPr>
          <w:p w14:paraId="3DC22AF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5CF6071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6DC55F1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692E3C1"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7. Prihodi od prodaje ili zamjene nefinancijske imovine i </w:t>
            </w:r>
            <w:proofErr w:type="spellStart"/>
            <w:r w:rsidRPr="00416D67">
              <w:rPr>
                <w:rFonts w:ascii="Arial" w:hAnsi="Arial" w:cs="Arial"/>
                <w:b/>
                <w:bCs/>
                <w:color w:val="333333"/>
                <w:sz w:val="14"/>
                <w:szCs w:val="14"/>
              </w:rPr>
              <w:t>nakna</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C38427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900.000,00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55BE4B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855.000,00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163285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4103B7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54F825A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7DD53D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7.1. 07 Prihodi od prodaje ili zamjene  </w:t>
            </w:r>
            <w:proofErr w:type="spellStart"/>
            <w:r w:rsidRPr="00416D67">
              <w:rPr>
                <w:rFonts w:ascii="Arial" w:hAnsi="Arial" w:cs="Arial"/>
                <w:b/>
                <w:bCs/>
                <w:color w:val="333333"/>
                <w:sz w:val="14"/>
                <w:szCs w:val="14"/>
              </w:rPr>
              <w:t>nefinanc.imovine</w:t>
            </w:r>
            <w:proofErr w:type="spellEnd"/>
            <w:r w:rsidRPr="00416D67">
              <w:rPr>
                <w:rFonts w:ascii="Arial" w:hAnsi="Arial" w:cs="Arial"/>
                <w:b/>
                <w:bCs/>
                <w:color w:val="333333"/>
                <w:sz w:val="14"/>
                <w:szCs w:val="14"/>
              </w:rPr>
              <w:t xml:space="preserve"> i </w:t>
            </w:r>
            <w:proofErr w:type="spellStart"/>
            <w:r w:rsidRPr="00416D67">
              <w:rPr>
                <w:rFonts w:ascii="Arial" w:hAnsi="Arial" w:cs="Arial"/>
                <w:b/>
                <w:bCs/>
                <w:color w:val="333333"/>
                <w:sz w:val="14"/>
                <w:szCs w:val="14"/>
              </w:rPr>
              <w:t>nadokn</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0E717C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900.000,00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C882CF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855.000,00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F3213B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F2B235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7DAE11E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EC9A8C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36</w:t>
            </w:r>
          </w:p>
        </w:tc>
        <w:tc>
          <w:tcPr>
            <w:tcW w:w="8106" w:type="dxa"/>
            <w:tcBorders>
              <w:top w:val="single" w:sz="4" w:space="0" w:color="auto"/>
              <w:left w:val="nil"/>
              <w:bottom w:val="single" w:sz="4" w:space="0" w:color="auto"/>
              <w:right w:val="single" w:sz="4" w:space="0" w:color="auto"/>
            </w:tcBorders>
            <w:noWrap/>
            <w:vAlign w:val="bottom"/>
            <w:hideMark/>
          </w:tcPr>
          <w:p w14:paraId="295D833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Pomoći dane u inozemstvo i unutar općeg proračuna</w:t>
            </w:r>
          </w:p>
        </w:tc>
        <w:tc>
          <w:tcPr>
            <w:tcW w:w="1095" w:type="dxa"/>
            <w:tcBorders>
              <w:top w:val="single" w:sz="4" w:space="0" w:color="auto"/>
              <w:left w:val="nil"/>
              <w:bottom w:val="single" w:sz="4" w:space="0" w:color="auto"/>
              <w:right w:val="single" w:sz="4" w:space="0" w:color="auto"/>
            </w:tcBorders>
            <w:noWrap/>
            <w:vAlign w:val="bottom"/>
            <w:hideMark/>
          </w:tcPr>
          <w:p w14:paraId="0380689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900.000,00</w:t>
            </w:r>
          </w:p>
        </w:tc>
        <w:tc>
          <w:tcPr>
            <w:tcW w:w="1070" w:type="dxa"/>
            <w:tcBorders>
              <w:top w:val="single" w:sz="4" w:space="0" w:color="auto"/>
              <w:left w:val="nil"/>
              <w:bottom w:val="single" w:sz="4" w:space="0" w:color="auto"/>
              <w:right w:val="single" w:sz="4" w:space="0" w:color="auto"/>
            </w:tcBorders>
            <w:noWrap/>
            <w:vAlign w:val="bottom"/>
            <w:hideMark/>
          </w:tcPr>
          <w:p w14:paraId="70385F5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855.000,00</w:t>
            </w:r>
          </w:p>
        </w:tc>
        <w:tc>
          <w:tcPr>
            <w:tcW w:w="1095" w:type="dxa"/>
            <w:tcBorders>
              <w:top w:val="single" w:sz="4" w:space="0" w:color="auto"/>
              <w:left w:val="nil"/>
              <w:bottom w:val="single" w:sz="4" w:space="0" w:color="auto"/>
              <w:right w:val="single" w:sz="4" w:space="0" w:color="auto"/>
            </w:tcBorders>
            <w:noWrap/>
            <w:vAlign w:val="bottom"/>
            <w:hideMark/>
          </w:tcPr>
          <w:p w14:paraId="3DAF40B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07525C5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36414BE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19F0EA7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3023</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4A6079B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Program: Program javnih potreba u kulturi</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722AB6E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206.902,39</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6BB6953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209.652,39</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5686C00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195.470,87</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0A81F28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93,24%</w:t>
            </w:r>
          </w:p>
        </w:tc>
      </w:tr>
      <w:tr w:rsidR="00416D67" w:rsidRPr="00416D67" w14:paraId="493D48E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208CAB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2656598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Financiranje programa i projekata udruga u kulturi</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9B5519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1C0895A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062FD0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16.000,00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409257C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19A0184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F228BD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B5B098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E8A2F4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644948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002E1D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1D78847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CF533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5B7A05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08F417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2D0130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375E90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4C0E974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37E661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131EE47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23302D0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16.000,00</w:t>
            </w:r>
          </w:p>
        </w:tc>
        <w:tc>
          <w:tcPr>
            <w:tcW w:w="1070" w:type="dxa"/>
            <w:tcBorders>
              <w:top w:val="single" w:sz="4" w:space="0" w:color="auto"/>
              <w:left w:val="nil"/>
              <w:bottom w:val="single" w:sz="4" w:space="0" w:color="auto"/>
              <w:right w:val="single" w:sz="4" w:space="0" w:color="auto"/>
            </w:tcBorders>
            <w:noWrap/>
            <w:vAlign w:val="bottom"/>
            <w:hideMark/>
          </w:tcPr>
          <w:p w14:paraId="0A3B75E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16.000,00</w:t>
            </w:r>
          </w:p>
        </w:tc>
        <w:tc>
          <w:tcPr>
            <w:tcW w:w="1095" w:type="dxa"/>
            <w:tcBorders>
              <w:top w:val="single" w:sz="4" w:space="0" w:color="auto"/>
              <w:left w:val="nil"/>
              <w:bottom w:val="single" w:sz="4" w:space="0" w:color="auto"/>
              <w:right w:val="single" w:sz="4" w:space="0" w:color="auto"/>
            </w:tcBorders>
            <w:noWrap/>
            <w:vAlign w:val="bottom"/>
            <w:hideMark/>
          </w:tcPr>
          <w:p w14:paraId="2626E00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16.000,00</w:t>
            </w:r>
          </w:p>
        </w:tc>
        <w:tc>
          <w:tcPr>
            <w:tcW w:w="918" w:type="dxa"/>
            <w:tcBorders>
              <w:top w:val="single" w:sz="4" w:space="0" w:color="auto"/>
              <w:left w:val="nil"/>
              <w:bottom w:val="single" w:sz="4" w:space="0" w:color="auto"/>
              <w:right w:val="single" w:sz="4" w:space="0" w:color="auto"/>
            </w:tcBorders>
            <w:noWrap/>
            <w:vAlign w:val="bottom"/>
            <w:hideMark/>
          </w:tcPr>
          <w:p w14:paraId="3C6D66D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2D59668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6CE4479" w14:textId="77777777" w:rsidR="00416D67" w:rsidRPr="00416D67" w:rsidRDefault="00416D67" w:rsidP="00416D67">
            <w:pPr>
              <w:rPr>
                <w:rFonts w:ascii="Arial" w:hAnsi="Arial" w:cs="Arial"/>
                <w:sz w:val="14"/>
                <w:szCs w:val="14"/>
              </w:rPr>
            </w:pPr>
            <w:r w:rsidRPr="00416D67">
              <w:rPr>
                <w:rFonts w:ascii="Arial" w:hAnsi="Arial" w:cs="Arial"/>
                <w:sz w:val="14"/>
                <w:szCs w:val="14"/>
              </w:rPr>
              <w:lastRenderedPageBreak/>
              <w:t>3811</w:t>
            </w:r>
          </w:p>
        </w:tc>
        <w:tc>
          <w:tcPr>
            <w:tcW w:w="8106" w:type="dxa"/>
            <w:tcBorders>
              <w:top w:val="single" w:sz="4" w:space="0" w:color="auto"/>
              <w:left w:val="nil"/>
              <w:bottom w:val="single" w:sz="4" w:space="0" w:color="auto"/>
              <w:right w:val="single" w:sz="4" w:space="0" w:color="auto"/>
            </w:tcBorders>
            <w:noWrap/>
            <w:vAlign w:val="bottom"/>
            <w:hideMark/>
          </w:tcPr>
          <w:p w14:paraId="1225D351" w14:textId="77777777" w:rsidR="00416D67" w:rsidRPr="00416D67" w:rsidRDefault="00416D67" w:rsidP="00416D67">
            <w:pPr>
              <w:rPr>
                <w:rFonts w:ascii="Arial" w:hAnsi="Arial" w:cs="Arial"/>
                <w:sz w:val="14"/>
                <w:szCs w:val="14"/>
              </w:rPr>
            </w:pPr>
            <w:r w:rsidRPr="00416D67">
              <w:rPr>
                <w:rFonts w:ascii="Arial" w:hAnsi="Arial" w:cs="Arial"/>
                <w:sz w:val="14"/>
                <w:szCs w:val="14"/>
              </w:rPr>
              <w:t>Tekuće donacije u novcu</w:t>
            </w:r>
          </w:p>
        </w:tc>
        <w:tc>
          <w:tcPr>
            <w:tcW w:w="1095" w:type="dxa"/>
            <w:tcBorders>
              <w:top w:val="single" w:sz="4" w:space="0" w:color="auto"/>
              <w:left w:val="nil"/>
              <w:bottom w:val="single" w:sz="4" w:space="0" w:color="auto"/>
              <w:right w:val="single" w:sz="4" w:space="0" w:color="auto"/>
            </w:tcBorders>
            <w:noWrap/>
            <w:vAlign w:val="bottom"/>
            <w:hideMark/>
          </w:tcPr>
          <w:p w14:paraId="5028797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BC9403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2B18AB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16.000,00</w:t>
            </w:r>
          </w:p>
        </w:tc>
        <w:tc>
          <w:tcPr>
            <w:tcW w:w="918" w:type="dxa"/>
            <w:tcBorders>
              <w:top w:val="single" w:sz="4" w:space="0" w:color="auto"/>
              <w:left w:val="nil"/>
              <w:bottom w:val="single" w:sz="4" w:space="0" w:color="auto"/>
              <w:right w:val="single" w:sz="4" w:space="0" w:color="auto"/>
            </w:tcBorders>
            <w:noWrap/>
            <w:vAlign w:val="bottom"/>
            <w:hideMark/>
          </w:tcPr>
          <w:p w14:paraId="6022AD2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C5C3D0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9BEBC6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A100004</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054DBAB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Obilježavanje dana starijih osoba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1FFEFE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22A2E4A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E29D66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0613B03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775E2D3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99DB924"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2D4692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9D1E2A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3F17F4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2ACB9B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177AF23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2F8D770"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F6DE2B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59E75A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B14108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BCA35B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0C9BF41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2AAE7E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518F13B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78F3E69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w:t>
            </w:r>
          </w:p>
        </w:tc>
        <w:tc>
          <w:tcPr>
            <w:tcW w:w="1070" w:type="dxa"/>
            <w:tcBorders>
              <w:top w:val="single" w:sz="4" w:space="0" w:color="auto"/>
              <w:left w:val="nil"/>
              <w:bottom w:val="single" w:sz="4" w:space="0" w:color="auto"/>
              <w:right w:val="single" w:sz="4" w:space="0" w:color="auto"/>
            </w:tcBorders>
            <w:noWrap/>
            <w:vAlign w:val="bottom"/>
            <w:hideMark/>
          </w:tcPr>
          <w:p w14:paraId="3FE1EE8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w:t>
            </w:r>
          </w:p>
        </w:tc>
        <w:tc>
          <w:tcPr>
            <w:tcW w:w="1095" w:type="dxa"/>
            <w:tcBorders>
              <w:top w:val="single" w:sz="4" w:space="0" w:color="auto"/>
              <w:left w:val="nil"/>
              <w:bottom w:val="single" w:sz="4" w:space="0" w:color="auto"/>
              <w:right w:val="single" w:sz="4" w:space="0" w:color="auto"/>
            </w:tcBorders>
            <w:noWrap/>
            <w:vAlign w:val="bottom"/>
            <w:hideMark/>
          </w:tcPr>
          <w:p w14:paraId="5989339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7F8E2E8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5B62240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5F00AB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A100005</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74D8120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Aktivnost: </w:t>
            </w:r>
            <w:proofErr w:type="spellStart"/>
            <w:r w:rsidRPr="00416D67">
              <w:rPr>
                <w:rFonts w:ascii="Arial" w:hAnsi="Arial" w:cs="Arial"/>
                <w:b/>
                <w:bCs/>
                <w:sz w:val="14"/>
                <w:szCs w:val="14"/>
              </w:rPr>
              <w:t>Obiježavanje</w:t>
            </w:r>
            <w:proofErr w:type="spellEnd"/>
            <w:r w:rsidRPr="00416D67">
              <w:rPr>
                <w:rFonts w:ascii="Arial" w:hAnsi="Arial" w:cs="Arial"/>
                <w:b/>
                <w:bCs/>
                <w:sz w:val="14"/>
                <w:szCs w:val="14"/>
              </w:rPr>
              <w:t xml:space="preserve"> djela Mije Mirkovića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0397B6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5840E46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C88360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9.772,38</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208CFA1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57,48%</w:t>
            </w:r>
          </w:p>
        </w:tc>
      </w:tr>
      <w:tr w:rsidR="00416D67" w:rsidRPr="00416D67" w14:paraId="3FA3C14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F0C45A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4D90B3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58FCD8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8CD068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4.772,38</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C7FD88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39,77%</w:t>
            </w:r>
          </w:p>
        </w:tc>
      </w:tr>
      <w:tr w:rsidR="00416D67" w:rsidRPr="00416D67" w14:paraId="2835E61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83AF77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9348A4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FAA0E9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9FEFBF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4.772,38</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616152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39,77%</w:t>
            </w:r>
          </w:p>
        </w:tc>
      </w:tr>
      <w:tr w:rsidR="00416D67" w:rsidRPr="00416D67" w14:paraId="64C162DC"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36C7C17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Organizacijska klasifikacija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854C66C"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07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74CE3D1"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BCCA6D0"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9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52843E4"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2025/2024.           (3/2)</w:t>
            </w:r>
          </w:p>
        </w:tc>
      </w:tr>
      <w:tr w:rsidR="00416D67" w:rsidRPr="00416D67" w14:paraId="28CEFAE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9FA746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Izvori</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484F7AA4"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2C20B168"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7D42B5B9"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03427D56" w14:textId="77777777" w:rsidR="00416D67" w:rsidRPr="00416D67" w:rsidRDefault="00416D67" w:rsidP="00416D67">
            <w:pPr>
              <w:rPr>
                <w:rFonts w:ascii="Arial" w:hAnsi="Arial" w:cs="Arial"/>
                <w:sz w:val="14"/>
                <w:szCs w:val="14"/>
              </w:rPr>
            </w:pPr>
          </w:p>
        </w:tc>
      </w:tr>
      <w:tr w:rsidR="00416D67" w:rsidRPr="00416D67" w14:paraId="001F7D5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000000"/>
            </w:tcBorders>
            <w:shd w:val="clear" w:color="000000" w:fill="D9D9D9"/>
            <w:hideMark/>
          </w:tcPr>
          <w:p w14:paraId="277D0FC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Projekt/Aktivnost</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03D3CA59"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6F066583"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637140BC"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0ACD46BD" w14:textId="77777777" w:rsidR="00416D67" w:rsidRPr="00416D67" w:rsidRDefault="00416D67" w:rsidP="00416D67">
            <w:pPr>
              <w:rPr>
                <w:rFonts w:ascii="Arial" w:hAnsi="Arial" w:cs="Arial"/>
                <w:sz w:val="14"/>
                <w:szCs w:val="14"/>
              </w:rPr>
            </w:pPr>
          </w:p>
        </w:tc>
      </w:tr>
      <w:tr w:rsidR="00416D67" w:rsidRPr="00416D67" w14:paraId="4A572D9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318C47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783673E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5C096F9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12.000,00</w:t>
            </w:r>
          </w:p>
        </w:tc>
        <w:tc>
          <w:tcPr>
            <w:tcW w:w="1070" w:type="dxa"/>
            <w:tcBorders>
              <w:top w:val="single" w:sz="4" w:space="0" w:color="auto"/>
              <w:left w:val="nil"/>
              <w:bottom w:val="single" w:sz="4" w:space="0" w:color="auto"/>
              <w:right w:val="single" w:sz="4" w:space="0" w:color="auto"/>
            </w:tcBorders>
            <w:noWrap/>
            <w:vAlign w:val="bottom"/>
            <w:hideMark/>
          </w:tcPr>
          <w:p w14:paraId="710B95E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12.000,00</w:t>
            </w:r>
          </w:p>
        </w:tc>
        <w:tc>
          <w:tcPr>
            <w:tcW w:w="1095" w:type="dxa"/>
            <w:tcBorders>
              <w:top w:val="single" w:sz="4" w:space="0" w:color="auto"/>
              <w:left w:val="nil"/>
              <w:bottom w:val="single" w:sz="4" w:space="0" w:color="auto"/>
              <w:right w:val="single" w:sz="4" w:space="0" w:color="auto"/>
            </w:tcBorders>
            <w:noWrap/>
            <w:vAlign w:val="bottom"/>
            <w:hideMark/>
          </w:tcPr>
          <w:p w14:paraId="64829DC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272,38</w:t>
            </w:r>
          </w:p>
        </w:tc>
        <w:tc>
          <w:tcPr>
            <w:tcW w:w="918" w:type="dxa"/>
            <w:tcBorders>
              <w:top w:val="single" w:sz="4" w:space="0" w:color="auto"/>
              <w:left w:val="nil"/>
              <w:bottom w:val="single" w:sz="4" w:space="0" w:color="auto"/>
              <w:right w:val="single" w:sz="4" w:space="0" w:color="auto"/>
            </w:tcBorders>
            <w:noWrap/>
            <w:vAlign w:val="bottom"/>
            <w:hideMark/>
          </w:tcPr>
          <w:p w14:paraId="01EBB3A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2,27%</w:t>
            </w:r>
          </w:p>
        </w:tc>
      </w:tr>
      <w:tr w:rsidR="00416D67" w:rsidRPr="00416D67" w14:paraId="7495110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D7D98C3" w14:textId="77777777" w:rsidR="00416D67" w:rsidRPr="00416D67" w:rsidRDefault="00416D67" w:rsidP="00416D67">
            <w:pPr>
              <w:rPr>
                <w:rFonts w:ascii="Arial" w:hAnsi="Arial" w:cs="Arial"/>
                <w:sz w:val="14"/>
                <w:szCs w:val="14"/>
              </w:rPr>
            </w:pPr>
            <w:r w:rsidRPr="00416D67">
              <w:rPr>
                <w:rFonts w:ascii="Arial" w:hAnsi="Arial" w:cs="Arial"/>
                <w:sz w:val="14"/>
                <w:szCs w:val="14"/>
              </w:rPr>
              <w:t>3293</w:t>
            </w:r>
          </w:p>
        </w:tc>
        <w:tc>
          <w:tcPr>
            <w:tcW w:w="8106" w:type="dxa"/>
            <w:tcBorders>
              <w:top w:val="single" w:sz="4" w:space="0" w:color="auto"/>
              <w:left w:val="nil"/>
              <w:bottom w:val="single" w:sz="4" w:space="0" w:color="auto"/>
              <w:right w:val="single" w:sz="4" w:space="0" w:color="auto"/>
            </w:tcBorders>
            <w:noWrap/>
            <w:vAlign w:val="bottom"/>
            <w:hideMark/>
          </w:tcPr>
          <w:p w14:paraId="265A2837" w14:textId="77777777" w:rsidR="00416D67" w:rsidRPr="00416D67" w:rsidRDefault="00416D67" w:rsidP="00416D67">
            <w:pPr>
              <w:rPr>
                <w:rFonts w:ascii="Arial" w:hAnsi="Arial" w:cs="Arial"/>
                <w:sz w:val="14"/>
                <w:szCs w:val="14"/>
              </w:rPr>
            </w:pPr>
            <w:r w:rsidRPr="00416D67">
              <w:rPr>
                <w:rFonts w:ascii="Arial" w:hAnsi="Arial" w:cs="Arial"/>
                <w:sz w:val="14"/>
                <w:szCs w:val="14"/>
              </w:rPr>
              <w:t>Reprezentacija</w:t>
            </w:r>
          </w:p>
        </w:tc>
        <w:tc>
          <w:tcPr>
            <w:tcW w:w="1095" w:type="dxa"/>
            <w:tcBorders>
              <w:top w:val="single" w:sz="4" w:space="0" w:color="auto"/>
              <w:left w:val="nil"/>
              <w:bottom w:val="single" w:sz="4" w:space="0" w:color="auto"/>
              <w:right w:val="single" w:sz="4" w:space="0" w:color="auto"/>
            </w:tcBorders>
            <w:noWrap/>
            <w:vAlign w:val="bottom"/>
            <w:hideMark/>
          </w:tcPr>
          <w:p w14:paraId="6BC5825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3275FC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89283C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200,00</w:t>
            </w:r>
          </w:p>
        </w:tc>
        <w:tc>
          <w:tcPr>
            <w:tcW w:w="918" w:type="dxa"/>
            <w:tcBorders>
              <w:top w:val="single" w:sz="4" w:space="0" w:color="auto"/>
              <w:left w:val="nil"/>
              <w:bottom w:val="single" w:sz="4" w:space="0" w:color="auto"/>
              <w:right w:val="single" w:sz="4" w:space="0" w:color="auto"/>
            </w:tcBorders>
            <w:noWrap/>
            <w:vAlign w:val="bottom"/>
            <w:hideMark/>
          </w:tcPr>
          <w:p w14:paraId="57D72AE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4729F4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5BABC65" w14:textId="77777777" w:rsidR="00416D67" w:rsidRPr="00416D67" w:rsidRDefault="00416D67" w:rsidP="00416D67">
            <w:pPr>
              <w:rPr>
                <w:rFonts w:ascii="Arial" w:hAnsi="Arial" w:cs="Arial"/>
                <w:sz w:val="14"/>
                <w:szCs w:val="14"/>
              </w:rPr>
            </w:pPr>
            <w:r w:rsidRPr="00416D67">
              <w:rPr>
                <w:rFonts w:ascii="Arial" w:hAnsi="Arial" w:cs="Arial"/>
                <w:sz w:val="14"/>
                <w:szCs w:val="14"/>
              </w:rPr>
              <w:t>3299</w:t>
            </w:r>
          </w:p>
        </w:tc>
        <w:tc>
          <w:tcPr>
            <w:tcW w:w="8106" w:type="dxa"/>
            <w:tcBorders>
              <w:top w:val="single" w:sz="4" w:space="0" w:color="auto"/>
              <w:left w:val="nil"/>
              <w:bottom w:val="single" w:sz="4" w:space="0" w:color="auto"/>
              <w:right w:val="single" w:sz="4" w:space="0" w:color="auto"/>
            </w:tcBorders>
            <w:noWrap/>
            <w:vAlign w:val="bottom"/>
            <w:hideMark/>
          </w:tcPr>
          <w:p w14:paraId="37DA1E92" w14:textId="77777777" w:rsidR="00416D67" w:rsidRPr="00416D67" w:rsidRDefault="00416D67" w:rsidP="00416D67">
            <w:pPr>
              <w:rPr>
                <w:rFonts w:ascii="Arial" w:hAnsi="Arial" w:cs="Arial"/>
                <w:sz w:val="14"/>
                <w:szCs w:val="14"/>
              </w:rPr>
            </w:pPr>
            <w:r w:rsidRPr="00416D67">
              <w:rPr>
                <w:rFonts w:ascii="Arial" w:hAnsi="Arial" w:cs="Arial"/>
                <w:sz w:val="14"/>
                <w:szCs w:val="14"/>
              </w:rPr>
              <w:t>Ostali nespomenuti rashodi poslovanja</w:t>
            </w:r>
          </w:p>
        </w:tc>
        <w:tc>
          <w:tcPr>
            <w:tcW w:w="1095" w:type="dxa"/>
            <w:tcBorders>
              <w:top w:val="single" w:sz="4" w:space="0" w:color="auto"/>
              <w:left w:val="nil"/>
              <w:bottom w:val="single" w:sz="4" w:space="0" w:color="auto"/>
              <w:right w:val="single" w:sz="4" w:space="0" w:color="auto"/>
            </w:tcBorders>
            <w:noWrap/>
            <w:vAlign w:val="bottom"/>
            <w:hideMark/>
          </w:tcPr>
          <w:p w14:paraId="45D3A38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33444E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74374B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72,38</w:t>
            </w:r>
          </w:p>
        </w:tc>
        <w:tc>
          <w:tcPr>
            <w:tcW w:w="918" w:type="dxa"/>
            <w:tcBorders>
              <w:top w:val="single" w:sz="4" w:space="0" w:color="auto"/>
              <w:left w:val="nil"/>
              <w:bottom w:val="single" w:sz="4" w:space="0" w:color="auto"/>
              <w:right w:val="single" w:sz="4" w:space="0" w:color="auto"/>
            </w:tcBorders>
            <w:noWrap/>
            <w:vAlign w:val="bottom"/>
            <w:hideMark/>
          </w:tcPr>
          <w:p w14:paraId="21E11F1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6B094F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C56470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36</w:t>
            </w:r>
          </w:p>
        </w:tc>
        <w:tc>
          <w:tcPr>
            <w:tcW w:w="8106" w:type="dxa"/>
            <w:tcBorders>
              <w:top w:val="single" w:sz="4" w:space="0" w:color="auto"/>
              <w:left w:val="nil"/>
              <w:bottom w:val="single" w:sz="4" w:space="0" w:color="auto"/>
              <w:right w:val="single" w:sz="4" w:space="0" w:color="auto"/>
            </w:tcBorders>
            <w:noWrap/>
            <w:vAlign w:val="bottom"/>
            <w:hideMark/>
          </w:tcPr>
          <w:p w14:paraId="24EFD3A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Pomoći dane u inozemstvo i unutar općeg proračuna</w:t>
            </w:r>
          </w:p>
        </w:tc>
        <w:tc>
          <w:tcPr>
            <w:tcW w:w="1095" w:type="dxa"/>
            <w:tcBorders>
              <w:top w:val="single" w:sz="4" w:space="0" w:color="auto"/>
              <w:left w:val="nil"/>
              <w:bottom w:val="single" w:sz="4" w:space="0" w:color="auto"/>
              <w:right w:val="single" w:sz="4" w:space="0" w:color="auto"/>
            </w:tcBorders>
            <w:noWrap/>
            <w:vAlign w:val="bottom"/>
            <w:hideMark/>
          </w:tcPr>
          <w:p w14:paraId="1F96732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1070" w:type="dxa"/>
            <w:tcBorders>
              <w:top w:val="single" w:sz="4" w:space="0" w:color="auto"/>
              <w:left w:val="nil"/>
              <w:bottom w:val="single" w:sz="4" w:space="0" w:color="auto"/>
              <w:right w:val="single" w:sz="4" w:space="0" w:color="auto"/>
            </w:tcBorders>
            <w:noWrap/>
            <w:vAlign w:val="bottom"/>
            <w:hideMark/>
          </w:tcPr>
          <w:p w14:paraId="69CD34D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1095" w:type="dxa"/>
            <w:tcBorders>
              <w:top w:val="single" w:sz="4" w:space="0" w:color="auto"/>
              <w:left w:val="nil"/>
              <w:bottom w:val="single" w:sz="4" w:space="0" w:color="auto"/>
              <w:right w:val="single" w:sz="4" w:space="0" w:color="auto"/>
            </w:tcBorders>
            <w:noWrap/>
            <w:vAlign w:val="bottom"/>
            <w:hideMark/>
          </w:tcPr>
          <w:p w14:paraId="00716F2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4.500,00</w:t>
            </w:r>
          </w:p>
        </w:tc>
        <w:tc>
          <w:tcPr>
            <w:tcW w:w="918" w:type="dxa"/>
            <w:tcBorders>
              <w:top w:val="single" w:sz="4" w:space="0" w:color="auto"/>
              <w:left w:val="nil"/>
              <w:bottom w:val="single" w:sz="4" w:space="0" w:color="auto"/>
              <w:right w:val="single" w:sz="4" w:space="0" w:color="auto"/>
            </w:tcBorders>
            <w:noWrap/>
            <w:vAlign w:val="bottom"/>
            <w:hideMark/>
          </w:tcPr>
          <w:p w14:paraId="1AC3055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r>
      <w:tr w:rsidR="00416D67" w:rsidRPr="00416D67" w14:paraId="2C248B5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F500CE7" w14:textId="77777777" w:rsidR="00416D67" w:rsidRPr="00416D67" w:rsidRDefault="00416D67" w:rsidP="00416D67">
            <w:pPr>
              <w:rPr>
                <w:rFonts w:ascii="Arial" w:hAnsi="Arial" w:cs="Arial"/>
                <w:sz w:val="14"/>
                <w:szCs w:val="14"/>
              </w:rPr>
            </w:pPr>
            <w:r w:rsidRPr="00416D67">
              <w:rPr>
                <w:rFonts w:ascii="Arial" w:hAnsi="Arial" w:cs="Arial"/>
                <w:sz w:val="14"/>
                <w:szCs w:val="14"/>
              </w:rPr>
              <w:t>3661</w:t>
            </w:r>
          </w:p>
        </w:tc>
        <w:tc>
          <w:tcPr>
            <w:tcW w:w="8106" w:type="dxa"/>
            <w:tcBorders>
              <w:top w:val="single" w:sz="4" w:space="0" w:color="auto"/>
              <w:left w:val="nil"/>
              <w:bottom w:val="single" w:sz="4" w:space="0" w:color="auto"/>
              <w:right w:val="single" w:sz="4" w:space="0" w:color="auto"/>
            </w:tcBorders>
            <w:noWrap/>
            <w:vAlign w:val="bottom"/>
            <w:hideMark/>
          </w:tcPr>
          <w:p w14:paraId="3D0BE66A" w14:textId="77777777" w:rsidR="00416D67" w:rsidRPr="00416D67" w:rsidRDefault="00416D67" w:rsidP="00416D67">
            <w:pPr>
              <w:rPr>
                <w:rFonts w:ascii="Arial" w:hAnsi="Arial" w:cs="Arial"/>
                <w:sz w:val="14"/>
                <w:szCs w:val="14"/>
              </w:rPr>
            </w:pPr>
            <w:r w:rsidRPr="00416D67">
              <w:rPr>
                <w:rFonts w:ascii="Arial" w:hAnsi="Arial" w:cs="Arial"/>
                <w:sz w:val="14"/>
                <w:szCs w:val="14"/>
              </w:rPr>
              <w:t>Tekuće pomoći proračunskim korisnicima drugih proračuna</w:t>
            </w:r>
          </w:p>
        </w:tc>
        <w:tc>
          <w:tcPr>
            <w:tcW w:w="1095" w:type="dxa"/>
            <w:tcBorders>
              <w:top w:val="single" w:sz="4" w:space="0" w:color="auto"/>
              <w:left w:val="nil"/>
              <w:bottom w:val="single" w:sz="4" w:space="0" w:color="auto"/>
              <w:right w:val="single" w:sz="4" w:space="0" w:color="auto"/>
            </w:tcBorders>
            <w:noWrap/>
            <w:vAlign w:val="bottom"/>
            <w:hideMark/>
          </w:tcPr>
          <w:p w14:paraId="0C934AF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9AF08F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AF7F0E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4.500,00</w:t>
            </w:r>
          </w:p>
        </w:tc>
        <w:tc>
          <w:tcPr>
            <w:tcW w:w="918" w:type="dxa"/>
            <w:tcBorders>
              <w:top w:val="single" w:sz="4" w:space="0" w:color="auto"/>
              <w:left w:val="nil"/>
              <w:bottom w:val="single" w:sz="4" w:space="0" w:color="auto"/>
              <w:right w:val="single" w:sz="4" w:space="0" w:color="auto"/>
            </w:tcBorders>
            <w:noWrap/>
            <w:vAlign w:val="bottom"/>
            <w:hideMark/>
          </w:tcPr>
          <w:p w14:paraId="34E0B8F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2120C6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1013CA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 Pomoći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7809C2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BF4251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03FCCC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A9FDDF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4A51D4D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9723624"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5.1.1 Pomoći Istarska županija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D93C67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9309BD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8D7693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AEB275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4976A10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05FA6A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30885CD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7A5F2CC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5.000,00</w:t>
            </w:r>
          </w:p>
        </w:tc>
        <w:tc>
          <w:tcPr>
            <w:tcW w:w="1070" w:type="dxa"/>
            <w:tcBorders>
              <w:top w:val="single" w:sz="4" w:space="0" w:color="auto"/>
              <w:left w:val="nil"/>
              <w:bottom w:val="single" w:sz="4" w:space="0" w:color="auto"/>
              <w:right w:val="single" w:sz="4" w:space="0" w:color="auto"/>
            </w:tcBorders>
            <w:noWrap/>
            <w:vAlign w:val="bottom"/>
            <w:hideMark/>
          </w:tcPr>
          <w:p w14:paraId="3044B0D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5.000,00</w:t>
            </w:r>
          </w:p>
        </w:tc>
        <w:tc>
          <w:tcPr>
            <w:tcW w:w="1095" w:type="dxa"/>
            <w:tcBorders>
              <w:top w:val="single" w:sz="4" w:space="0" w:color="auto"/>
              <w:left w:val="nil"/>
              <w:bottom w:val="single" w:sz="4" w:space="0" w:color="auto"/>
              <w:right w:val="single" w:sz="4" w:space="0" w:color="auto"/>
            </w:tcBorders>
            <w:noWrap/>
            <w:vAlign w:val="bottom"/>
            <w:hideMark/>
          </w:tcPr>
          <w:p w14:paraId="56421CD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415A8A4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3BF1FAF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70C52F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36</w:t>
            </w:r>
          </w:p>
        </w:tc>
        <w:tc>
          <w:tcPr>
            <w:tcW w:w="8106" w:type="dxa"/>
            <w:tcBorders>
              <w:top w:val="single" w:sz="4" w:space="0" w:color="auto"/>
              <w:left w:val="nil"/>
              <w:bottom w:val="single" w:sz="4" w:space="0" w:color="auto"/>
              <w:right w:val="single" w:sz="4" w:space="0" w:color="auto"/>
            </w:tcBorders>
            <w:noWrap/>
            <w:vAlign w:val="bottom"/>
            <w:hideMark/>
          </w:tcPr>
          <w:p w14:paraId="5ED7F49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Pomoći dane u inozemstvo i unutar općeg proračuna</w:t>
            </w:r>
          </w:p>
        </w:tc>
        <w:tc>
          <w:tcPr>
            <w:tcW w:w="1095" w:type="dxa"/>
            <w:tcBorders>
              <w:top w:val="single" w:sz="4" w:space="0" w:color="auto"/>
              <w:left w:val="nil"/>
              <w:bottom w:val="single" w:sz="4" w:space="0" w:color="auto"/>
              <w:right w:val="single" w:sz="4" w:space="0" w:color="auto"/>
            </w:tcBorders>
            <w:noWrap/>
            <w:vAlign w:val="bottom"/>
            <w:hideMark/>
          </w:tcPr>
          <w:p w14:paraId="1DCF58C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1070" w:type="dxa"/>
            <w:tcBorders>
              <w:top w:val="single" w:sz="4" w:space="0" w:color="auto"/>
              <w:left w:val="nil"/>
              <w:bottom w:val="single" w:sz="4" w:space="0" w:color="auto"/>
              <w:right w:val="single" w:sz="4" w:space="0" w:color="auto"/>
            </w:tcBorders>
            <w:noWrap/>
            <w:vAlign w:val="bottom"/>
            <w:hideMark/>
          </w:tcPr>
          <w:p w14:paraId="368D201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1095" w:type="dxa"/>
            <w:tcBorders>
              <w:top w:val="single" w:sz="4" w:space="0" w:color="auto"/>
              <w:left w:val="nil"/>
              <w:bottom w:val="single" w:sz="4" w:space="0" w:color="auto"/>
              <w:right w:val="single" w:sz="4" w:space="0" w:color="auto"/>
            </w:tcBorders>
            <w:noWrap/>
            <w:vAlign w:val="bottom"/>
            <w:hideMark/>
          </w:tcPr>
          <w:p w14:paraId="5F15A1E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5.000,00</w:t>
            </w:r>
          </w:p>
        </w:tc>
        <w:tc>
          <w:tcPr>
            <w:tcW w:w="918" w:type="dxa"/>
            <w:tcBorders>
              <w:top w:val="single" w:sz="4" w:space="0" w:color="auto"/>
              <w:left w:val="nil"/>
              <w:bottom w:val="single" w:sz="4" w:space="0" w:color="auto"/>
              <w:right w:val="single" w:sz="4" w:space="0" w:color="auto"/>
            </w:tcBorders>
            <w:noWrap/>
            <w:vAlign w:val="bottom"/>
            <w:hideMark/>
          </w:tcPr>
          <w:p w14:paraId="5BF0B23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r>
      <w:tr w:rsidR="00416D67" w:rsidRPr="00416D67" w14:paraId="224D45F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D36A449" w14:textId="77777777" w:rsidR="00416D67" w:rsidRPr="00416D67" w:rsidRDefault="00416D67" w:rsidP="00416D67">
            <w:pPr>
              <w:rPr>
                <w:rFonts w:ascii="Arial" w:hAnsi="Arial" w:cs="Arial"/>
                <w:sz w:val="14"/>
                <w:szCs w:val="14"/>
              </w:rPr>
            </w:pPr>
            <w:r w:rsidRPr="00416D67">
              <w:rPr>
                <w:rFonts w:ascii="Arial" w:hAnsi="Arial" w:cs="Arial"/>
                <w:sz w:val="14"/>
                <w:szCs w:val="14"/>
              </w:rPr>
              <w:t>3661</w:t>
            </w:r>
          </w:p>
        </w:tc>
        <w:tc>
          <w:tcPr>
            <w:tcW w:w="8106" w:type="dxa"/>
            <w:tcBorders>
              <w:top w:val="single" w:sz="4" w:space="0" w:color="auto"/>
              <w:left w:val="nil"/>
              <w:bottom w:val="single" w:sz="4" w:space="0" w:color="auto"/>
              <w:right w:val="single" w:sz="4" w:space="0" w:color="auto"/>
            </w:tcBorders>
            <w:noWrap/>
            <w:vAlign w:val="bottom"/>
            <w:hideMark/>
          </w:tcPr>
          <w:p w14:paraId="44495F55" w14:textId="77777777" w:rsidR="00416D67" w:rsidRPr="00416D67" w:rsidRDefault="00416D67" w:rsidP="00416D67">
            <w:pPr>
              <w:rPr>
                <w:rFonts w:ascii="Arial" w:hAnsi="Arial" w:cs="Arial"/>
                <w:sz w:val="14"/>
                <w:szCs w:val="14"/>
              </w:rPr>
            </w:pPr>
            <w:r w:rsidRPr="00416D67">
              <w:rPr>
                <w:rFonts w:ascii="Arial" w:hAnsi="Arial" w:cs="Arial"/>
                <w:sz w:val="14"/>
                <w:szCs w:val="14"/>
              </w:rPr>
              <w:t>Tekuće pomoći proračunskim korisnicima drugih proračuna</w:t>
            </w:r>
          </w:p>
        </w:tc>
        <w:tc>
          <w:tcPr>
            <w:tcW w:w="1095" w:type="dxa"/>
            <w:tcBorders>
              <w:top w:val="single" w:sz="4" w:space="0" w:color="auto"/>
              <w:left w:val="nil"/>
              <w:bottom w:val="single" w:sz="4" w:space="0" w:color="auto"/>
              <w:right w:val="single" w:sz="4" w:space="0" w:color="auto"/>
            </w:tcBorders>
            <w:noWrap/>
            <w:vAlign w:val="bottom"/>
            <w:hideMark/>
          </w:tcPr>
          <w:p w14:paraId="4DDB1F6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A50EFA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E08060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5.000,00</w:t>
            </w:r>
          </w:p>
        </w:tc>
        <w:tc>
          <w:tcPr>
            <w:tcW w:w="918" w:type="dxa"/>
            <w:tcBorders>
              <w:top w:val="single" w:sz="4" w:space="0" w:color="auto"/>
              <w:left w:val="nil"/>
              <w:bottom w:val="single" w:sz="4" w:space="0" w:color="auto"/>
              <w:right w:val="single" w:sz="4" w:space="0" w:color="auto"/>
            </w:tcBorders>
            <w:noWrap/>
            <w:vAlign w:val="bottom"/>
            <w:hideMark/>
          </w:tcPr>
          <w:p w14:paraId="54DC4B9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37040F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981C13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A100006</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51DF16F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Izrada autorskih fotografija za potrebe izrade monografije Općine Marčana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68067A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11.600,00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371569C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11.600,00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B87D7B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11.595,80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356BCBA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99,96%</w:t>
            </w:r>
          </w:p>
        </w:tc>
      </w:tr>
      <w:tr w:rsidR="00416D67" w:rsidRPr="00416D67" w14:paraId="39AAF90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478731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BE4C1E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11.600,00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1F0894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11.600,00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3CE222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11.595,80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601446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99,96%</w:t>
            </w:r>
          </w:p>
        </w:tc>
      </w:tr>
      <w:tr w:rsidR="00416D67" w:rsidRPr="00416D67" w14:paraId="0A22BAE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F1FEC1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6B1F05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11.600,00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35D674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11.600,00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14F374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11.595,80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70872A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99,96%</w:t>
            </w:r>
          </w:p>
        </w:tc>
      </w:tr>
      <w:tr w:rsidR="00416D67" w:rsidRPr="00416D67" w14:paraId="1171827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167C6D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3543168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69C4AB6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11.600,00</w:t>
            </w:r>
          </w:p>
        </w:tc>
        <w:tc>
          <w:tcPr>
            <w:tcW w:w="1070" w:type="dxa"/>
            <w:tcBorders>
              <w:top w:val="single" w:sz="4" w:space="0" w:color="auto"/>
              <w:left w:val="nil"/>
              <w:bottom w:val="single" w:sz="4" w:space="0" w:color="auto"/>
              <w:right w:val="single" w:sz="4" w:space="0" w:color="auto"/>
            </w:tcBorders>
            <w:noWrap/>
            <w:vAlign w:val="bottom"/>
            <w:hideMark/>
          </w:tcPr>
          <w:p w14:paraId="38F1B27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11.600,00</w:t>
            </w:r>
          </w:p>
        </w:tc>
        <w:tc>
          <w:tcPr>
            <w:tcW w:w="1095" w:type="dxa"/>
            <w:tcBorders>
              <w:top w:val="single" w:sz="4" w:space="0" w:color="auto"/>
              <w:left w:val="nil"/>
              <w:bottom w:val="single" w:sz="4" w:space="0" w:color="auto"/>
              <w:right w:val="single" w:sz="4" w:space="0" w:color="auto"/>
            </w:tcBorders>
            <w:noWrap/>
            <w:vAlign w:val="bottom"/>
            <w:hideMark/>
          </w:tcPr>
          <w:p w14:paraId="2B5863B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11.595,80</w:t>
            </w:r>
          </w:p>
        </w:tc>
        <w:tc>
          <w:tcPr>
            <w:tcW w:w="918" w:type="dxa"/>
            <w:tcBorders>
              <w:top w:val="single" w:sz="4" w:space="0" w:color="auto"/>
              <w:left w:val="nil"/>
              <w:bottom w:val="single" w:sz="4" w:space="0" w:color="auto"/>
              <w:right w:val="single" w:sz="4" w:space="0" w:color="auto"/>
            </w:tcBorders>
            <w:noWrap/>
            <w:vAlign w:val="bottom"/>
            <w:hideMark/>
          </w:tcPr>
          <w:p w14:paraId="78F606D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99,96%</w:t>
            </w:r>
          </w:p>
        </w:tc>
      </w:tr>
      <w:tr w:rsidR="00416D67" w:rsidRPr="00416D67" w14:paraId="4F6AAE2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AA785D2" w14:textId="77777777" w:rsidR="00416D67" w:rsidRPr="00416D67" w:rsidRDefault="00416D67" w:rsidP="00416D67">
            <w:pPr>
              <w:rPr>
                <w:rFonts w:ascii="Arial" w:hAnsi="Arial" w:cs="Arial"/>
                <w:sz w:val="14"/>
                <w:szCs w:val="14"/>
              </w:rPr>
            </w:pPr>
            <w:r w:rsidRPr="00416D67">
              <w:rPr>
                <w:rFonts w:ascii="Arial" w:hAnsi="Arial" w:cs="Arial"/>
                <w:sz w:val="14"/>
                <w:szCs w:val="14"/>
              </w:rPr>
              <w:t>3237</w:t>
            </w:r>
          </w:p>
        </w:tc>
        <w:tc>
          <w:tcPr>
            <w:tcW w:w="8106" w:type="dxa"/>
            <w:tcBorders>
              <w:top w:val="single" w:sz="4" w:space="0" w:color="auto"/>
              <w:left w:val="nil"/>
              <w:bottom w:val="single" w:sz="4" w:space="0" w:color="auto"/>
              <w:right w:val="single" w:sz="4" w:space="0" w:color="auto"/>
            </w:tcBorders>
            <w:noWrap/>
            <w:vAlign w:val="bottom"/>
            <w:hideMark/>
          </w:tcPr>
          <w:p w14:paraId="17C59AAA" w14:textId="77777777" w:rsidR="00416D67" w:rsidRPr="00416D67" w:rsidRDefault="00416D67" w:rsidP="00416D67">
            <w:pPr>
              <w:rPr>
                <w:rFonts w:ascii="Arial" w:hAnsi="Arial" w:cs="Arial"/>
                <w:sz w:val="14"/>
                <w:szCs w:val="14"/>
              </w:rPr>
            </w:pPr>
            <w:r w:rsidRPr="00416D67">
              <w:rPr>
                <w:rFonts w:ascii="Arial" w:hAnsi="Arial" w:cs="Arial"/>
                <w:sz w:val="14"/>
                <w:szCs w:val="14"/>
              </w:rPr>
              <w:t>Intelektualne i osobne usluge</w:t>
            </w:r>
          </w:p>
        </w:tc>
        <w:tc>
          <w:tcPr>
            <w:tcW w:w="1095" w:type="dxa"/>
            <w:tcBorders>
              <w:top w:val="single" w:sz="4" w:space="0" w:color="auto"/>
              <w:left w:val="nil"/>
              <w:bottom w:val="single" w:sz="4" w:space="0" w:color="auto"/>
              <w:right w:val="single" w:sz="4" w:space="0" w:color="auto"/>
            </w:tcBorders>
            <w:noWrap/>
            <w:vAlign w:val="bottom"/>
            <w:hideMark/>
          </w:tcPr>
          <w:p w14:paraId="12CB294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6FB412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FFECC5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11.595,80</w:t>
            </w:r>
          </w:p>
        </w:tc>
        <w:tc>
          <w:tcPr>
            <w:tcW w:w="918" w:type="dxa"/>
            <w:tcBorders>
              <w:top w:val="single" w:sz="4" w:space="0" w:color="auto"/>
              <w:left w:val="nil"/>
              <w:bottom w:val="single" w:sz="4" w:space="0" w:color="auto"/>
              <w:right w:val="single" w:sz="4" w:space="0" w:color="auto"/>
            </w:tcBorders>
            <w:noWrap/>
            <w:vAlign w:val="bottom"/>
            <w:hideMark/>
          </w:tcPr>
          <w:p w14:paraId="2CF1B2F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2572EF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AA6F50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A100008</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021269C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Aktivnost: </w:t>
            </w:r>
            <w:proofErr w:type="spellStart"/>
            <w:r w:rsidRPr="00416D67">
              <w:rPr>
                <w:rFonts w:ascii="Arial" w:hAnsi="Arial" w:cs="Arial"/>
                <w:b/>
                <w:bCs/>
                <w:sz w:val="14"/>
                <w:szCs w:val="14"/>
              </w:rPr>
              <w:t>Samanj</w:t>
            </w:r>
            <w:proofErr w:type="spellEnd"/>
            <w:r w:rsidRPr="00416D67">
              <w:rPr>
                <w:rFonts w:ascii="Arial" w:hAnsi="Arial" w:cs="Arial"/>
                <w:b/>
                <w:bCs/>
                <w:sz w:val="14"/>
                <w:szCs w:val="14"/>
              </w:rPr>
              <w:t xml:space="preserve"> istarskih proizvoda i izložba </w:t>
            </w:r>
            <w:proofErr w:type="spellStart"/>
            <w:r w:rsidRPr="00416D67">
              <w:rPr>
                <w:rFonts w:ascii="Arial" w:hAnsi="Arial" w:cs="Arial"/>
                <w:b/>
                <w:bCs/>
                <w:sz w:val="14"/>
                <w:szCs w:val="14"/>
              </w:rPr>
              <w:t>Oldtimera</w:t>
            </w:r>
            <w:proofErr w:type="spellEnd"/>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771C50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02A0521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B7953A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894,17</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588C1D9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99,35%</w:t>
            </w:r>
          </w:p>
        </w:tc>
      </w:tr>
      <w:tr w:rsidR="00416D67" w:rsidRPr="00416D67" w14:paraId="49C70E2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5B1E47E"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4978E0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530EE6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137887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894,17</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A7A1D6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99,35%</w:t>
            </w:r>
          </w:p>
        </w:tc>
      </w:tr>
      <w:tr w:rsidR="00416D67" w:rsidRPr="00416D67" w14:paraId="2D8B38F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475C3C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4E4A78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2FC823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C1D834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894,17</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34307B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99,35%</w:t>
            </w:r>
          </w:p>
        </w:tc>
      </w:tr>
      <w:tr w:rsidR="00416D67" w:rsidRPr="00416D67" w14:paraId="6F87465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1162F6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5B24848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22FD75F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900,00</w:t>
            </w:r>
          </w:p>
        </w:tc>
        <w:tc>
          <w:tcPr>
            <w:tcW w:w="1070" w:type="dxa"/>
            <w:tcBorders>
              <w:top w:val="single" w:sz="4" w:space="0" w:color="auto"/>
              <w:left w:val="nil"/>
              <w:bottom w:val="single" w:sz="4" w:space="0" w:color="auto"/>
              <w:right w:val="single" w:sz="4" w:space="0" w:color="auto"/>
            </w:tcBorders>
            <w:noWrap/>
            <w:vAlign w:val="bottom"/>
            <w:hideMark/>
          </w:tcPr>
          <w:p w14:paraId="70A3DB7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900,00</w:t>
            </w:r>
          </w:p>
        </w:tc>
        <w:tc>
          <w:tcPr>
            <w:tcW w:w="1095" w:type="dxa"/>
            <w:tcBorders>
              <w:top w:val="single" w:sz="4" w:space="0" w:color="auto"/>
              <w:left w:val="nil"/>
              <w:bottom w:val="single" w:sz="4" w:space="0" w:color="auto"/>
              <w:right w:val="single" w:sz="4" w:space="0" w:color="auto"/>
            </w:tcBorders>
            <w:noWrap/>
            <w:vAlign w:val="bottom"/>
            <w:hideMark/>
          </w:tcPr>
          <w:p w14:paraId="5927A12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894,17</w:t>
            </w:r>
          </w:p>
        </w:tc>
        <w:tc>
          <w:tcPr>
            <w:tcW w:w="918" w:type="dxa"/>
            <w:tcBorders>
              <w:top w:val="single" w:sz="4" w:space="0" w:color="auto"/>
              <w:left w:val="nil"/>
              <w:bottom w:val="single" w:sz="4" w:space="0" w:color="auto"/>
              <w:right w:val="single" w:sz="4" w:space="0" w:color="auto"/>
            </w:tcBorders>
            <w:noWrap/>
            <w:vAlign w:val="bottom"/>
            <w:hideMark/>
          </w:tcPr>
          <w:p w14:paraId="605D1F5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99,35%</w:t>
            </w:r>
          </w:p>
        </w:tc>
      </w:tr>
      <w:tr w:rsidR="00416D67" w:rsidRPr="00416D67" w14:paraId="51D2091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3A217E7" w14:textId="77777777" w:rsidR="00416D67" w:rsidRPr="00416D67" w:rsidRDefault="00416D67" w:rsidP="00416D67">
            <w:pPr>
              <w:rPr>
                <w:rFonts w:ascii="Arial" w:hAnsi="Arial" w:cs="Arial"/>
                <w:sz w:val="14"/>
                <w:szCs w:val="14"/>
              </w:rPr>
            </w:pPr>
            <w:r w:rsidRPr="00416D67">
              <w:rPr>
                <w:rFonts w:ascii="Arial" w:hAnsi="Arial" w:cs="Arial"/>
                <w:sz w:val="14"/>
                <w:szCs w:val="14"/>
              </w:rPr>
              <w:t>3293</w:t>
            </w:r>
          </w:p>
        </w:tc>
        <w:tc>
          <w:tcPr>
            <w:tcW w:w="8106" w:type="dxa"/>
            <w:tcBorders>
              <w:top w:val="single" w:sz="4" w:space="0" w:color="auto"/>
              <w:left w:val="nil"/>
              <w:bottom w:val="single" w:sz="4" w:space="0" w:color="auto"/>
              <w:right w:val="single" w:sz="4" w:space="0" w:color="auto"/>
            </w:tcBorders>
            <w:noWrap/>
            <w:vAlign w:val="bottom"/>
            <w:hideMark/>
          </w:tcPr>
          <w:p w14:paraId="6C7BB77B" w14:textId="77777777" w:rsidR="00416D67" w:rsidRPr="00416D67" w:rsidRDefault="00416D67" w:rsidP="00416D67">
            <w:pPr>
              <w:rPr>
                <w:rFonts w:ascii="Arial" w:hAnsi="Arial" w:cs="Arial"/>
                <w:sz w:val="14"/>
                <w:szCs w:val="14"/>
              </w:rPr>
            </w:pPr>
            <w:r w:rsidRPr="00416D67">
              <w:rPr>
                <w:rFonts w:ascii="Arial" w:hAnsi="Arial" w:cs="Arial"/>
                <w:sz w:val="14"/>
                <w:szCs w:val="14"/>
              </w:rPr>
              <w:t>Reprezentacija</w:t>
            </w:r>
          </w:p>
        </w:tc>
        <w:tc>
          <w:tcPr>
            <w:tcW w:w="1095" w:type="dxa"/>
            <w:tcBorders>
              <w:top w:val="single" w:sz="4" w:space="0" w:color="auto"/>
              <w:left w:val="nil"/>
              <w:bottom w:val="single" w:sz="4" w:space="0" w:color="auto"/>
              <w:right w:val="single" w:sz="4" w:space="0" w:color="auto"/>
            </w:tcBorders>
            <w:noWrap/>
            <w:vAlign w:val="bottom"/>
            <w:hideMark/>
          </w:tcPr>
          <w:p w14:paraId="613ADD3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2A45B12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EA99F5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894,17</w:t>
            </w:r>
          </w:p>
        </w:tc>
        <w:tc>
          <w:tcPr>
            <w:tcW w:w="918" w:type="dxa"/>
            <w:tcBorders>
              <w:top w:val="single" w:sz="4" w:space="0" w:color="auto"/>
              <w:left w:val="nil"/>
              <w:bottom w:val="single" w:sz="4" w:space="0" w:color="auto"/>
              <w:right w:val="single" w:sz="4" w:space="0" w:color="auto"/>
            </w:tcBorders>
            <w:noWrap/>
            <w:vAlign w:val="bottom"/>
            <w:hideMark/>
          </w:tcPr>
          <w:p w14:paraId="5C52068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4383BC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1B2B3B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A100009</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3FA4FB2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Sufinanciranje festivala MIK</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742C25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15.741,00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1726213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15.741,00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CD4981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15.733,74</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72DA854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99,95%</w:t>
            </w:r>
          </w:p>
        </w:tc>
      </w:tr>
      <w:tr w:rsidR="00416D67" w:rsidRPr="00416D67" w14:paraId="206D771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C5B121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CD20EC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15.741,00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18D4C3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15.741,00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4B0EF9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15.733,74</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2E403A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99,95%</w:t>
            </w:r>
          </w:p>
        </w:tc>
      </w:tr>
      <w:tr w:rsidR="00416D67" w:rsidRPr="00416D67" w14:paraId="55251AF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27F4BA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88647B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15.741,00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27B2A7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15.741,00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A18633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15.733,74</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4A3A60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99,95%</w:t>
            </w:r>
          </w:p>
        </w:tc>
      </w:tr>
      <w:tr w:rsidR="00416D67" w:rsidRPr="00416D67" w14:paraId="4E65BA8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B88F11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1F96CEE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778B9CC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12.910,00</w:t>
            </w:r>
          </w:p>
        </w:tc>
        <w:tc>
          <w:tcPr>
            <w:tcW w:w="1070" w:type="dxa"/>
            <w:tcBorders>
              <w:top w:val="single" w:sz="4" w:space="0" w:color="auto"/>
              <w:left w:val="nil"/>
              <w:bottom w:val="single" w:sz="4" w:space="0" w:color="auto"/>
              <w:right w:val="single" w:sz="4" w:space="0" w:color="auto"/>
            </w:tcBorders>
            <w:noWrap/>
            <w:vAlign w:val="bottom"/>
            <w:hideMark/>
          </w:tcPr>
          <w:p w14:paraId="420A4E9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12.910,00</w:t>
            </w:r>
          </w:p>
        </w:tc>
        <w:tc>
          <w:tcPr>
            <w:tcW w:w="1095" w:type="dxa"/>
            <w:tcBorders>
              <w:top w:val="single" w:sz="4" w:space="0" w:color="auto"/>
              <w:left w:val="nil"/>
              <w:bottom w:val="single" w:sz="4" w:space="0" w:color="auto"/>
              <w:right w:val="single" w:sz="4" w:space="0" w:color="auto"/>
            </w:tcBorders>
            <w:noWrap/>
            <w:vAlign w:val="bottom"/>
            <w:hideMark/>
          </w:tcPr>
          <w:p w14:paraId="2076D27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12.902,74</w:t>
            </w:r>
          </w:p>
        </w:tc>
        <w:tc>
          <w:tcPr>
            <w:tcW w:w="918" w:type="dxa"/>
            <w:tcBorders>
              <w:top w:val="single" w:sz="4" w:space="0" w:color="auto"/>
              <w:left w:val="nil"/>
              <w:bottom w:val="single" w:sz="4" w:space="0" w:color="auto"/>
              <w:right w:val="single" w:sz="4" w:space="0" w:color="auto"/>
            </w:tcBorders>
            <w:noWrap/>
            <w:vAlign w:val="bottom"/>
            <w:hideMark/>
          </w:tcPr>
          <w:p w14:paraId="0974517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99,94%</w:t>
            </w:r>
          </w:p>
        </w:tc>
      </w:tr>
      <w:tr w:rsidR="00416D67" w:rsidRPr="00416D67" w14:paraId="74408F0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FB11898" w14:textId="77777777" w:rsidR="00416D67" w:rsidRPr="00416D67" w:rsidRDefault="00416D67" w:rsidP="00416D67">
            <w:pPr>
              <w:rPr>
                <w:rFonts w:ascii="Arial" w:hAnsi="Arial" w:cs="Arial"/>
                <w:sz w:val="14"/>
                <w:szCs w:val="14"/>
              </w:rPr>
            </w:pPr>
            <w:r w:rsidRPr="00416D67">
              <w:rPr>
                <w:rFonts w:ascii="Arial" w:hAnsi="Arial" w:cs="Arial"/>
                <w:sz w:val="14"/>
                <w:szCs w:val="14"/>
              </w:rPr>
              <w:t>3233</w:t>
            </w:r>
          </w:p>
        </w:tc>
        <w:tc>
          <w:tcPr>
            <w:tcW w:w="8106" w:type="dxa"/>
            <w:tcBorders>
              <w:top w:val="single" w:sz="4" w:space="0" w:color="auto"/>
              <w:left w:val="nil"/>
              <w:bottom w:val="single" w:sz="4" w:space="0" w:color="auto"/>
              <w:right w:val="single" w:sz="4" w:space="0" w:color="auto"/>
            </w:tcBorders>
            <w:noWrap/>
            <w:vAlign w:val="bottom"/>
            <w:hideMark/>
          </w:tcPr>
          <w:p w14:paraId="3809535D" w14:textId="77777777" w:rsidR="00416D67" w:rsidRPr="00416D67" w:rsidRDefault="00416D67" w:rsidP="00416D67">
            <w:pPr>
              <w:rPr>
                <w:rFonts w:ascii="Arial" w:hAnsi="Arial" w:cs="Arial"/>
                <w:sz w:val="14"/>
                <w:szCs w:val="14"/>
              </w:rPr>
            </w:pPr>
            <w:r w:rsidRPr="00416D67">
              <w:rPr>
                <w:rFonts w:ascii="Arial" w:hAnsi="Arial" w:cs="Arial"/>
                <w:sz w:val="14"/>
                <w:szCs w:val="14"/>
              </w:rPr>
              <w:t>Usluge promidžbe i informiranja</w:t>
            </w:r>
          </w:p>
        </w:tc>
        <w:tc>
          <w:tcPr>
            <w:tcW w:w="1095" w:type="dxa"/>
            <w:tcBorders>
              <w:top w:val="single" w:sz="4" w:space="0" w:color="auto"/>
              <w:left w:val="nil"/>
              <w:bottom w:val="single" w:sz="4" w:space="0" w:color="auto"/>
              <w:right w:val="single" w:sz="4" w:space="0" w:color="auto"/>
            </w:tcBorders>
            <w:noWrap/>
            <w:vAlign w:val="bottom"/>
            <w:hideMark/>
          </w:tcPr>
          <w:p w14:paraId="58CFEFF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C351CF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CA4E17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375,00</w:t>
            </w:r>
          </w:p>
        </w:tc>
        <w:tc>
          <w:tcPr>
            <w:tcW w:w="918" w:type="dxa"/>
            <w:tcBorders>
              <w:top w:val="single" w:sz="4" w:space="0" w:color="auto"/>
              <w:left w:val="nil"/>
              <w:bottom w:val="single" w:sz="4" w:space="0" w:color="auto"/>
              <w:right w:val="single" w:sz="4" w:space="0" w:color="auto"/>
            </w:tcBorders>
            <w:noWrap/>
            <w:vAlign w:val="bottom"/>
            <w:hideMark/>
          </w:tcPr>
          <w:p w14:paraId="3C6B1CE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323C91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BBADEF8" w14:textId="77777777" w:rsidR="00416D67" w:rsidRPr="00416D67" w:rsidRDefault="00416D67" w:rsidP="00416D67">
            <w:pPr>
              <w:rPr>
                <w:rFonts w:ascii="Arial" w:hAnsi="Arial" w:cs="Arial"/>
                <w:sz w:val="14"/>
                <w:szCs w:val="14"/>
              </w:rPr>
            </w:pPr>
            <w:r w:rsidRPr="00416D67">
              <w:rPr>
                <w:rFonts w:ascii="Arial" w:hAnsi="Arial" w:cs="Arial"/>
                <w:sz w:val="14"/>
                <w:szCs w:val="14"/>
              </w:rPr>
              <w:t>3235</w:t>
            </w:r>
          </w:p>
        </w:tc>
        <w:tc>
          <w:tcPr>
            <w:tcW w:w="8106" w:type="dxa"/>
            <w:tcBorders>
              <w:top w:val="single" w:sz="4" w:space="0" w:color="auto"/>
              <w:left w:val="nil"/>
              <w:bottom w:val="single" w:sz="4" w:space="0" w:color="auto"/>
              <w:right w:val="single" w:sz="4" w:space="0" w:color="auto"/>
            </w:tcBorders>
            <w:noWrap/>
            <w:vAlign w:val="bottom"/>
            <w:hideMark/>
          </w:tcPr>
          <w:p w14:paraId="7B08C68D" w14:textId="77777777" w:rsidR="00416D67" w:rsidRPr="00416D67" w:rsidRDefault="00416D67" w:rsidP="00416D67">
            <w:pPr>
              <w:rPr>
                <w:rFonts w:ascii="Arial" w:hAnsi="Arial" w:cs="Arial"/>
                <w:sz w:val="14"/>
                <w:szCs w:val="14"/>
              </w:rPr>
            </w:pPr>
            <w:r w:rsidRPr="00416D67">
              <w:rPr>
                <w:rFonts w:ascii="Arial" w:hAnsi="Arial" w:cs="Arial"/>
                <w:sz w:val="14"/>
                <w:szCs w:val="14"/>
              </w:rPr>
              <w:t>Zakupnine i najamnine</w:t>
            </w:r>
          </w:p>
        </w:tc>
        <w:tc>
          <w:tcPr>
            <w:tcW w:w="1095" w:type="dxa"/>
            <w:tcBorders>
              <w:top w:val="single" w:sz="4" w:space="0" w:color="auto"/>
              <w:left w:val="nil"/>
              <w:bottom w:val="single" w:sz="4" w:space="0" w:color="auto"/>
              <w:right w:val="single" w:sz="4" w:space="0" w:color="auto"/>
            </w:tcBorders>
            <w:noWrap/>
            <w:vAlign w:val="bottom"/>
            <w:hideMark/>
          </w:tcPr>
          <w:p w14:paraId="1AB6162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67D4EB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0413C7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4.725,00</w:t>
            </w:r>
          </w:p>
        </w:tc>
        <w:tc>
          <w:tcPr>
            <w:tcW w:w="918" w:type="dxa"/>
            <w:tcBorders>
              <w:top w:val="single" w:sz="4" w:space="0" w:color="auto"/>
              <w:left w:val="nil"/>
              <w:bottom w:val="single" w:sz="4" w:space="0" w:color="auto"/>
              <w:right w:val="single" w:sz="4" w:space="0" w:color="auto"/>
            </w:tcBorders>
            <w:noWrap/>
            <w:vAlign w:val="bottom"/>
            <w:hideMark/>
          </w:tcPr>
          <w:p w14:paraId="01BA4CD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C1EE3C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EE6A5DD" w14:textId="77777777" w:rsidR="00416D67" w:rsidRPr="00416D67" w:rsidRDefault="00416D67" w:rsidP="00416D67">
            <w:pPr>
              <w:rPr>
                <w:rFonts w:ascii="Arial" w:hAnsi="Arial" w:cs="Arial"/>
                <w:sz w:val="14"/>
                <w:szCs w:val="14"/>
              </w:rPr>
            </w:pPr>
            <w:r w:rsidRPr="00416D67">
              <w:rPr>
                <w:rFonts w:ascii="Arial" w:hAnsi="Arial" w:cs="Arial"/>
                <w:sz w:val="14"/>
                <w:szCs w:val="14"/>
              </w:rPr>
              <w:t>3293</w:t>
            </w:r>
          </w:p>
        </w:tc>
        <w:tc>
          <w:tcPr>
            <w:tcW w:w="8106" w:type="dxa"/>
            <w:tcBorders>
              <w:top w:val="single" w:sz="4" w:space="0" w:color="auto"/>
              <w:left w:val="nil"/>
              <w:bottom w:val="single" w:sz="4" w:space="0" w:color="auto"/>
              <w:right w:val="single" w:sz="4" w:space="0" w:color="auto"/>
            </w:tcBorders>
            <w:noWrap/>
            <w:vAlign w:val="bottom"/>
            <w:hideMark/>
          </w:tcPr>
          <w:p w14:paraId="217601B4" w14:textId="77777777" w:rsidR="00416D67" w:rsidRPr="00416D67" w:rsidRDefault="00416D67" w:rsidP="00416D67">
            <w:pPr>
              <w:rPr>
                <w:rFonts w:ascii="Arial" w:hAnsi="Arial" w:cs="Arial"/>
                <w:sz w:val="14"/>
                <w:szCs w:val="14"/>
              </w:rPr>
            </w:pPr>
            <w:r w:rsidRPr="00416D67">
              <w:rPr>
                <w:rFonts w:ascii="Arial" w:hAnsi="Arial" w:cs="Arial"/>
                <w:sz w:val="14"/>
                <w:szCs w:val="14"/>
              </w:rPr>
              <w:t>Reprezentacija</w:t>
            </w:r>
          </w:p>
        </w:tc>
        <w:tc>
          <w:tcPr>
            <w:tcW w:w="1095" w:type="dxa"/>
            <w:tcBorders>
              <w:top w:val="single" w:sz="4" w:space="0" w:color="auto"/>
              <w:left w:val="nil"/>
              <w:bottom w:val="single" w:sz="4" w:space="0" w:color="auto"/>
              <w:right w:val="single" w:sz="4" w:space="0" w:color="auto"/>
            </w:tcBorders>
            <w:noWrap/>
            <w:vAlign w:val="bottom"/>
            <w:hideMark/>
          </w:tcPr>
          <w:p w14:paraId="472C17F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19FC30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908F59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4.491,39</w:t>
            </w:r>
          </w:p>
        </w:tc>
        <w:tc>
          <w:tcPr>
            <w:tcW w:w="918" w:type="dxa"/>
            <w:tcBorders>
              <w:top w:val="single" w:sz="4" w:space="0" w:color="auto"/>
              <w:left w:val="nil"/>
              <w:bottom w:val="single" w:sz="4" w:space="0" w:color="auto"/>
              <w:right w:val="single" w:sz="4" w:space="0" w:color="auto"/>
            </w:tcBorders>
            <w:noWrap/>
            <w:vAlign w:val="bottom"/>
            <w:hideMark/>
          </w:tcPr>
          <w:p w14:paraId="17C3C30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C66EB7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8150E27" w14:textId="77777777" w:rsidR="00416D67" w:rsidRPr="00416D67" w:rsidRDefault="00416D67" w:rsidP="00416D67">
            <w:pPr>
              <w:rPr>
                <w:rFonts w:ascii="Arial" w:hAnsi="Arial" w:cs="Arial"/>
                <w:sz w:val="14"/>
                <w:szCs w:val="14"/>
              </w:rPr>
            </w:pPr>
            <w:r w:rsidRPr="00416D67">
              <w:rPr>
                <w:rFonts w:ascii="Arial" w:hAnsi="Arial" w:cs="Arial"/>
                <w:sz w:val="14"/>
                <w:szCs w:val="14"/>
              </w:rPr>
              <w:t>3299</w:t>
            </w:r>
          </w:p>
        </w:tc>
        <w:tc>
          <w:tcPr>
            <w:tcW w:w="8106" w:type="dxa"/>
            <w:tcBorders>
              <w:top w:val="single" w:sz="4" w:space="0" w:color="auto"/>
              <w:left w:val="nil"/>
              <w:bottom w:val="single" w:sz="4" w:space="0" w:color="auto"/>
              <w:right w:val="single" w:sz="4" w:space="0" w:color="auto"/>
            </w:tcBorders>
            <w:noWrap/>
            <w:vAlign w:val="bottom"/>
            <w:hideMark/>
          </w:tcPr>
          <w:p w14:paraId="3ACCC53C" w14:textId="77777777" w:rsidR="00416D67" w:rsidRPr="00416D67" w:rsidRDefault="00416D67" w:rsidP="00416D67">
            <w:pPr>
              <w:rPr>
                <w:rFonts w:ascii="Arial" w:hAnsi="Arial" w:cs="Arial"/>
                <w:sz w:val="14"/>
                <w:szCs w:val="14"/>
              </w:rPr>
            </w:pPr>
            <w:r w:rsidRPr="00416D67">
              <w:rPr>
                <w:rFonts w:ascii="Arial" w:hAnsi="Arial" w:cs="Arial"/>
                <w:sz w:val="14"/>
                <w:szCs w:val="14"/>
              </w:rPr>
              <w:t>Ostali nespomenuti rashodi poslovanja</w:t>
            </w:r>
          </w:p>
        </w:tc>
        <w:tc>
          <w:tcPr>
            <w:tcW w:w="1095" w:type="dxa"/>
            <w:tcBorders>
              <w:top w:val="single" w:sz="4" w:space="0" w:color="auto"/>
              <w:left w:val="nil"/>
              <w:bottom w:val="single" w:sz="4" w:space="0" w:color="auto"/>
              <w:right w:val="single" w:sz="4" w:space="0" w:color="auto"/>
            </w:tcBorders>
            <w:noWrap/>
            <w:vAlign w:val="bottom"/>
            <w:hideMark/>
          </w:tcPr>
          <w:p w14:paraId="5CB76B2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397C27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00D1C2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3.311,35</w:t>
            </w:r>
          </w:p>
        </w:tc>
        <w:tc>
          <w:tcPr>
            <w:tcW w:w="918" w:type="dxa"/>
            <w:tcBorders>
              <w:top w:val="single" w:sz="4" w:space="0" w:color="auto"/>
              <w:left w:val="nil"/>
              <w:bottom w:val="single" w:sz="4" w:space="0" w:color="auto"/>
              <w:right w:val="single" w:sz="4" w:space="0" w:color="auto"/>
            </w:tcBorders>
            <w:noWrap/>
            <w:vAlign w:val="bottom"/>
            <w:hideMark/>
          </w:tcPr>
          <w:p w14:paraId="41FD45A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95FEC9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3642A7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34BE093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7973A79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2.831,00</w:t>
            </w:r>
          </w:p>
        </w:tc>
        <w:tc>
          <w:tcPr>
            <w:tcW w:w="1070" w:type="dxa"/>
            <w:tcBorders>
              <w:top w:val="single" w:sz="4" w:space="0" w:color="auto"/>
              <w:left w:val="nil"/>
              <w:bottom w:val="single" w:sz="4" w:space="0" w:color="auto"/>
              <w:right w:val="single" w:sz="4" w:space="0" w:color="auto"/>
            </w:tcBorders>
            <w:noWrap/>
            <w:vAlign w:val="bottom"/>
            <w:hideMark/>
          </w:tcPr>
          <w:p w14:paraId="64F04EC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2.831,00</w:t>
            </w:r>
          </w:p>
        </w:tc>
        <w:tc>
          <w:tcPr>
            <w:tcW w:w="1095" w:type="dxa"/>
            <w:tcBorders>
              <w:top w:val="single" w:sz="4" w:space="0" w:color="auto"/>
              <w:left w:val="nil"/>
              <w:bottom w:val="single" w:sz="4" w:space="0" w:color="auto"/>
              <w:right w:val="single" w:sz="4" w:space="0" w:color="auto"/>
            </w:tcBorders>
            <w:noWrap/>
            <w:vAlign w:val="bottom"/>
            <w:hideMark/>
          </w:tcPr>
          <w:p w14:paraId="720BE25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2.831,00</w:t>
            </w:r>
          </w:p>
        </w:tc>
        <w:tc>
          <w:tcPr>
            <w:tcW w:w="918" w:type="dxa"/>
            <w:tcBorders>
              <w:top w:val="single" w:sz="4" w:space="0" w:color="auto"/>
              <w:left w:val="nil"/>
              <w:bottom w:val="single" w:sz="4" w:space="0" w:color="auto"/>
              <w:right w:val="single" w:sz="4" w:space="0" w:color="auto"/>
            </w:tcBorders>
            <w:noWrap/>
            <w:vAlign w:val="bottom"/>
            <w:hideMark/>
          </w:tcPr>
          <w:p w14:paraId="4CF6211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172EB3F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003F4B0" w14:textId="77777777" w:rsidR="00416D67" w:rsidRPr="00416D67" w:rsidRDefault="00416D67" w:rsidP="00416D67">
            <w:pPr>
              <w:rPr>
                <w:rFonts w:ascii="Arial" w:hAnsi="Arial" w:cs="Arial"/>
                <w:sz w:val="14"/>
                <w:szCs w:val="14"/>
              </w:rPr>
            </w:pPr>
            <w:r w:rsidRPr="00416D67">
              <w:rPr>
                <w:rFonts w:ascii="Arial" w:hAnsi="Arial" w:cs="Arial"/>
                <w:sz w:val="14"/>
                <w:szCs w:val="14"/>
              </w:rPr>
              <w:t>3811</w:t>
            </w:r>
          </w:p>
        </w:tc>
        <w:tc>
          <w:tcPr>
            <w:tcW w:w="8106" w:type="dxa"/>
            <w:tcBorders>
              <w:top w:val="single" w:sz="4" w:space="0" w:color="auto"/>
              <w:left w:val="nil"/>
              <w:bottom w:val="single" w:sz="4" w:space="0" w:color="auto"/>
              <w:right w:val="single" w:sz="4" w:space="0" w:color="auto"/>
            </w:tcBorders>
            <w:noWrap/>
            <w:vAlign w:val="bottom"/>
            <w:hideMark/>
          </w:tcPr>
          <w:p w14:paraId="02CEAE47" w14:textId="77777777" w:rsidR="00416D67" w:rsidRPr="00416D67" w:rsidRDefault="00416D67" w:rsidP="00416D67">
            <w:pPr>
              <w:rPr>
                <w:rFonts w:ascii="Arial" w:hAnsi="Arial" w:cs="Arial"/>
                <w:sz w:val="14"/>
                <w:szCs w:val="14"/>
              </w:rPr>
            </w:pPr>
            <w:r w:rsidRPr="00416D67">
              <w:rPr>
                <w:rFonts w:ascii="Arial" w:hAnsi="Arial" w:cs="Arial"/>
                <w:sz w:val="14"/>
                <w:szCs w:val="14"/>
              </w:rPr>
              <w:t>Tekuće donacije u novcu</w:t>
            </w:r>
          </w:p>
        </w:tc>
        <w:tc>
          <w:tcPr>
            <w:tcW w:w="1095" w:type="dxa"/>
            <w:tcBorders>
              <w:top w:val="single" w:sz="4" w:space="0" w:color="auto"/>
              <w:left w:val="nil"/>
              <w:bottom w:val="single" w:sz="4" w:space="0" w:color="auto"/>
              <w:right w:val="single" w:sz="4" w:space="0" w:color="auto"/>
            </w:tcBorders>
            <w:noWrap/>
            <w:vAlign w:val="bottom"/>
            <w:hideMark/>
          </w:tcPr>
          <w:p w14:paraId="4E007EF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4135A7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5817EE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2.831,00</w:t>
            </w:r>
          </w:p>
        </w:tc>
        <w:tc>
          <w:tcPr>
            <w:tcW w:w="918" w:type="dxa"/>
            <w:tcBorders>
              <w:top w:val="single" w:sz="4" w:space="0" w:color="auto"/>
              <w:left w:val="nil"/>
              <w:bottom w:val="single" w:sz="4" w:space="0" w:color="auto"/>
              <w:right w:val="single" w:sz="4" w:space="0" w:color="auto"/>
            </w:tcBorders>
            <w:noWrap/>
            <w:vAlign w:val="bottom"/>
            <w:hideMark/>
          </w:tcPr>
          <w:p w14:paraId="03EF878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D18AF0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5BBAD0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A100010</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3BE8CCC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Aktivnost: Potpora pripremi izdavanja i otkup </w:t>
            </w:r>
            <w:proofErr w:type="spellStart"/>
            <w:r w:rsidRPr="00416D67">
              <w:rPr>
                <w:rFonts w:ascii="Arial" w:hAnsi="Arial" w:cs="Arial"/>
                <w:b/>
                <w:bCs/>
                <w:sz w:val="14"/>
                <w:szCs w:val="14"/>
              </w:rPr>
              <w:t>knjga</w:t>
            </w:r>
            <w:proofErr w:type="spellEnd"/>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D04471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5.550,00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5828B0B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5.550,00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C1081D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4.550,00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1052371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81,98%</w:t>
            </w:r>
          </w:p>
        </w:tc>
      </w:tr>
      <w:tr w:rsidR="00416D67" w:rsidRPr="00416D67" w14:paraId="13A9426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00279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BFBA99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5.550,00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0A5E8A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5.550,00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7DC71D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4.550,00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F073C8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81,98%</w:t>
            </w:r>
          </w:p>
        </w:tc>
      </w:tr>
      <w:tr w:rsidR="00416D67" w:rsidRPr="00416D67" w14:paraId="2F1C17A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F65814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41E219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5.550,00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2FA932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5.550,00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1EC83C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4.550,00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9885B1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81,98%</w:t>
            </w:r>
          </w:p>
        </w:tc>
      </w:tr>
      <w:tr w:rsidR="00416D67" w:rsidRPr="00416D67" w14:paraId="48355B9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3C3D09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lastRenderedPageBreak/>
              <w:t>32</w:t>
            </w:r>
          </w:p>
        </w:tc>
        <w:tc>
          <w:tcPr>
            <w:tcW w:w="8106" w:type="dxa"/>
            <w:tcBorders>
              <w:top w:val="single" w:sz="4" w:space="0" w:color="auto"/>
              <w:left w:val="nil"/>
              <w:bottom w:val="single" w:sz="4" w:space="0" w:color="auto"/>
              <w:right w:val="single" w:sz="4" w:space="0" w:color="auto"/>
            </w:tcBorders>
            <w:noWrap/>
            <w:vAlign w:val="bottom"/>
            <w:hideMark/>
          </w:tcPr>
          <w:p w14:paraId="6A25D47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4853FDF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5.550,00</w:t>
            </w:r>
          </w:p>
        </w:tc>
        <w:tc>
          <w:tcPr>
            <w:tcW w:w="1070" w:type="dxa"/>
            <w:tcBorders>
              <w:top w:val="single" w:sz="4" w:space="0" w:color="auto"/>
              <w:left w:val="nil"/>
              <w:bottom w:val="single" w:sz="4" w:space="0" w:color="auto"/>
              <w:right w:val="single" w:sz="4" w:space="0" w:color="auto"/>
            </w:tcBorders>
            <w:noWrap/>
            <w:vAlign w:val="bottom"/>
            <w:hideMark/>
          </w:tcPr>
          <w:p w14:paraId="5942E3C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5.550,00</w:t>
            </w:r>
          </w:p>
        </w:tc>
        <w:tc>
          <w:tcPr>
            <w:tcW w:w="1095" w:type="dxa"/>
            <w:tcBorders>
              <w:top w:val="single" w:sz="4" w:space="0" w:color="auto"/>
              <w:left w:val="nil"/>
              <w:bottom w:val="single" w:sz="4" w:space="0" w:color="auto"/>
              <w:right w:val="single" w:sz="4" w:space="0" w:color="auto"/>
            </w:tcBorders>
            <w:noWrap/>
            <w:vAlign w:val="bottom"/>
            <w:hideMark/>
          </w:tcPr>
          <w:p w14:paraId="7629AE4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4.550,00</w:t>
            </w:r>
          </w:p>
        </w:tc>
        <w:tc>
          <w:tcPr>
            <w:tcW w:w="918" w:type="dxa"/>
            <w:tcBorders>
              <w:top w:val="single" w:sz="4" w:space="0" w:color="auto"/>
              <w:left w:val="nil"/>
              <w:bottom w:val="single" w:sz="4" w:space="0" w:color="auto"/>
              <w:right w:val="single" w:sz="4" w:space="0" w:color="auto"/>
            </w:tcBorders>
            <w:noWrap/>
            <w:vAlign w:val="bottom"/>
            <w:hideMark/>
          </w:tcPr>
          <w:p w14:paraId="380F90D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81,98%</w:t>
            </w:r>
          </w:p>
        </w:tc>
      </w:tr>
      <w:tr w:rsidR="00416D67" w:rsidRPr="00416D67" w14:paraId="237C980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20823AC" w14:textId="77777777" w:rsidR="00416D67" w:rsidRPr="00416D67" w:rsidRDefault="00416D67" w:rsidP="00416D67">
            <w:pPr>
              <w:rPr>
                <w:rFonts w:ascii="Arial" w:hAnsi="Arial" w:cs="Arial"/>
                <w:sz w:val="14"/>
                <w:szCs w:val="14"/>
              </w:rPr>
            </w:pPr>
            <w:r w:rsidRPr="00416D67">
              <w:rPr>
                <w:rFonts w:ascii="Arial" w:hAnsi="Arial" w:cs="Arial"/>
                <w:sz w:val="14"/>
                <w:szCs w:val="14"/>
              </w:rPr>
              <w:t>3299</w:t>
            </w:r>
          </w:p>
        </w:tc>
        <w:tc>
          <w:tcPr>
            <w:tcW w:w="8106" w:type="dxa"/>
            <w:tcBorders>
              <w:top w:val="single" w:sz="4" w:space="0" w:color="auto"/>
              <w:left w:val="nil"/>
              <w:bottom w:val="single" w:sz="4" w:space="0" w:color="auto"/>
              <w:right w:val="single" w:sz="4" w:space="0" w:color="auto"/>
            </w:tcBorders>
            <w:noWrap/>
            <w:vAlign w:val="bottom"/>
            <w:hideMark/>
          </w:tcPr>
          <w:p w14:paraId="4D4D5992" w14:textId="77777777" w:rsidR="00416D67" w:rsidRPr="00416D67" w:rsidRDefault="00416D67" w:rsidP="00416D67">
            <w:pPr>
              <w:rPr>
                <w:rFonts w:ascii="Arial" w:hAnsi="Arial" w:cs="Arial"/>
                <w:sz w:val="14"/>
                <w:szCs w:val="14"/>
              </w:rPr>
            </w:pPr>
            <w:r w:rsidRPr="00416D67">
              <w:rPr>
                <w:rFonts w:ascii="Arial" w:hAnsi="Arial" w:cs="Arial"/>
                <w:sz w:val="14"/>
                <w:szCs w:val="14"/>
              </w:rPr>
              <w:t>Ostali nespomenuti rashodi poslovanja</w:t>
            </w:r>
          </w:p>
        </w:tc>
        <w:tc>
          <w:tcPr>
            <w:tcW w:w="1095" w:type="dxa"/>
            <w:tcBorders>
              <w:top w:val="single" w:sz="4" w:space="0" w:color="auto"/>
              <w:left w:val="nil"/>
              <w:bottom w:val="single" w:sz="4" w:space="0" w:color="auto"/>
              <w:right w:val="single" w:sz="4" w:space="0" w:color="auto"/>
            </w:tcBorders>
            <w:noWrap/>
            <w:vAlign w:val="bottom"/>
            <w:hideMark/>
          </w:tcPr>
          <w:p w14:paraId="2B7218F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333CCC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5432E4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4.550,00</w:t>
            </w:r>
          </w:p>
        </w:tc>
        <w:tc>
          <w:tcPr>
            <w:tcW w:w="918" w:type="dxa"/>
            <w:tcBorders>
              <w:top w:val="single" w:sz="4" w:space="0" w:color="auto"/>
              <w:left w:val="nil"/>
              <w:bottom w:val="single" w:sz="4" w:space="0" w:color="auto"/>
              <w:right w:val="single" w:sz="4" w:space="0" w:color="auto"/>
            </w:tcBorders>
            <w:noWrap/>
            <w:vAlign w:val="bottom"/>
            <w:hideMark/>
          </w:tcPr>
          <w:p w14:paraId="7D543B8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F941FF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DE183F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A100011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4F9137E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Sufinanciranje organizacije zabavno kulturnih manifestacija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11AA5B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58.500,00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4653F63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60.500,00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E1926D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59.330,00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45F4134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98,07%</w:t>
            </w:r>
          </w:p>
        </w:tc>
      </w:tr>
      <w:tr w:rsidR="00416D67" w:rsidRPr="00416D67" w14:paraId="6CFEEE9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309C62F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Organizacijska klasifikacija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A8E4638"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07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F28C908"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AB506F5"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9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DD8B0AF"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2025/2024.           (3/2)</w:t>
            </w:r>
          </w:p>
        </w:tc>
      </w:tr>
      <w:tr w:rsidR="00416D67" w:rsidRPr="00416D67" w14:paraId="1909D2A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0B13AF2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Izvori</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0D327F80"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6552044D"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167BDDA9"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28F34E26" w14:textId="77777777" w:rsidR="00416D67" w:rsidRPr="00416D67" w:rsidRDefault="00416D67" w:rsidP="00416D67">
            <w:pPr>
              <w:rPr>
                <w:rFonts w:ascii="Arial" w:hAnsi="Arial" w:cs="Arial"/>
                <w:sz w:val="14"/>
                <w:szCs w:val="14"/>
              </w:rPr>
            </w:pPr>
          </w:p>
        </w:tc>
      </w:tr>
      <w:tr w:rsidR="00416D67" w:rsidRPr="00416D67" w14:paraId="33A3027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000000"/>
            </w:tcBorders>
            <w:shd w:val="clear" w:color="000000" w:fill="D9D9D9"/>
            <w:hideMark/>
          </w:tcPr>
          <w:p w14:paraId="28E3627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Projekt/Aktivnost</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3645CE4B"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2F07E345"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5CA6A79B"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0078C179" w14:textId="77777777" w:rsidR="00416D67" w:rsidRPr="00416D67" w:rsidRDefault="00416D67" w:rsidP="00416D67">
            <w:pPr>
              <w:rPr>
                <w:rFonts w:ascii="Arial" w:hAnsi="Arial" w:cs="Arial"/>
                <w:sz w:val="14"/>
                <w:szCs w:val="14"/>
              </w:rPr>
            </w:pPr>
          </w:p>
        </w:tc>
      </w:tr>
      <w:tr w:rsidR="00416D67" w:rsidRPr="00416D67" w14:paraId="290E342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FA2825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86E692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43.500,00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EC3F74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45.500,00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EF36B7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44.330,00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B6E7F1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97,43%</w:t>
            </w:r>
          </w:p>
        </w:tc>
      </w:tr>
      <w:tr w:rsidR="00416D67" w:rsidRPr="00416D67" w14:paraId="29AF0A6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0F388B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9D1D34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43.500,00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1A397C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45.500,00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C0345C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44.330,00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497AC0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97,43%</w:t>
            </w:r>
          </w:p>
        </w:tc>
      </w:tr>
      <w:tr w:rsidR="00416D67" w:rsidRPr="00416D67" w14:paraId="0DCC855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B2F731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265F8A2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3A44E97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43.500,00</w:t>
            </w:r>
          </w:p>
        </w:tc>
        <w:tc>
          <w:tcPr>
            <w:tcW w:w="1070" w:type="dxa"/>
            <w:tcBorders>
              <w:top w:val="single" w:sz="4" w:space="0" w:color="auto"/>
              <w:left w:val="nil"/>
              <w:bottom w:val="single" w:sz="4" w:space="0" w:color="auto"/>
              <w:right w:val="single" w:sz="4" w:space="0" w:color="auto"/>
            </w:tcBorders>
            <w:noWrap/>
            <w:vAlign w:val="bottom"/>
            <w:hideMark/>
          </w:tcPr>
          <w:p w14:paraId="00BD638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45.500,00</w:t>
            </w:r>
          </w:p>
        </w:tc>
        <w:tc>
          <w:tcPr>
            <w:tcW w:w="1095" w:type="dxa"/>
            <w:tcBorders>
              <w:top w:val="single" w:sz="4" w:space="0" w:color="auto"/>
              <w:left w:val="nil"/>
              <w:bottom w:val="single" w:sz="4" w:space="0" w:color="auto"/>
              <w:right w:val="single" w:sz="4" w:space="0" w:color="auto"/>
            </w:tcBorders>
            <w:noWrap/>
            <w:vAlign w:val="bottom"/>
            <w:hideMark/>
          </w:tcPr>
          <w:p w14:paraId="7C9F2D9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44.330,00</w:t>
            </w:r>
          </w:p>
        </w:tc>
        <w:tc>
          <w:tcPr>
            <w:tcW w:w="918" w:type="dxa"/>
            <w:tcBorders>
              <w:top w:val="single" w:sz="4" w:space="0" w:color="auto"/>
              <w:left w:val="nil"/>
              <w:bottom w:val="single" w:sz="4" w:space="0" w:color="auto"/>
              <w:right w:val="single" w:sz="4" w:space="0" w:color="auto"/>
            </w:tcBorders>
            <w:noWrap/>
            <w:vAlign w:val="bottom"/>
            <w:hideMark/>
          </w:tcPr>
          <w:p w14:paraId="01A40E7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97,43%</w:t>
            </w:r>
          </w:p>
        </w:tc>
      </w:tr>
      <w:tr w:rsidR="00416D67" w:rsidRPr="00416D67" w14:paraId="1AD98FC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A24095C" w14:textId="77777777" w:rsidR="00416D67" w:rsidRPr="00416D67" w:rsidRDefault="00416D67" w:rsidP="00416D67">
            <w:pPr>
              <w:rPr>
                <w:rFonts w:ascii="Arial" w:hAnsi="Arial" w:cs="Arial"/>
                <w:sz w:val="14"/>
                <w:szCs w:val="14"/>
              </w:rPr>
            </w:pPr>
            <w:r w:rsidRPr="00416D67">
              <w:rPr>
                <w:rFonts w:ascii="Arial" w:hAnsi="Arial" w:cs="Arial"/>
                <w:sz w:val="14"/>
                <w:szCs w:val="14"/>
              </w:rPr>
              <w:t>3293</w:t>
            </w:r>
          </w:p>
        </w:tc>
        <w:tc>
          <w:tcPr>
            <w:tcW w:w="8106" w:type="dxa"/>
            <w:tcBorders>
              <w:top w:val="single" w:sz="4" w:space="0" w:color="auto"/>
              <w:left w:val="nil"/>
              <w:bottom w:val="single" w:sz="4" w:space="0" w:color="auto"/>
              <w:right w:val="single" w:sz="4" w:space="0" w:color="auto"/>
            </w:tcBorders>
            <w:noWrap/>
            <w:vAlign w:val="bottom"/>
            <w:hideMark/>
          </w:tcPr>
          <w:p w14:paraId="538800F3" w14:textId="77777777" w:rsidR="00416D67" w:rsidRPr="00416D67" w:rsidRDefault="00416D67" w:rsidP="00416D67">
            <w:pPr>
              <w:rPr>
                <w:rFonts w:ascii="Arial" w:hAnsi="Arial" w:cs="Arial"/>
                <w:sz w:val="14"/>
                <w:szCs w:val="14"/>
              </w:rPr>
            </w:pPr>
            <w:r w:rsidRPr="00416D67">
              <w:rPr>
                <w:rFonts w:ascii="Arial" w:hAnsi="Arial" w:cs="Arial"/>
                <w:sz w:val="14"/>
                <w:szCs w:val="14"/>
              </w:rPr>
              <w:t>Reprezentacija</w:t>
            </w:r>
          </w:p>
        </w:tc>
        <w:tc>
          <w:tcPr>
            <w:tcW w:w="1095" w:type="dxa"/>
            <w:tcBorders>
              <w:top w:val="single" w:sz="4" w:space="0" w:color="auto"/>
              <w:left w:val="nil"/>
              <w:bottom w:val="single" w:sz="4" w:space="0" w:color="auto"/>
              <w:right w:val="single" w:sz="4" w:space="0" w:color="auto"/>
            </w:tcBorders>
            <w:noWrap/>
            <w:vAlign w:val="bottom"/>
            <w:hideMark/>
          </w:tcPr>
          <w:p w14:paraId="2399498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AA5FB4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CA4F68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830,00</w:t>
            </w:r>
          </w:p>
        </w:tc>
        <w:tc>
          <w:tcPr>
            <w:tcW w:w="918" w:type="dxa"/>
            <w:tcBorders>
              <w:top w:val="single" w:sz="4" w:space="0" w:color="auto"/>
              <w:left w:val="nil"/>
              <w:bottom w:val="single" w:sz="4" w:space="0" w:color="auto"/>
              <w:right w:val="single" w:sz="4" w:space="0" w:color="auto"/>
            </w:tcBorders>
            <w:noWrap/>
            <w:vAlign w:val="bottom"/>
            <w:hideMark/>
          </w:tcPr>
          <w:p w14:paraId="3F938EC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F9AE48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76CDE0B" w14:textId="77777777" w:rsidR="00416D67" w:rsidRPr="00416D67" w:rsidRDefault="00416D67" w:rsidP="00416D67">
            <w:pPr>
              <w:rPr>
                <w:rFonts w:ascii="Arial" w:hAnsi="Arial" w:cs="Arial"/>
                <w:sz w:val="14"/>
                <w:szCs w:val="14"/>
              </w:rPr>
            </w:pPr>
            <w:r w:rsidRPr="00416D67">
              <w:rPr>
                <w:rFonts w:ascii="Arial" w:hAnsi="Arial" w:cs="Arial"/>
                <w:sz w:val="14"/>
                <w:szCs w:val="14"/>
              </w:rPr>
              <w:t>3299</w:t>
            </w:r>
          </w:p>
        </w:tc>
        <w:tc>
          <w:tcPr>
            <w:tcW w:w="8106" w:type="dxa"/>
            <w:tcBorders>
              <w:top w:val="single" w:sz="4" w:space="0" w:color="auto"/>
              <w:left w:val="nil"/>
              <w:bottom w:val="single" w:sz="4" w:space="0" w:color="auto"/>
              <w:right w:val="single" w:sz="4" w:space="0" w:color="auto"/>
            </w:tcBorders>
            <w:noWrap/>
            <w:vAlign w:val="bottom"/>
            <w:hideMark/>
          </w:tcPr>
          <w:p w14:paraId="168F1A4D" w14:textId="77777777" w:rsidR="00416D67" w:rsidRPr="00416D67" w:rsidRDefault="00416D67" w:rsidP="00416D67">
            <w:pPr>
              <w:rPr>
                <w:rFonts w:ascii="Arial" w:hAnsi="Arial" w:cs="Arial"/>
                <w:sz w:val="14"/>
                <w:szCs w:val="14"/>
              </w:rPr>
            </w:pPr>
            <w:r w:rsidRPr="00416D67">
              <w:rPr>
                <w:rFonts w:ascii="Arial" w:hAnsi="Arial" w:cs="Arial"/>
                <w:sz w:val="14"/>
                <w:szCs w:val="14"/>
              </w:rPr>
              <w:t>Ostali nespomenuti rashodi poslovanja</w:t>
            </w:r>
          </w:p>
        </w:tc>
        <w:tc>
          <w:tcPr>
            <w:tcW w:w="1095" w:type="dxa"/>
            <w:tcBorders>
              <w:top w:val="single" w:sz="4" w:space="0" w:color="auto"/>
              <w:left w:val="nil"/>
              <w:bottom w:val="single" w:sz="4" w:space="0" w:color="auto"/>
              <w:right w:val="single" w:sz="4" w:space="0" w:color="auto"/>
            </w:tcBorders>
            <w:noWrap/>
            <w:vAlign w:val="bottom"/>
            <w:hideMark/>
          </w:tcPr>
          <w:p w14:paraId="0AF0A85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D768CB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801E98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43.500,00</w:t>
            </w:r>
          </w:p>
        </w:tc>
        <w:tc>
          <w:tcPr>
            <w:tcW w:w="918" w:type="dxa"/>
            <w:tcBorders>
              <w:top w:val="single" w:sz="4" w:space="0" w:color="auto"/>
              <w:left w:val="nil"/>
              <w:bottom w:val="single" w:sz="4" w:space="0" w:color="auto"/>
              <w:right w:val="single" w:sz="4" w:space="0" w:color="auto"/>
            </w:tcBorders>
            <w:noWrap/>
            <w:vAlign w:val="bottom"/>
            <w:hideMark/>
          </w:tcPr>
          <w:p w14:paraId="5C69BD9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51F626C"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3E025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9ED4BC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F81E32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4F3DCF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A7066A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359121E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00F9AD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4.3.1 Turistička  pristojba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1B3AFC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56C1DD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FC0CCA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2788BA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14DAC40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BCDD41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424F1D6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70289D9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15.000,00</w:t>
            </w:r>
          </w:p>
        </w:tc>
        <w:tc>
          <w:tcPr>
            <w:tcW w:w="1070" w:type="dxa"/>
            <w:tcBorders>
              <w:top w:val="single" w:sz="4" w:space="0" w:color="auto"/>
              <w:left w:val="nil"/>
              <w:bottom w:val="single" w:sz="4" w:space="0" w:color="auto"/>
              <w:right w:val="single" w:sz="4" w:space="0" w:color="auto"/>
            </w:tcBorders>
            <w:noWrap/>
            <w:vAlign w:val="bottom"/>
            <w:hideMark/>
          </w:tcPr>
          <w:p w14:paraId="613360A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15.000,00</w:t>
            </w:r>
          </w:p>
        </w:tc>
        <w:tc>
          <w:tcPr>
            <w:tcW w:w="1095" w:type="dxa"/>
            <w:tcBorders>
              <w:top w:val="single" w:sz="4" w:space="0" w:color="auto"/>
              <w:left w:val="nil"/>
              <w:bottom w:val="single" w:sz="4" w:space="0" w:color="auto"/>
              <w:right w:val="single" w:sz="4" w:space="0" w:color="auto"/>
            </w:tcBorders>
            <w:noWrap/>
            <w:vAlign w:val="bottom"/>
            <w:hideMark/>
          </w:tcPr>
          <w:p w14:paraId="0B0FF7F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15.000,00</w:t>
            </w:r>
          </w:p>
        </w:tc>
        <w:tc>
          <w:tcPr>
            <w:tcW w:w="918" w:type="dxa"/>
            <w:tcBorders>
              <w:top w:val="single" w:sz="4" w:space="0" w:color="auto"/>
              <w:left w:val="nil"/>
              <w:bottom w:val="single" w:sz="4" w:space="0" w:color="auto"/>
              <w:right w:val="single" w:sz="4" w:space="0" w:color="auto"/>
            </w:tcBorders>
            <w:noWrap/>
            <w:vAlign w:val="bottom"/>
            <w:hideMark/>
          </w:tcPr>
          <w:p w14:paraId="7EA82D3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2AA533F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79F6443" w14:textId="77777777" w:rsidR="00416D67" w:rsidRPr="00416D67" w:rsidRDefault="00416D67" w:rsidP="00416D67">
            <w:pPr>
              <w:rPr>
                <w:rFonts w:ascii="Arial" w:hAnsi="Arial" w:cs="Arial"/>
                <w:sz w:val="14"/>
                <w:szCs w:val="14"/>
              </w:rPr>
            </w:pPr>
            <w:r w:rsidRPr="00416D67">
              <w:rPr>
                <w:rFonts w:ascii="Arial" w:hAnsi="Arial" w:cs="Arial"/>
                <w:sz w:val="14"/>
                <w:szCs w:val="14"/>
              </w:rPr>
              <w:t>3299</w:t>
            </w:r>
          </w:p>
        </w:tc>
        <w:tc>
          <w:tcPr>
            <w:tcW w:w="8106" w:type="dxa"/>
            <w:tcBorders>
              <w:top w:val="single" w:sz="4" w:space="0" w:color="auto"/>
              <w:left w:val="nil"/>
              <w:bottom w:val="single" w:sz="4" w:space="0" w:color="auto"/>
              <w:right w:val="single" w:sz="4" w:space="0" w:color="auto"/>
            </w:tcBorders>
            <w:noWrap/>
            <w:vAlign w:val="bottom"/>
            <w:hideMark/>
          </w:tcPr>
          <w:p w14:paraId="28D633C3" w14:textId="77777777" w:rsidR="00416D67" w:rsidRPr="00416D67" w:rsidRDefault="00416D67" w:rsidP="00416D67">
            <w:pPr>
              <w:rPr>
                <w:rFonts w:ascii="Arial" w:hAnsi="Arial" w:cs="Arial"/>
                <w:sz w:val="14"/>
                <w:szCs w:val="14"/>
              </w:rPr>
            </w:pPr>
            <w:r w:rsidRPr="00416D67">
              <w:rPr>
                <w:rFonts w:ascii="Arial" w:hAnsi="Arial" w:cs="Arial"/>
                <w:sz w:val="14"/>
                <w:szCs w:val="14"/>
              </w:rPr>
              <w:t>Ostali nespomenuti rashodi poslovanja</w:t>
            </w:r>
          </w:p>
        </w:tc>
        <w:tc>
          <w:tcPr>
            <w:tcW w:w="1095" w:type="dxa"/>
            <w:tcBorders>
              <w:top w:val="single" w:sz="4" w:space="0" w:color="auto"/>
              <w:left w:val="nil"/>
              <w:bottom w:val="single" w:sz="4" w:space="0" w:color="auto"/>
              <w:right w:val="single" w:sz="4" w:space="0" w:color="auto"/>
            </w:tcBorders>
            <w:noWrap/>
            <w:vAlign w:val="bottom"/>
            <w:hideMark/>
          </w:tcPr>
          <w:p w14:paraId="3C8C760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398377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193C88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15.000,00</w:t>
            </w:r>
          </w:p>
        </w:tc>
        <w:tc>
          <w:tcPr>
            <w:tcW w:w="918" w:type="dxa"/>
            <w:tcBorders>
              <w:top w:val="single" w:sz="4" w:space="0" w:color="auto"/>
              <w:left w:val="nil"/>
              <w:bottom w:val="single" w:sz="4" w:space="0" w:color="auto"/>
              <w:right w:val="single" w:sz="4" w:space="0" w:color="auto"/>
            </w:tcBorders>
            <w:noWrap/>
            <w:vAlign w:val="bottom"/>
            <w:hideMark/>
          </w:tcPr>
          <w:p w14:paraId="0D810B8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445167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EC8058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A100012</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7A8870E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Hitne i nepredviđene potrebe u kulturi</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F60CAA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1F4B361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3661C5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2.160,00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1F5B151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86,40%</w:t>
            </w:r>
          </w:p>
        </w:tc>
      </w:tr>
      <w:tr w:rsidR="00416D67" w:rsidRPr="00416D67" w14:paraId="13EA673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97C419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EEC9CE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64B8D4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B789ED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2.160,00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D7245B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86,40%</w:t>
            </w:r>
          </w:p>
        </w:tc>
      </w:tr>
      <w:tr w:rsidR="00416D67" w:rsidRPr="00416D67" w14:paraId="2F511FD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2874124"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9DABB7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756F00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D439CB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2.160,00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5E0776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86,40%</w:t>
            </w:r>
          </w:p>
        </w:tc>
      </w:tr>
      <w:tr w:rsidR="00416D67" w:rsidRPr="00416D67" w14:paraId="30633FD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63FD6F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6A25D93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490A912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w:t>
            </w:r>
          </w:p>
        </w:tc>
        <w:tc>
          <w:tcPr>
            <w:tcW w:w="1070" w:type="dxa"/>
            <w:tcBorders>
              <w:top w:val="single" w:sz="4" w:space="0" w:color="auto"/>
              <w:left w:val="nil"/>
              <w:bottom w:val="single" w:sz="4" w:space="0" w:color="auto"/>
              <w:right w:val="single" w:sz="4" w:space="0" w:color="auto"/>
            </w:tcBorders>
            <w:noWrap/>
            <w:vAlign w:val="bottom"/>
            <w:hideMark/>
          </w:tcPr>
          <w:p w14:paraId="3570842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w:t>
            </w:r>
          </w:p>
        </w:tc>
        <w:tc>
          <w:tcPr>
            <w:tcW w:w="1095" w:type="dxa"/>
            <w:tcBorders>
              <w:top w:val="single" w:sz="4" w:space="0" w:color="auto"/>
              <w:left w:val="nil"/>
              <w:bottom w:val="single" w:sz="4" w:space="0" w:color="auto"/>
              <w:right w:val="single" w:sz="4" w:space="0" w:color="auto"/>
            </w:tcBorders>
            <w:noWrap/>
            <w:vAlign w:val="bottom"/>
            <w:hideMark/>
          </w:tcPr>
          <w:p w14:paraId="3889A77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2.160,00</w:t>
            </w:r>
          </w:p>
        </w:tc>
        <w:tc>
          <w:tcPr>
            <w:tcW w:w="918" w:type="dxa"/>
            <w:tcBorders>
              <w:top w:val="single" w:sz="4" w:space="0" w:color="auto"/>
              <w:left w:val="nil"/>
              <w:bottom w:val="single" w:sz="4" w:space="0" w:color="auto"/>
              <w:right w:val="single" w:sz="4" w:space="0" w:color="auto"/>
            </w:tcBorders>
            <w:noWrap/>
            <w:vAlign w:val="bottom"/>
            <w:hideMark/>
          </w:tcPr>
          <w:p w14:paraId="13EAC3B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86,40%</w:t>
            </w:r>
          </w:p>
        </w:tc>
      </w:tr>
      <w:tr w:rsidR="00416D67" w:rsidRPr="00416D67" w14:paraId="5E5B288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A95C8D7" w14:textId="77777777" w:rsidR="00416D67" w:rsidRPr="00416D67" w:rsidRDefault="00416D67" w:rsidP="00416D67">
            <w:pPr>
              <w:rPr>
                <w:rFonts w:ascii="Arial" w:hAnsi="Arial" w:cs="Arial"/>
                <w:sz w:val="14"/>
                <w:szCs w:val="14"/>
              </w:rPr>
            </w:pPr>
            <w:r w:rsidRPr="00416D67">
              <w:rPr>
                <w:rFonts w:ascii="Arial" w:hAnsi="Arial" w:cs="Arial"/>
                <w:sz w:val="14"/>
                <w:szCs w:val="14"/>
              </w:rPr>
              <w:t>3811</w:t>
            </w:r>
          </w:p>
        </w:tc>
        <w:tc>
          <w:tcPr>
            <w:tcW w:w="8106" w:type="dxa"/>
            <w:tcBorders>
              <w:top w:val="single" w:sz="4" w:space="0" w:color="auto"/>
              <w:left w:val="nil"/>
              <w:bottom w:val="single" w:sz="4" w:space="0" w:color="auto"/>
              <w:right w:val="single" w:sz="4" w:space="0" w:color="auto"/>
            </w:tcBorders>
            <w:noWrap/>
            <w:vAlign w:val="bottom"/>
            <w:hideMark/>
          </w:tcPr>
          <w:p w14:paraId="0F46CBDB" w14:textId="77777777" w:rsidR="00416D67" w:rsidRPr="00416D67" w:rsidRDefault="00416D67" w:rsidP="00416D67">
            <w:pPr>
              <w:rPr>
                <w:rFonts w:ascii="Arial" w:hAnsi="Arial" w:cs="Arial"/>
                <w:sz w:val="14"/>
                <w:szCs w:val="14"/>
              </w:rPr>
            </w:pPr>
            <w:r w:rsidRPr="00416D67">
              <w:rPr>
                <w:rFonts w:ascii="Arial" w:hAnsi="Arial" w:cs="Arial"/>
                <w:sz w:val="14"/>
                <w:szCs w:val="14"/>
              </w:rPr>
              <w:t>Tekuće donacije u novcu</w:t>
            </w:r>
          </w:p>
        </w:tc>
        <w:tc>
          <w:tcPr>
            <w:tcW w:w="1095" w:type="dxa"/>
            <w:tcBorders>
              <w:top w:val="single" w:sz="4" w:space="0" w:color="auto"/>
              <w:left w:val="nil"/>
              <w:bottom w:val="single" w:sz="4" w:space="0" w:color="auto"/>
              <w:right w:val="single" w:sz="4" w:space="0" w:color="auto"/>
            </w:tcBorders>
            <w:noWrap/>
            <w:vAlign w:val="bottom"/>
            <w:hideMark/>
          </w:tcPr>
          <w:p w14:paraId="2A074BA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4EF11B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288CDC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2.160,00</w:t>
            </w:r>
          </w:p>
        </w:tc>
        <w:tc>
          <w:tcPr>
            <w:tcW w:w="918" w:type="dxa"/>
            <w:tcBorders>
              <w:top w:val="single" w:sz="4" w:space="0" w:color="auto"/>
              <w:left w:val="nil"/>
              <w:bottom w:val="single" w:sz="4" w:space="0" w:color="auto"/>
              <w:right w:val="single" w:sz="4" w:space="0" w:color="auto"/>
            </w:tcBorders>
            <w:noWrap/>
            <w:vAlign w:val="bottom"/>
            <w:hideMark/>
          </w:tcPr>
          <w:p w14:paraId="254B8C8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1C7639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A2F9FA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A100013</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400DDD1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Sufinanciranje manifestacije Dan mladih Istarske županije</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EE746A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265,45</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398EF85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265,45</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CDB1DD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3D15A0D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2AF78DC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94486C0"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4F2470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265,45</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D9A8DE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265,45</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D43055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F31222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1D43102F"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05F44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D7A7AA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265,45</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EC121F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265,45</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241599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016298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59A777A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0D0982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36</w:t>
            </w:r>
          </w:p>
        </w:tc>
        <w:tc>
          <w:tcPr>
            <w:tcW w:w="8106" w:type="dxa"/>
            <w:tcBorders>
              <w:top w:val="single" w:sz="4" w:space="0" w:color="auto"/>
              <w:left w:val="nil"/>
              <w:bottom w:val="single" w:sz="4" w:space="0" w:color="auto"/>
              <w:right w:val="single" w:sz="4" w:space="0" w:color="auto"/>
            </w:tcBorders>
            <w:noWrap/>
            <w:vAlign w:val="bottom"/>
            <w:hideMark/>
          </w:tcPr>
          <w:p w14:paraId="4D69785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Pomoći dane u inozemstvo i unutar općeg proračuna</w:t>
            </w:r>
          </w:p>
        </w:tc>
        <w:tc>
          <w:tcPr>
            <w:tcW w:w="1095" w:type="dxa"/>
            <w:tcBorders>
              <w:top w:val="single" w:sz="4" w:space="0" w:color="auto"/>
              <w:left w:val="nil"/>
              <w:bottom w:val="single" w:sz="4" w:space="0" w:color="auto"/>
              <w:right w:val="single" w:sz="4" w:space="0" w:color="auto"/>
            </w:tcBorders>
            <w:noWrap/>
            <w:vAlign w:val="bottom"/>
            <w:hideMark/>
          </w:tcPr>
          <w:p w14:paraId="623A849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265,45</w:t>
            </w:r>
          </w:p>
        </w:tc>
        <w:tc>
          <w:tcPr>
            <w:tcW w:w="1070" w:type="dxa"/>
            <w:tcBorders>
              <w:top w:val="single" w:sz="4" w:space="0" w:color="auto"/>
              <w:left w:val="nil"/>
              <w:bottom w:val="single" w:sz="4" w:space="0" w:color="auto"/>
              <w:right w:val="single" w:sz="4" w:space="0" w:color="auto"/>
            </w:tcBorders>
            <w:noWrap/>
            <w:vAlign w:val="bottom"/>
            <w:hideMark/>
          </w:tcPr>
          <w:p w14:paraId="79FD464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265,45</w:t>
            </w:r>
          </w:p>
        </w:tc>
        <w:tc>
          <w:tcPr>
            <w:tcW w:w="1095" w:type="dxa"/>
            <w:tcBorders>
              <w:top w:val="single" w:sz="4" w:space="0" w:color="auto"/>
              <w:left w:val="nil"/>
              <w:bottom w:val="single" w:sz="4" w:space="0" w:color="auto"/>
              <w:right w:val="single" w:sz="4" w:space="0" w:color="auto"/>
            </w:tcBorders>
            <w:noWrap/>
            <w:vAlign w:val="bottom"/>
            <w:hideMark/>
          </w:tcPr>
          <w:p w14:paraId="047F1A0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1B16EDA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7FE5778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8A6420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A100014</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6D3F996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Sufinanciranje manifestacije "Jerolimova "</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BEDBBB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2A485D7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5355D5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1.709,49</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5B4BA42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68,38%</w:t>
            </w:r>
          </w:p>
        </w:tc>
      </w:tr>
      <w:tr w:rsidR="00416D67" w:rsidRPr="00416D67" w14:paraId="3C577BE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12796E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6D5684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40D1F8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67FC52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1.709,49</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EBA4E3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68,38%</w:t>
            </w:r>
          </w:p>
        </w:tc>
      </w:tr>
      <w:tr w:rsidR="00416D67" w:rsidRPr="00416D67" w14:paraId="215F7B3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3394AA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7F1943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9CF56D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242B58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1.709,49</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43A732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68,38%</w:t>
            </w:r>
          </w:p>
        </w:tc>
      </w:tr>
      <w:tr w:rsidR="00416D67" w:rsidRPr="00416D67" w14:paraId="16CCDE2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707296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18CD0DC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0D9609D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w:t>
            </w:r>
          </w:p>
        </w:tc>
        <w:tc>
          <w:tcPr>
            <w:tcW w:w="1070" w:type="dxa"/>
            <w:tcBorders>
              <w:top w:val="single" w:sz="4" w:space="0" w:color="auto"/>
              <w:left w:val="nil"/>
              <w:bottom w:val="single" w:sz="4" w:space="0" w:color="auto"/>
              <w:right w:val="single" w:sz="4" w:space="0" w:color="auto"/>
            </w:tcBorders>
            <w:noWrap/>
            <w:vAlign w:val="bottom"/>
            <w:hideMark/>
          </w:tcPr>
          <w:p w14:paraId="5005788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w:t>
            </w:r>
          </w:p>
        </w:tc>
        <w:tc>
          <w:tcPr>
            <w:tcW w:w="1095" w:type="dxa"/>
            <w:tcBorders>
              <w:top w:val="single" w:sz="4" w:space="0" w:color="auto"/>
              <w:left w:val="nil"/>
              <w:bottom w:val="single" w:sz="4" w:space="0" w:color="auto"/>
              <w:right w:val="single" w:sz="4" w:space="0" w:color="auto"/>
            </w:tcBorders>
            <w:noWrap/>
            <w:vAlign w:val="bottom"/>
            <w:hideMark/>
          </w:tcPr>
          <w:p w14:paraId="7CEE3FB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1.709,49</w:t>
            </w:r>
          </w:p>
        </w:tc>
        <w:tc>
          <w:tcPr>
            <w:tcW w:w="918" w:type="dxa"/>
            <w:tcBorders>
              <w:top w:val="single" w:sz="4" w:space="0" w:color="auto"/>
              <w:left w:val="nil"/>
              <w:bottom w:val="single" w:sz="4" w:space="0" w:color="auto"/>
              <w:right w:val="single" w:sz="4" w:space="0" w:color="auto"/>
            </w:tcBorders>
            <w:noWrap/>
            <w:vAlign w:val="bottom"/>
            <w:hideMark/>
          </w:tcPr>
          <w:p w14:paraId="5B102E4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68,38%</w:t>
            </w:r>
          </w:p>
        </w:tc>
      </w:tr>
      <w:tr w:rsidR="00416D67" w:rsidRPr="00416D67" w14:paraId="56FCCCA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C73F92D" w14:textId="77777777" w:rsidR="00416D67" w:rsidRPr="00416D67" w:rsidRDefault="00416D67" w:rsidP="00416D67">
            <w:pPr>
              <w:rPr>
                <w:rFonts w:ascii="Arial" w:hAnsi="Arial" w:cs="Arial"/>
                <w:sz w:val="14"/>
                <w:szCs w:val="14"/>
              </w:rPr>
            </w:pPr>
            <w:r w:rsidRPr="00416D67">
              <w:rPr>
                <w:rFonts w:ascii="Arial" w:hAnsi="Arial" w:cs="Arial"/>
                <w:sz w:val="14"/>
                <w:szCs w:val="14"/>
              </w:rPr>
              <w:t>3293</w:t>
            </w:r>
          </w:p>
        </w:tc>
        <w:tc>
          <w:tcPr>
            <w:tcW w:w="8106" w:type="dxa"/>
            <w:tcBorders>
              <w:top w:val="single" w:sz="4" w:space="0" w:color="auto"/>
              <w:left w:val="nil"/>
              <w:bottom w:val="single" w:sz="4" w:space="0" w:color="auto"/>
              <w:right w:val="single" w:sz="4" w:space="0" w:color="auto"/>
            </w:tcBorders>
            <w:noWrap/>
            <w:vAlign w:val="bottom"/>
            <w:hideMark/>
          </w:tcPr>
          <w:p w14:paraId="182B2039" w14:textId="77777777" w:rsidR="00416D67" w:rsidRPr="00416D67" w:rsidRDefault="00416D67" w:rsidP="00416D67">
            <w:pPr>
              <w:rPr>
                <w:rFonts w:ascii="Arial" w:hAnsi="Arial" w:cs="Arial"/>
                <w:sz w:val="14"/>
                <w:szCs w:val="14"/>
              </w:rPr>
            </w:pPr>
            <w:r w:rsidRPr="00416D67">
              <w:rPr>
                <w:rFonts w:ascii="Arial" w:hAnsi="Arial" w:cs="Arial"/>
                <w:sz w:val="14"/>
                <w:szCs w:val="14"/>
              </w:rPr>
              <w:t>Reprezentacija</w:t>
            </w:r>
          </w:p>
        </w:tc>
        <w:tc>
          <w:tcPr>
            <w:tcW w:w="1095" w:type="dxa"/>
            <w:tcBorders>
              <w:top w:val="single" w:sz="4" w:space="0" w:color="auto"/>
              <w:left w:val="nil"/>
              <w:bottom w:val="single" w:sz="4" w:space="0" w:color="auto"/>
              <w:right w:val="single" w:sz="4" w:space="0" w:color="auto"/>
            </w:tcBorders>
            <w:noWrap/>
            <w:vAlign w:val="bottom"/>
            <w:hideMark/>
          </w:tcPr>
          <w:p w14:paraId="497FDB4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90B67C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599910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1.709,49</w:t>
            </w:r>
          </w:p>
        </w:tc>
        <w:tc>
          <w:tcPr>
            <w:tcW w:w="918" w:type="dxa"/>
            <w:tcBorders>
              <w:top w:val="single" w:sz="4" w:space="0" w:color="auto"/>
              <w:left w:val="nil"/>
              <w:bottom w:val="single" w:sz="4" w:space="0" w:color="auto"/>
              <w:right w:val="single" w:sz="4" w:space="0" w:color="auto"/>
            </w:tcBorders>
            <w:noWrap/>
            <w:vAlign w:val="bottom"/>
            <w:hideMark/>
          </w:tcPr>
          <w:p w14:paraId="7F5E129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F7D59C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B44F92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A100015</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6017A4C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Sufinanciranje manifestacije "</w:t>
            </w:r>
            <w:proofErr w:type="spellStart"/>
            <w:r w:rsidRPr="00416D67">
              <w:rPr>
                <w:rFonts w:ascii="Arial" w:hAnsi="Arial" w:cs="Arial"/>
                <w:b/>
                <w:bCs/>
                <w:sz w:val="14"/>
                <w:szCs w:val="14"/>
              </w:rPr>
              <w:t>Zakantajmo</w:t>
            </w:r>
            <w:proofErr w:type="spellEnd"/>
            <w:r w:rsidRPr="00416D67">
              <w:rPr>
                <w:rFonts w:ascii="Arial" w:hAnsi="Arial" w:cs="Arial"/>
                <w:b/>
                <w:bCs/>
                <w:sz w:val="14"/>
                <w:szCs w:val="14"/>
              </w:rPr>
              <w:t xml:space="preserve"> po domaću"</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61A904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441D25D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D42931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499,35</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6E1179D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99,87%</w:t>
            </w:r>
          </w:p>
        </w:tc>
      </w:tr>
      <w:tr w:rsidR="00416D67" w:rsidRPr="00416D67" w14:paraId="5B853D4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E9BAD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FB2005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AC38D2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B09F32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499,35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7C1A93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99,87%</w:t>
            </w:r>
          </w:p>
        </w:tc>
      </w:tr>
      <w:tr w:rsidR="00416D67" w:rsidRPr="00416D67" w14:paraId="560A98A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18CC3B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03CB45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3DF79A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F4A9B7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499,35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C39F21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99,87%</w:t>
            </w:r>
          </w:p>
        </w:tc>
      </w:tr>
      <w:tr w:rsidR="00416D67" w:rsidRPr="00416D67" w14:paraId="0986EFC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F902A2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08ADAC9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09C35DC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w:t>
            </w:r>
          </w:p>
        </w:tc>
        <w:tc>
          <w:tcPr>
            <w:tcW w:w="1070" w:type="dxa"/>
            <w:tcBorders>
              <w:top w:val="single" w:sz="4" w:space="0" w:color="auto"/>
              <w:left w:val="nil"/>
              <w:bottom w:val="single" w:sz="4" w:space="0" w:color="auto"/>
              <w:right w:val="single" w:sz="4" w:space="0" w:color="auto"/>
            </w:tcBorders>
            <w:noWrap/>
            <w:vAlign w:val="bottom"/>
            <w:hideMark/>
          </w:tcPr>
          <w:p w14:paraId="26F22A6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w:t>
            </w:r>
          </w:p>
        </w:tc>
        <w:tc>
          <w:tcPr>
            <w:tcW w:w="1095" w:type="dxa"/>
            <w:tcBorders>
              <w:top w:val="single" w:sz="4" w:space="0" w:color="auto"/>
              <w:left w:val="nil"/>
              <w:bottom w:val="single" w:sz="4" w:space="0" w:color="auto"/>
              <w:right w:val="single" w:sz="4" w:space="0" w:color="auto"/>
            </w:tcBorders>
            <w:noWrap/>
            <w:vAlign w:val="bottom"/>
            <w:hideMark/>
          </w:tcPr>
          <w:p w14:paraId="3350D22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499,35</w:t>
            </w:r>
          </w:p>
        </w:tc>
        <w:tc>
          <w:tcPr>
            <w:tcW w:w="918" w:type="dxa"/>
            <w:tcBorders>
              <w:top w:val="single" w:sz="4" w:space="0" w:color="auto"/>
              <w:left w:val="nil"/>
              <w:bottom w:val="single" w:sz="4" w:space="0" w:color="auto"/>
              <w:right w:val="single" w:sz="4" w:space="0" w:color="auto"/>
            </w:tcBorders>
            <w:noWrap/>
            <w:vAlign w:val="bottom"/>
            <w:hideMark/>
          </w:tcPr>
          <w:p w14:paraId="3E9C341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99,87%</w:t>
            </w:r>
          </w:p>
        </w:tc>
      </w:tr>
      <w:tr w:rsidR="00416D67" w:rsidRPr="00416D67" w14:paraId="4C3DA5A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8A8AF0F" w14:textId="77777777" w:rsidR="00416D67" w:rsidRPr="00416D67" w:rsidRDefault="00416D67" w:rsidP="00416D67">
            <w:pPr>
              <w:rPr>
                <w:rFonts w:ascii="Arial" w:hAnsi="Arial" w:cs="Arial"/>
                <w:sz w:val="14"/>
                <w:szCs w:val="14"/>
              </w:rPr>
            </w:pPr>
            <w:r w:rsidRPr="00416D67">
              <w:rPr>
                <w:rFonts w:ascii="Arial" w:hAnsi="Arial" w:cs="Arial"/>
                <w:sz w:val="14"/>
                <w:szCs w:val="14"/>
              </w:rPr>
              <w:t>3293</w:t>
            </w:r>
          </w:p>
        </w:tc>
        <w:tc>
          <w:tcPr>
            <w:tcW w:w="8106" w:type="dxa"/>
            <w:tcBorders>
              <w:top w:val="single" w:sz="4" w:space="0" w:color="auto"/>
              <w:left w:val="nil"/>
              <w:bottom w:val="single" w:sz="4" w:space="0" w:color="auto"/>
              <w:right w:val="single" w:sz="4" w:space="0" w:color="auto"/>
            </w:tcBorders>
            <w:noWrap/>
            <w:vAlign w:val="bottom"/>
            <w:hideMark/>
          </w:tcPr>
          <w:p w14:paraId="1A50942A" w14:textId="77777777" w:rsidR="00416D67" w:rsidRPr="00416D67" w:rsidRDefault="00416D67" w:rsidP="00416D67">
            <w:pPr>
              <w:rPr>
                <w:rFonts w:ascii="Arial" w:hAnsi="Arial" w:cs="Arial"/>
                <w:sz w:val="14"/>
                <w:szCs w:val="14"/>
              </w:rPr>
            </w:pPr>
            <w:r w:rsidRPr="00416D67">
              <w:rPr>
                <w:rFonts w:ascii="Arial" w:hAnsi="Arial" w:cs="Arial"/>
                <w:sz w:val="14"/>
                <w:szCs w:val="14"/>
              </w:rPr>
              <w:t>Reprezentacija</w:t>
            </w:r>
          </w:p>
        </w:tc>
        <w:tc>
          <w:tcPr>
            <w:tcW w:w="1095" w:type="dxa"/>
            <w:tcBorders>
              <w:top w:val="single" w:sz="4" w:space="0" w:color="auto"/>
              <w:left w:val="nil"/>
              <w:bottom w:val="single" w:sz="4" w:space="0" w:color="auto"/>
              <w:right w:val="single" w:sz="4" w:space="0" w:color="auto"/>
            </w:tcBorders>
            <w:noWrap/>
            <w:vAlign w:val="bottom"/>
            <w:hideMark/>
          </w:tcPr>
          <w:p w14:paraId="2050CE3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703442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35B87C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499,35</w:t>
            </w:r>
          </w:p>
        </w:tc>
        <w:tc>
          <w:tcPr>
            <w:tcW w:w="918" w:type="dxa"/>
            <w:tcBorders>
              <w:top w:val="single" w:sz="4" w:space="0" w:color="auto"/>
              <w:left w:val="nil"/>
              <w:bottom w:val="single" w:sz="4" w:space="0" w:color="auto"/>
              <w:right w:val="single" w:sz="4" w:space="0" w:color="auto"/>
            </w:tcBorders>
            <w:noWrap/>
            <w:vAlign w:val="bottom"/>
            <w:hideMark/>
          </w:tcPr>
          <w:p w14:paraId="5973D84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D26C4D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40849B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7D01A43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Kapitalni projekt: </w:t>
            </w:r>
            <w:proofErr w:type="spellStart"/>
            <w:r w:rsidRPr="00416D67">
              <w:rPr>
                <w:rFonts w:ascii="Arial" w:hAnsi="Arial" w:cs="Arial"/>
                <w:b/>
                <w:bCs/>
                <w:sz w:val="14"/>
                <w:szCs w:val="14"/>
              </w:rPr>
              <w:t>Arehološki</w:t>
            </w:r>
            <w:proofErr w:type="spellEnd"/>
            <w:r w:rsidRPr="00416D67">
              <w:rPr>
                <w:rFonts w:ascii="Arial" w:hAnsi="Arial" w:cs="Arial"/>
                <w:b/>
                <w:bCs/>
                <w:sz w:val="14"/>
                <w:szCs w:val="14"/>
              </w:rPr>
              <w:t xml:space="preserve"> lokalitet "Stari </w:t>
            </w:r>
            <w:proofErr w:type="spellStart"/>
            <w:r w:rsidRPr="00416D67">
              <w:rPr>
                <w:rFonts w:ascii="Arial" w:hAnsi="Arial" w:cs="Arial"/>
                <w:b/>
                <w:bCs/>
                <w:sz w:val="14"/>
                <w:szCs w:val="14"/>
              </w:rPr>
              <w:t>Rakalj</w:t>
            </w:r>
            <w:proofErr w:type="spellEnd"/>
            <w:r w:rsidRPr="00416D67">
              <w:rPr>
                <w:rFonts w:ascii="Arial" w:hAnsi="Arial" w:cs="Arial"/>
                <w:b/>
                <w:bCs/>
                <w:sz w:val="14"/>
                <w:szCs w:val="14"/>
              </w:rPr>
              <w:t>"</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306843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38.380,00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6C0AF38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38.380,00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B2DF2D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35.510,00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2CCADA5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92,52%</w:t>
            </w:r>
          </w:p>
        </w:tc>
      </w:tr>
      <w:tr w:rsidR="00416D67" w:rsidRPr="00416D67" w14:paraId="5C57A8C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359933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E727B2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18.380,00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8EC5C6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18.380,00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EA1498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15.510,00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C8DF0B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84,39%</w:t>
            </w:r>
          </w:p>
        </w:tc>
      </w:tr>
      <w:tr w:rsidR="00416D67" w:rsidRPr="00416D67" w14:paraId="0422B87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9F33C34"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359632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18.380,00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73E3F0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18.380,00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A04409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15.510,00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02DB26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84,39%</w:t>
            </w:r>
          </w:p>
        </w:tc>
      </w:tr>
      <w:tr w:rsidR="00416D67" w:rsidRPr="00416D67" w14:paraId="053AC75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30BA84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3142F5E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70E1219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18.380,00</w:t>
            </w:r>
          </w:p>
        </w:tc>
        <w:tc>
          <w:tcPr>
            <w:tcW w:w="1070" w:type="dxa"/>
            <w:tcBorders>
              <w:top w:val="single" w:sz="4" w:space="0" w:color="auto"/>
              <w:left w:val="nil"/>
              <w:bottom w:val="single" w:sz="4" w:space="0" w:color="auto"/>
              <w:right w:val="single" w:sz="4" w:space="0" w:color="auto"/>
            </w:tcBorders>
            <w:noWrap/>
            <w:vAlign w:val="bottom"/>
            <w:hideMark/>
          </w:tcPr>
          <w:p w14:paraId="07D1B8C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18.380,00</w:t>
            </w:r>
          </w:p>
        </w:tc>
        <w:tc>
          <w:tcPr>
            <w:tcW w:w="1095" w:type="dxa"/>
            <w:tcBorders>
              <w:top w:val="single" w:sz="4" w:space="0" w:color="auto"/>
              <w:left w:val="nil"/>
              <w:bottom w:val="single" w:sz="4" w:space="0" w:color="auto"/>
              <w:right w:val="single" w:sz="4" w:space="0" w:color="auto"/>
            </w:tcBorders>
            <w:noWrap/>
            <w:vAlign w:val="bottom"/>
            <w:hideMark/>
          </w:tcPr>
          <w:p w14:paraId="13AA82F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15.510,00</w:t>
            </w:r>
          </w:p>
        </w:tc>
        <w:tc>
          <w:tcPr>
            <w:tcW w:w="918" w:type="dxa"/>
            <w:tcBorders>
              <w:top w:val="single" w:sz="4" w:space="0" w:color="auto"/>
              <w:left w:val="nil"/>
              <w:bottom w:val="single" w:sz="4" w:space="0" w:color="auto"/>
              <w:right w:val="single" w:sz="4" w:space="0" w:color="auto"/>
            </w:tcBorders>
            <w:noWrap/>
            <w:vAlign w:val="bottom"/>
            <w:hideMark/>
          </w:tcPr>
          <w:p w14:paraId="0F6DE01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84,39%</w:t>
            </w:r>
          </w:p>
        </w:tc>
      </w:tr>
      <w:tr w:rsidR="00416D67" w:rsidRPr="00416D67" w14:paraId="220E41A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AFD5D05" w14:textId="77777777" w:rsidR="00416D67" w:rsidRPr="00416D67" w:rsidRDefault="00416D67" w:rsidP="00416D67">
            <w:pPr>
              <w:rPr>
                <w:rFonts w:ascii="Arial" w:hAnsi="Arial" w:cs="Arial"/>
                <w:sz w:val="14"/>
                <w:szCs w:val="14"/>
              </w:rPr>
            </w:pPr>
            <w:r w:rsidRPr="00416D67">
              <w:rPr>
                <w:rFonts w:ascii="Arial" w:hAnsi="Arial" w:cs="Arial"/>
                <w:sz w:val="14"/>
                <w:szCs w:val="14"/>
              </w:rPr>
              <w:t>4214</w:t>
            </w:r>
          </w:p>
        </w:tc>
        <w:tc>
          <w:tcPr>
            <w:tcW w:w="8106" w:type="dxa"/>
            <w:tcBorders>
              <w:top w:val="single" w:sz="4" w:space="0" w:color="auto"/>
              <w:left w:val="nil"/>
              <w:bottom w:val="single" w:sz="4" w:space="0" w:color="auto"/>
              <w:right w:val="single" w:sz="4" w:space="0" w:color="auto"/>
            </w:tcBorders>
            <w:noWrap/>
            <w:vAlign w:val="bottom"/>
            <w:hideMark/>
          </w:tcPr>
          <w:p w14:paraId="24E6668E" w14:textId="77777777" w:rsidR="00416D67" w:rsidRPr="00416D67" w:rsidRDefault="00416D67" w:rsidP="00416D67">
            <w:pPr>
              <w:rPr>
                <w:rFonts w:ascii="Arial" w:hAnsi="Arial" w:cs="Arial"/>
                <w:sz w:val="14"/>
                <w:szCs w:val="14"/>
              </w:rPr>
            </w:pPr>
            <w:r w:rsidRPr="00416D67">
              <w:rPr>
                <w:rFonts w:ascii="Arial" w:hAnsi="Arial" w:cs="Arial"/>
                <w:sz w:val="14"/>
                <w:szCs w:val="14"/>
              </w:rPr>
              <w:t>Ostali građevinski objekti</w:t>
            </w:r>
          </w:p>
        </w:tc>
        <w:tc>
          <w:tcPr>
            <w:tcW w:w="1095" w:type="dxa"/>
            <w:tcBorders>
              <w:top w:val="single" w:sz="4" w:space="0" w:color="auto"/>
              <w:left w:val="nil"/>
              <w:bottom w:val="single" w:sz="4" w:space="0" w:color="auto"/>
              <w:right w:val="single" w:sz="4" w:space="0" w:color="auto"/>
            </w:tcBorders>
            <w:noWrap/>
            <w:vAlign w:val="bottom"/>
            <w:hideMark/>
          </w:tcPr>
          <w:p w14:paraId="35F911F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2F338D1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7B8B36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15.510,00</w:t>
            </w:r>
          </w:p>
        </w:tc>
        <w:tc>
          <w:tcPr>
            <w:tcW w:w="918" w:type="dxa"/>
            <w:tcBorders>
              <w:top w:val="single" w:sz="4" w:space="0" w:color="auto"/>
              <w:left w:val="nil"/>
              <w:bottom w:val="single" w:sz="4" w:space="0" w:color="auto"/>
              <w:right w:val="single" w:sz="4" w:space="0" w:color="auto"/>
            </w:tcBorders>
            <w:noWrap/>
            <w:vAlign w:val="bottom"/>
            <w:hideMark/>
          </w:tcPr>
          <w:p w14:paraId="33C8310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C06FC0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FA32B0"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 Pomoći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4773D3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D733D9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90DC98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0F82DE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3089F41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2FF2FA0"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5.1.2 Pomoći državni  proračun </w:t>
            </w:r>
            <w:proofErr w:type="spellStart"/>
            <w:r w:rsidRPr="00416D67">
              <w:rPr>
                <w:rFonts w:ascii="Arial" w:hAnsi="Arial" w:cs="Arial"/>
                <w:b/>
                <w:bCs/>
                <w:color w:val="333333"/>
                <w:sz w:val="14"/>
                <w:szCs w:val="14"/>
              </w:rPr>
              <w:t>min.kulture</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2D2BE8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9E3293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AB1E2D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55888E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5F0A92B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7660A3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60A1F2F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3FF2963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20.000,00</w:t>
            </w:r>
          </w:p>
        </w:tc>
        <w:tc>
          <w:tcPr>
            <w:tcW w:w="1070" w:type="dxa"/>
            <w:tcBorders>
              <w:top w:val="single" w:sz="4" w:space="0" w:color="auto"/>
              <w:left w:val="nil"/>
              <w:bottom w:val="single" w:sz="4" w:space="0" w:color="auto"/>
              <w:right w:val="single" w:sz="4" w:space="0" w:color="auto"/>
            </w:tcBorders>
            <w:noWrap/>
            <w:vAlign w:val="bottom"/>
            <w:hideMark/>
          </w:tcPr>
          <w:p w14:paraId="5878B2E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20.000,00</w:t>
            </w:r>
          </w:p>
        </w:tc>
        <w:tc>
          <w:tcPr>
            <w:tcW w:w="1095" w:type="dxa"/>
            <w:tcBorders>
              <w:top w:val="single" w:sz="4" w:space="0" w:color="auto"/>
              <w:left w:val="nil"/>
              <w:bottom w:val="single" w:sz="4" w:space="0" w:color="auto"/>
              <w:right w:val="single" w:sz="4" w:space="0" w:color="auto"/>
            </w:tcBorders>
            <w:noWrap/>
            <w:vAlign w:val="bottom"/>
            <w:hideMark/>
          </w:tcPr>
          <w:p w14:paraId="2975729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20.000,00</w:t>
            </w:r>
          </w:p>
        </w:tc>
        <w:tc>
          <w:tcPr>
            <w:tcW w:w="918" w:type="dxa"/>
            <w:tcBorders>
              <w:top w:val="single" w:sz="4" w:space="0" w:color="auto"/>
              <w:left w:val="nil"/>
              <w:bottom w:val="single" w:sz="4" w:space="0" w:color="auto"/>
              <w:right w:val="single" w:sz="4" w:space="0" w:color="auto"/>
            </w:tcBorders>
            <w:noWrap/>
            <w:vAlign w:val="bottom"/>
            <w:hideMark/>
          </w:tcPr>
          <w:p w14:paraId="19B8BBD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770F4D5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3ABB3D3" w14:textId="77777777" w:rsidR="00416D67" w:rsidRPr="00416D67" w:rsidRDefault="00416D67" w:rsidP="00416D67">
            <w:pPr>
              <w:rPr>
                <w:rFonts w:ascii="Arial" w:hAnsi="Arial" w:cs="Arial"/>
                <w:sz w:val="14"/>
                <w:szCs w:val="14"/>
              </w:rPr>
            </w:pPr>
            <w:r w:rsidRPr="00416D67">
              <w:rPr>
                <w:rFonts w:ascii="Arial" w:hAnsi="Arial" w:cs="Arial"/>
                <w:sz w:val="14"/>
                <w:szCs w:val="14"/>
              </w:rPr>
              <w:t>4214</w:t>
            </w:r>
          </w:p>
        </w:tc>
        <w:tc>
          <w:tcPr>
            <w:tcW w:w="8106" w:type="dxa"/>
            <w:tcBorders>
              <w:top w:val="single" w:sz="4" w:space="0" w:color="auto"/>
              <w:left w:val="nil"/>
              <w:bottom w:val="single" w:sz="4" w:space="0" w:color="auto"/>
              <w:right w:val="single" w:sz="4" w:space="0" w:color="auto"/>
            </w:tcBorders>
            <w:noWrap/>
            <w:vAlign w:val="bottom"/>
            <w:hideMark/>
          </w:tcPr>
          <w:p w14:paraId="5D1E7FB7" w14:textId="77777777" w:rsidR="00416D67" w:rsidRPr="00416D67" w:rsidRDefault="00416D67" w:rsidP="00416D67">
            <w:pPr>
              <w:rPr>
                <w:rFonts w:ascii="Arial" w:hAnsi="Arial" w:cs="Arial"/>
                <w:sz w:val="14"/>
                <w:szCs w:val="14"/>
              </w:rPr>
            </w:pPr>
            <w:r w:rsidRPr="00416D67">
              <w:rPr>
                <w:rFonts w:ascii="Arial" w:hAnsi="Arial" w:cs="Arial"/>
                <w:sz w:val="14"/>
                <w:szCs w:val="14"/>
              </w:rPr>
              <w:t>Ostali građevinski objekti</w:t>
            </w:r>
          </w:p>
        </w:tc>
        <w:tc>
          <w:tcPr>
            <w:tcW w:w="1095" w:type="dxa"/>
            <w:tcBorders>
              <w:top w:val="single" w:sz="4" w:space="0" w:color="auto"/>
              <w:left w:val="nil"/>
              <w:bottom w:val="single" w:sz="4" w:space="0" w:color="auto"/>
              <w:right w:val="single" w:sz="4" w:space="0" w:color="auto"/>
            </w:tcBorders>
            <w:noWrap/>
            <w:vAlign w:val="bottom"/>
            <w:hideMark/>
          </w:tcPr>
          <w:p w14:paraId="7616760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6BBEA7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21F19A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20.000,00</w:t>
            </w:r>
          </w:p>
        </w:tc>
        <w:tc>
          <w:tcPr>
            <w:tcW w:w="918" w:type="dxa"/>
            <w:tcBorders>
              <w:top w:val="single" w:sz="4" w:space="0" w:color="auto"/>
              <w:left w:val="nil"/>
              <w:bottom w:val="single" w:sz="4" w:space="0" w:color="auto"/>
              <w:right w:val="single" w:sz="4" w:space="0" w:color="auto"/>
            </w:tcBorders>
            <w:noWrap/>
            <w:vAlign w:val="bottom"/>
            <w:hideMark/>
          </w:tcPr>
          <w:p w14:paraId="7E289CA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9D9822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2118330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Organizacijska klasifikacija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86A03E2"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07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623D05D"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6FD62C4"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9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1C2D105"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2025/2024.           (3/2)</w:t>
            </w:r>
          </w:p>
        </w:tc>
      </w:tr>
      <w:tr w:rsidR="00416D67" w:rsidRPr="00416D67" w14:paraId="6BE4A56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4863347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lastRenderedPageBreak/>
              <w:t>Izvori</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20E07D58"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5F3550B7"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1B665BB8"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40D95026" w14:textId="77777777" w:rsidR="00416D67" w:rsidRPr="00416D67" w:rsidRDefault="00416D67" w:rsidP="00416D67">
            <w:pPr>
              <w:rPr>
                <w:rFonts w:ascii="Arial" w:hAnsi="Arial" w:cs="Arial"/>
                <w:sz w:val="14"/>
                <w:szCs w:val="14"/>
              </w:rPr>
            </w:pPr>
          </w:p>
        </w:tc>
      </w:tr>
      <w:tr w:rsidR="00416D67" w:rsidRPr="00416D67" w14:paraId="4CDEDF7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000000"/>
            </w:tcBorders>
            <w:shd w:val="clear" w:color="000000" w:fill="D9D9D9"/>
            <w:hideMark/>
          </w:tcPr>
          <w:p w14:paraId="3DA989C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Projekt/Aktivnost</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2C185836"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3CFCE82F"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4D642160"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15613299" w14:textId="77777777" w:rsidR="00416D67" w:rsidRPr="00416D67" w:rsidRDefault="00416D67" w:rsidP="00416D67">
            <w:pPr>
              <w:rPr>
                <w:rFonts w:ascii="Arial" w:hAnsi="Arial" w:cs="Arial"/>
                <w:sz w:val="14"/>
                <w:szCs w:val="14"/>
              </w:rPr>
            </w:pPr>
          </w:p>
        </w:tc>
      </w:tr>
      <w:tr w:rsidR="00416D67" w:rsidRPr="00416D67" w14:paraId="064E9B9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D2EACF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K100016</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22AD90E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Kapitalni projekt: Sanacija kulturne baštine </w:t>
            </w:r>
            <w:proofErr w:type="spellStart"/>
            <w:r w:rsidRPr="00416D67">
              <w:rPr>
                <w:rFonts w:ascii="Arial" w:hAnsi="Arial" w:cs="Arial"/>
                <w:b/>
                <w:bCs/>
                <w:sz w:val="14"/>
                <w:szCs w:val="14"/>
              </w:rPr>
              <w:t>Mutvoran</w:t>
            </w:r>
            <w:proofErr w:type="spellEnd"/>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79D220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36.965,94</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622FF34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37.715,94</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4960C8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37.715,94</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6B6B169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5A79E66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0B49A2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B8A5B8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11.965,94</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5E70F7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12.715,94</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C48D04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12.715,94</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069EB6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76C6268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188D88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9E7AE7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11.965,94</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81C51D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12.715,94</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17C535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12.715,94</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995E6D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7A47A9F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AC0705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33A1AFA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5CDCD73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11.965,94</w:t>
            </w:r>
          </w:p>
        </w:tc>
        <w:tc>
          <w:tcPr>
            <w:tcW w:w="1070" w:type="dxa"/>
            <w:tcBorders>
              <w:top w:val="single" w:sz="4" w:space="0" w:color="auto"/>
              <w:left w:val="nil"/>
              <w:bottom w:val="single" w:sz="4" w:space="0" w:color="auto"/>
              <w:right w:val="single" w:sz="4" w:space="0" w:color="auto"/>
            </w:tcBorders>
            <w:noWrap/>
            <w:vAlign w:val="bottom"/>
            <w:hideMark/>
          </w:tcPr>
          <w:p w14:paraId="1F3A07C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12.715,94</w:t>
            </w:r>
          </w:p>
        </w:tc>
        <w:tc>
          <w:tcPr>
            <w:tcW w:w="1095" w:type="dxa"/>
            <w:tcBorders>
              <w:top w:val="single" w:sz="4" w:space="0" w:color="auto"/>
              <w:left w:val="nil"/>
              <w:bottom w:val="single" w:sz="4" w:space="0" w:color="auto"/>
              <w:right w:val="single" w:sz="4" w:space="0" w:color="auto"/>
            </w:tcBorders>
            <w:noWrap/>
            <w:vAlign w:val="bottom"/>
            <w:hideMark/>
          </w:tcPr>
          <w:p w14:paraId="1048C46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12.715,94</w:t>
            </w:r>
          </w:p>
        </w:tc>
        <w:tc>
          <w:tcPr>
            <w:tcW w:w="918" w:type="dxa"/>
            <w:tcBorders>
              <w:top w:val="single" w:sz="4" w:space="0" w:color="auto"/>
              <w:left w:val="nil"/>
              <w:bottom w:val="single" w:sz="4" w:space="0" w:color="auto"/>
              <w:right w:val="single" w:sz="4" w:space="0" w:color="auto"/>
            </w:tcBorders>
            <w:noWrap/>
            <w:vAlign w:val="bottom"/>
            <w:hideMark/>
          </w:tcPr>
          <w:p w14:paraId="52A40B0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3976D75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A5038D5" w14:textId="77777777" w:rsidR="00416D67" w:rsidRPr="00416D67" w:rsidRDefault="00416D67" w:rsidP="00416D67">
            <w:pPr>
              <w:rPr>
                <w:rFonts w:ascii="Arial" w:hAnsi="Arial" w:cs="Arial"/>
                <w:sz w:val="14"/>
                <w:szCs w:val="14"/>
              </w:rPr>
            </w:pPr>
            <w:r w:rsidRPr="00416D67">
              <w:rPr>
                <w:rFonts w:ascii="Arial" w:hAnsi="Arial" w:cs="Arial"/>
                <w:sz w:val="14"/>
                <w:szCs w:val="14"/>
              </w:rPr>
              <w:t>4214</w:t>
            </w:r>
          </w:p>
        </w:tc>
        <w:tc>
          <w:tcPr>
            <w:tcW w:w="8106" w:type="dxa"/>
            <w:tcBorders>
              <w:top w:val="single" w:sz="4" w:space="0" w:color="auto"/>
              <w:left w:val="nil"/>
              <w:bottom w:val="single" w:sz="4" w:space="0" w:color="auto"/>
              <w:right w:val="single" w:sz="4" w:space="0" w:color="auto"/>
            </w:tcBorders>
            <w:noWrap/>
            <w:vAlign w:val="bottom"/>
            <w:hideMark/>
          </w:tcPr>
          <w:p w14:paraId="62A0FD99" w14:textId="77777777" w:rsidR="00416D67" w:rsidRPr="00416D67" w:rsidRDefault="00416D67" w:rsidP="00416D67">
            <w:pPr>
              <w:rPr>
                <w:rFonts w:ascii="Arial" w:hAnsi="Arial" w:cs="Arial"/>
                <w:sz w:val="14"/>
                <w:szCs w:val="14"/>
              </w:rPr>
            </w:pPr>
            <w:r w:rsidRPr="00416D67">
              <w:rPr>
                <w:rFonts w:ascii="Arial" w:hAnsi="Arial" w:cs="Arial"/>
                <w:sz w:val="14"/>
                <w:szCs w:val="14"/>
              </w:rPr>
              <w:t>Ostali građevinski objekti</w:t>
            </w:r>
          </w:p>
        </w:tc>
        <w:tc>
          <w:tcPr>
            <w:tcW w:w="1095" w:type="dxa"/>
            <w:tcBorders>
              <w:top w:val="single" w:sz="4" w:space="0" w:color="auto"/>
              <w:left w:val="nil"/>
              <w:bottom w:val="single" w:sz="4" w:space="0" w:color="auto"/>
              <w:right w:val="single" w:sz="4" w:space="0" w:color="auto"/>
            </w:tcBorders>
            <w:noWrap/>
            <w:vAlign w:val="bottom"/>
            <w:hideMark/>
          </w:tcPr>
          <w:p w14:paraId="552DB59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59C47F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782582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12.715,94</w:t>
            </w:r>
          </w:p>
        </w:tc>
        <w:tc>
          <w:tcPr>
            <w:tcW w:w="918" w:type="dxa"/>
            <w:tcBorders>
              <w:top w:val="single" w:sz="4" w:space="0" w:color="auto"/>
              <w:left w:val="nil"/>
              <w:bottom w:val="single" w:sz="4" w:space="0" w:color="auto"/>
              <w:right w:val="single" w:sz="4" w:space="0" w:color="auto"/>
            </w:tcBorders>
            <w:noWrap/>
            <w:vAlign w:val="bottom"/>
            <w:hideMark/>
          </w:tcPr>
          <w:p w14:paraId="0E7BABB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18764B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F2FA18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 Pomoći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154CD7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D5A95F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737C86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20FC1B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15174F7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2F401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5.1.2 Pomoći državni  proračun </w:t>
            </w:r>
            <w:proofErr w:type="spellStart"/>
            <w:r w:rsidRPr="00416D67">
              <w:rPr>
                <w:rFonts w:ascii="Arial" w:hAnsi="Arial" w:cs="Arial"/>
                <w:b/>
                <w:bCs/>
                <w:color w:val="333333"/>
                <w:sz w:val="14"/>
                <w:szCs w:val="14"/>
              </w:rPr>
              <w:t>min.kulture</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9B9D03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876804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522EF5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845B40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5F5E29C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A4FB46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1EC809F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7B34087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25.000,00</w:t>
            </w:r>
          </w:p>
        </w:tc>
        <w:tc>
          <w:tcPr>
            <w:tcW w:w="1070" w:type="dxa"/>
            <w:tcBorders>
              <w:top w:val="single" w:sz="4" w:space="0" w:color="auto"/>
              <w:left w:val="nil"/>
              <w:bottom w:val="single" w:sz="4" w:space="0" w:color="auto"/>
              <w:right w:val="single" w:sz="4" w:space="0" w:color="auto"/>
            </w:tcBorders>
            <w:noWrap/>
            <w:vAlign w:val="bottom"/>
            <w:hideMark/>
          </w:tcPr>
          <w:p w14:paraId="1634FFF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25.000,00</w:t>
            </w:r>
          </w:p>
        </w:tc>
        <w:tc>
          <w:tcPr>
            <w:tcW w:w="1095" w:type="dxa"/>
            <w:tcBorders>
              <w:top w:val="single" w:sz="4" w:space="0" w:color="auto"/>
              <w:left w:val="nil"/>
              <w:bottom w:val="single" w:sz="4" w:space="0" w:color="auto"/>
              <w:right w:val="single" w:sz="4" w:space="0" w:color="auto"/>
            </w:tcBorders>
            <w:noWrap/>
            <w:vAlign w:val="bottom"/>
            <w:hideMark/>
          </w:tcPr>
          <w:p w14:paraId="0A4B843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25.000,00</w:t>
            </w:r>
          </w:p>
        </w:tc>
        <w:tc>
          <w:tcPr>
            <w:tcW w:w="918" w:type="dxa"/>
            <w:tcBorders>
              <w:top w:val="single" w:sz="4" w:space="0" w:color="auto"/>
              <w:left w:val="nil"/>
              <w:bottom w:val="single" w:sz="4" w:space="0" w:color="auto"/>
              <w:right w:val="single" w:sz="4" w:space="0" w:color="auto"/>
            </w:tcBorders>
            <w:noWrap/>
            <w:vAlign w:val="bottom"/>
            <w:hideMark/>
          </w:tcPr>
          <w:p w14:paraId="0E1BE64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53DBAAD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A74A389" w14:textId="77777777" w:rsidR="00416D67" w:rsidRPr="00416D67" w:rsidRDefault="00416D67" w:rsidP="00416D67">
            <w:pPr>
              <w:rPr>
                <w:rFonts w:ascii="Arial" w:hAnsi="Arial" w:cs="Arial"/>
                <w:sz w:val="14"/>
                <w:szCs w:val="14"/>
              </w:rPr>
            </w:pPr>
            <w:r w:rsidRPr="00416D67">
              <w:rPr>
                <w:rFonts w:ascii="Arial" w:hAnsi="Arial" w:cs="Arial"/>
                <w:sz w:val="14"/>
                <w:szCs w:val="14"/>
              </w:rPr>
              <w:t>4214</w:t>
            </w:r>
          </w:p>
        </w:tc>
        <w:tc>
          <w:tcPr>
            <w:tcW w:w="8106" w:type="dxa"/>
            <w:tcBorders>
              <w:top w:val="single" w:sz="4" w:space="0" w:color="auto"/>
              <w:left w:val="nil"/>
              <w:bottom w:val="single" w:sz="4" w:space="0" w:color="auto"/>
              <w:right w:val="single" w:sz="4" w:space="0" w:color="auto"/>
            </w:tcBorders>
            <w:noWrap/>
            <w:vAlign w:val="bottom"/>
            <w:hideMark/>
          </w:tcPr>
          <w:p w14:paraId="27B2911E" w14:textId="77777777" w:rsidR="00416D67" w:rsidRPr="00416D67" w:rsidRDefault="00416D67" w:rsidP="00416D67">
            <w:pPr>
              <w:rPr>
                <w:rFonts w:ascii="Arial" w:hAnsi="Arial" w:cs="Arial"/>
                <w:sz w:val="14"/>
                <w:szCs w:val="14"/>
              </w:rPr>
            </w:pPr>
            <w:r w:rsidRPr="00416D67">
              <w:rPr>
                <w:rFonts w:ascii="Arial" w:hAnsi="Arial" w:cs="Arial"/>
                <w:sz w:val="14"/>
                <w:szCs w:val="14"/>
              </w:rPr>
              <w:t>Ostali građevinski objekti</w:t>
            </w:r>
          </w:p>
        </w:tc>
        <w:tc>
          <w:tcPr>
            <w:tcW w:w="1095" w:type="dxa"/>
            <w:tcBorders>
              <w:top w:val="single" w:sz="4" w:space="0" w:color="auto"/>
              <w:left w:val="nil"/>
              <w:bottom w:val="single" w:sz="4" w:space="0" w:color="auto"/>
              <w:right w:val="single" w:sz="4" w:space="0" w:color="auto"/>
            </w:tcBorders>
            <w:noWrap/>
            <w:vAlign w:val="bottom"/>
            <w:hideMark/>
          </w:tcPr>
          <w:p w14:paraId="0875F74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09C2E4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2A8C25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25.000,00</w:t>
            </w:r>
          </w:p>
        </w:tc>
        <w:tc>
          <w:tcPr>
            <w:tcW w:w="918" w:type="dxa"/>
            <w:tcBorders>
              <w:top w:val="single" w:sz="4" w:space="0" w:color="auto"/>
              <w:left w:val="nil"/>
              <w:bottom w:val="single" w:sz="4" w:space="0" w:color="auto"/>
              <w:right w:val="single" w:sz="4" w:space="0" w:color="auto"/>
            </w:tcBorders>
            <w:noWrap/>
            <w:vAlign w:val="bottom"/>
            <w:hideMark/>
          </w:tcPr>
          <w:p w14:paraId="4F35892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E09FD5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2D367FE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3024</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1ED5B3C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Program: Program javnih potreba u sportu</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075EEAF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1.235.439,28</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5F6870A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1.245.149,28</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44B7751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735.014,36</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4D14B25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59,03%</w:t>
            </w:r>
          </w:p>
        </w:tc>
      </w:tr>
      <w:tr w:rsidR="00416D67" w:rsidRPr="00416D67" w14:paraId="06B402C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04978C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2DAB59A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Sportska zajednica Općine Marčana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19A98E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110.000,00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42E8DC3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110.000,00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A540A7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110.000,00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05220F5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193B7CA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2DB7BA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922F2E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CCD8E3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4D4B47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110.000,00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F1BD15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2FD8E8F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A290DF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409C8F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670B9A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D8FEFE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110.000,00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5F4150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48839F0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F6E4A2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351EE49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7D34B12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110.000,00</w:t>
            </w:r>
          </w:p>
        </w:tc>
        <w:tc>
          <w:tcPr>
            <w:tcW w:w="1070" w:type="dxa"/>
            <w:tcBorders>
              <w:top w:val="single" w:sz="4" w:space="0" w:color="auto"/>
              <w:left w:val="nil"/>
              <w:bottom w:val="single" w:sz="4" w:space="0" w:color="auto"/>
              <w:right w:val="single" w:sz="4" w:space="0" w:color="auto"/>
            </w:tcBorders>
            <w:noWrap/>
            <w:vAlign w:val="bottom"/>
            <w:hideMark/>
          </w:tcPr>
          <w:p w14:paraId="697CEA6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110.000,00</w:t>
            </w:r>
          </w:p>
        </w:tc>
        <w:tc>
          <w:tcPr>
            <w:tcW w:w="1095" w:type="dxa"/>
            <w:tcBorders>
              <w:top w:val="single" w:sz="4" w:space="0" w:color="auto"/>
              <w:left w:val="nil"/>
              <w:bottom w:val="single" w:sz="4" w:space="0" w:color="auto"/>
              <w:right w:val="single" w:sz="4" w:space="0" w:color="auto"/>
            </w:tcBorders>
            <w:noWrap/>
            <w:vAlign w:val="bottom"/>
            <w:hideMark/>
          </w:tcPr>
          <w:p w14:paraId="783944F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110.000,00</w:t>
            </w:r>
          </w:p>
        </w:tc>
        <w:tc>
          <w:tcPr>
            <w:tcW w:w="918" w:type="dxa"/>
            <w:tcBorders>
              <w:top w:val="single" w:sz="4" w:space="0" w:color="auto"/>
              <w:left w:val="nil"/>
              <w:bottom w:val="single" w:sz="4" w:space="0" w:color="auto"/>
              <w:right w:val="single" w:sz="4" w:space="0" w:color="auto"/>
            </w:tcBorders>
            <w:noWrap/>
            <w:vAlign w:val="bottom"/>
            <w:hideMark/>
          </w:tcPr>
          <w:p w14:paraId="48177F8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1EBE5D5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C78B298" w14:textId="77777777" w:rsidR="00416D67" w:rsidRPr="00416D67" w:rsidRDefault="00416D67" w:rsidP="00416D67">
            <w:pPr>
              <w:rPr>
                <w:rFonts w:ascii="Arial" w:hAnsi="Arial" w:cs="Arial"/>
                <w:sz w:val="14"/>
                <w:szCs w:val="14"/>
              </w:rPr>
            </w:pPr>
            <w:r w:rsidRPr="00416D67">
              <w:rPr>
                <w:rFonts w:ascii="Arial" w:hAnsi="Arial" w:cs="Arial"/>
                <w:sz w:val="14"/>
                <w:szCs w:val="14"/>
              </w:rPr>
              <w:t>3811</w:t>
            </w:r>
          </w:p>
        </w:tc>
        <w:tc>
          <w:tcPr>
            <w:tcW w:w="8106" w:type="dxa"/>
            <w:tcBorders>
              <w:top w:val="single" w:sz="4" w:space="0" w:color="auto"/>
              <w:left w:val="nil"/>
              <w:bottom w:val="single" w:sz="4" w:space="0" w:color="auto"/>
              <w:right w:val="single" w:sz="4" w:space="0" w:color="auto"/>
            </w:tcBorders>
            <w:noWrap/>
            <w:vAlign w:val="bottom"/>
            <w:hideMark/>
          </w:tcPr>
          <w:p w14:paraId="3D68765E" w14:textId="77777777" w:rsidR="00416D67" w:rsidRPr="00416D67" w:rsidRDefault="00416D67" w:rsidP="00416D67">
            <w:pPr>
              <w:rPr>
                <w:rFonts w:ascii="Arial" w:hAnsi="Arial" w:cs="Arial"/>
                <w:sz w:val="14"/>
                <w:szCs w:val="14"/>
              </w:rPr>
            </w:pPr>
            <w:r w:rsidRPr="00416D67">
              <w:rPr>
                <w:rFonts w:ascii="Arial" w:hAnsi="Arial" w:cs="Arial"/>
                <w:sz w:val="14"/>
                <w:szCs w:val="14"/>
              </w:rPr>
              <w:t>Tekuće donacije u novcu</w:t>
            </w:r>
          </w:p>
        </w:tc>
        <w:tc>
          <w:tcPr>
            <w:tcW w:w="1095" w:type="dxa"/>
            <w:tcBorders>
              <w:top w:val="single" w:sz="4" w:space="0" w:color="auto"/>
              <w:left w:val="nil"/>
              <w:bottom w:val="single" w:sz="4" w:space="0" w:color="auto"/>
              <w:right w:val="single" w:sz="4" w:space="0" w:color="auto"/>
            </w:tcBorders>
            <w:noWrap/>
            <w:vAlign w:val="bottom"/>
            <w:hideMark/>
          </w:tcPr>
          <w:p w14:paraId="6B91C57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250835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5CAE9F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110.000,00</w:t>
            </w:r>
          </w:p>
        </w:tc>
        <w:tc>
          <w:tcPr>
            <w:tcW w:w="918" w:type="dxa"/>
            <w:tcBorders>
              <w:top w:val="single" w:sz="4" w:space="0" w:color="auto"/>
              <w:left w:val="nil"/>
              <w:bottom w:val="single" w:sz="4" w:space="0" w:color="auto"/>
              <w:right w:val="single" w:sz="4" w:space="0" w:color="auto"/>
            </w:tcBorders>
            <w:noWrap/>
            <w:vAlign w:val="bottom"/>
            <w:hideMark/>
          </w:tcPr>
          <w:p w14:paraId="047F326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456339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80F68A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A100005</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522DF82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Aktivnost: Vanjske usluge održavanja sportskih terena i dvorane u </w:t>
            </w:r>
            <w:proofErr w:type="spellStart"/>
            <w:r w:rsidRPr="00416D67">
              <w:rPr>
                <w:rFonts w:ascii="Arial" w:hAnsi="Arial" w:cs="Arial"/>
                <w:b/>
                <w:bCs/>
                <w:sz w:val="14"/>
                <w:szCs w:val="14"/>
              </w:rPr>
              <w:t>Marčani</w:t>
            </w:r>
            <w:proofErr w:type="spellEnd"/>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894C55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23.500,00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0E63225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23.500,00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C2898D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20.954,75</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0C7BCC3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89,17%</w:t>
            </w:r>
          </w:p>
        </w:tc>
      </w:tr>
      <w:tr w:rsidR="00416D67" w:rsidRPr="00416D67" w14:paraId="7BCD17B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A06315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AA0091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23.500,00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8895E3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23.500,00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8F154C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20.954,75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D4E317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89,17%</w:t>
            </w:r>
          </w:p>
        </w:tc>
      </w:tr>
      <w:tr w:rsidR="00416D67" w:rsidRPr="00416D67" w14:paraId="52EF9E2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612E39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DB25FF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23.500,00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F194CF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23.500,00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8AA9AB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20.954,75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3FD2E8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89,17%</w:t>
            </w:r>
          </w:p>
        </w:tc>
      </w:tr>
      <w:tr w:rsidR="00416D67" w:rsidRPr="00416D67" w14:paraId="4EE70B1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D94252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476205D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1687A7B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23.500,00</w:t>
            </w:r>
          </w:p>
        </w:tc>
        <w:tc>
          <w:tcPr>
            <w:tcW w:w="1070" w:type="dxa"/>
            <w:tcBorders>
              <w:top w:val="single" w:sz="4" w:space="0" w:color="auto"/>
              <w:left w:val="nil"/>
              <w:bottom w:val="single" w:sz="4" w:space="0" w:color="auto"/>
              <w:right w:val="single" w:sz="4" w:space="0" w:color="auto"/>
            </w:tcBorders>
            <w:noWrap/>
            <w:vAlign w:val="bottom"/>
            <w:hideMark/>
          </w:tcPr>
          <w:p w14:paraId="6D399BF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23.500,00</w:t>
            </w:r>
          </w:p>
        </w:tc>
        <w:tc>
          <w:tcPr>
            <w:tcW w:w="1095" w:type="dxa"/>
            <w:tcBorders>
              <w:top w:val="single" w:sz="4" w:space="0" w:color="auto"/>
              <w:left w:val="nil"/>
              <w:bottom w:val="single" w:sz="4" w:space="0" w:color="auto"/>
              <w:right w:val="single" w:sz="4" w:space="0" w:color="auto"/>
            </w:tcBorders>
            <w:noWrap/>
            <w:vAlign w:val="bottom"/>
            <w:hideMark/>
          </w:tcPr>
          <w:p w14:paraId="56219BC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20.954,75</w:t>
            </w:r>
          </w:p>
        </w:tc>
        <w:tc>
          <w:tcPr>
            <w:tcW w:w="918" w:type="dxa"/>
            <w:tcBorders>
              <w:top w:val="single" w:sz="4" w:space="0" w:color="auto"/>
              <w:left w:val="nil"/>
              <w:bottom w:val="single" w:sz="4" w:space="0" w:color="auto"/>
              <w:right w:val="single" w:sz="4" w:space="0" w:color="auto"/>
            </w:tcBorders>
            <w:noWrap/>
            <w:vAlign w:val="bottom"/>
            <w:hideMark/>
          </w:tcPr>
          <w:p w14:paraId="62616ED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89,17%</w:t>
            </w:r>
          </w:p>
        </w:tc>
      </w:tr>
      <w:tr w:rsidR="00416D67" w:rsidRPr="00416D67" w14:paraId="3F0FFF4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0A28140" w14:textId="77777777" w:rsidR="00416D67" w:rsidRPr="00416D67" w:rsidRDefault="00416D67" w:rsidP="00416D67">
            <w:pPr>
              <w:rPr>
                <w:rFonts w:ascii="Arial" w:hAnsi="Arial" w:cs="Arial"/>
                <w:sz w:val="14"/>
                <w:szCs w:val="14"/>
              </w:rPr>
            </w:pPr>
            <w:r w:rsidRPr="00416D67">
              <w:rPr>
                <w:rFonts w:ascii="Arial" w:hAnsi="Arial" w:cs="Arial"/>
                <w:sz w:val="14"/>
                <w:szCs w:val="14"/>
              </w:rPr>
              <w:t>3232</w:t>
            </w:r>
          </w:p>
        </w:tc>
        <w:tc>
          <w:tcPr>
            <w:tcW w:w="8106" w:type="dxa"/>
            <w:tcBorders>
              <w:top w:val="single" w:sz="4" w:space="0" w:color="auto"/>
              <w:left w:val="nil"/>
              <w:bottom w:val="single" w:sz="4" w:space="0" w:color="auto"/>
              <w:right w:val="single" w:sz="4" w:space="0" w:color="auto"/>
            </w:tcBorders>
            <w:noWrap/>
            <w:vAlign w:val="bottom"/>
            <w:hideMark/>
          </w:tcPr>
          <w:p w14:paraId="454537AF" w14:textId="77777777" w:rsidR="00416D67" w:rsidRPr="00416D67" w:rsidRDefault="00416D67" w:rsidP="00416D67">
            <w:pPr>
              <w:rPr>
                <w:rFonts w:ascii="Arial" w:hAnsi="Arial" w:cs="Arial"/>
                <w:sz w:val="14"/>
                <w:szCs w:val="14"/>
              </w:rPr>
            </w:pPr>
            <w:r w:rsidRPr="00416D67">
              <w:rPr>
                <w:rFonts w:ascii="Arial" w:hAnsi="Arial" w:cs="Arial"/>
                <w:sz w:val="14"/>
                <w:szCs w:val="14"/>
              </w:rPr>
              <w:t>Usluge tekućeg i investicijskog  održavanja</w:t>
            </w:r>
          </w:p>
        </w:tc>
        <w:tc>
          <w:tcPr>
            <w:tcW w:w="1095" w:type="dxa"/>
            <w:tcBorders>
              <w:top w:val="single" w:sz="4" w:space="0" w:color="auto"/>
              <w:left w:val="nil"/>
              <w:bottom w:val="single" w:sz="4" w:space="0" w:color="auto"/>
              <w:right w:val="single" w:sz="4" w:space="0" w:color="auto"/>
            </w:tcBorders>
            <w:noWrap/>
            <w:vAlign w:val="bottom"/>
            <w:hideMark/>
          </w:tcPr>
          <w:p w14:paraId="0B7620B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DD12AA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C5D0D6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20.954,75</w:t>
            </w:r>
          </w:p>
        </w:tc>
        <w:tc>
          <w:tcPr>
            <w:tcW w:w="918" w:type="dxa"/>
            <w:tcBorders>
              <w:top w:val="single" w:sz="4" w:space="0" w:color="auto"/>
              <w:left w:val="nil"/>
              <w:bottom w:val="single" w:sz="4" w:space="0" w:color="auto"/>
              <w:right w:val="single" w:sz="4" w:space="0" w:color="auto"/>
            </w:tcBorders>
            <w:noWrap/>
            <w:vAlign w:val="bottom"/>
            <w:hideMark/>
          </w:tcPr>
          <w:p w14:paraId="48D8C52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CDF11F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3C0EA4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A100007</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7AE9B64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Materijalni troškovi sportskih terena  na području Općine Marčana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302E35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50D84BC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4DF328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4.403,97</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51A187A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44,04%</w:t>
            </w:r>
          </w:p>
        </w:tc>
      </w:tr>
      <w:tr w:rsidR="00416D67" w:rsidRPr="00416D67" w14:paraId="5BF086F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C16FA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BE5064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C2DA20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DAD21F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4.403,97</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5FD92A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44,04%</w:t>
            </w:r>
          </w:p>
        </w:tc>
      </w:tr>
      <w:tr w:rsidR="00416D67" w:rsidRPr="00416D67" w14:paraId="6393D17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57640DE"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4A352A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8A6878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7A9AB4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4.403,97</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31D3C0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44,04%</w:t>
            </w:r>
          </w:p>
        </w:tc>
      </w:tr>
      <w:tr w:rsidR="00416D67" w:rsidRPr="00416D67" w14:paraId="155D424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8D6EF8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28AF3A0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6552C6C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10.000,00</w:t>
            </w:r>
          </w:p>
        </w:tc>
        <w:tc>
          <w:tcPr>
            <w:tcW w:w="1070" w:type="dxa"/>
            <w:tcBorders>
              <w:top w:val="single" w:sz="4" w:space="0" w:color="auto"/>
              <w:left w:val="nil"/>
              <w:bottom w:val="single" w:sz="4" w:space="0" w:color="auto"/>
              <w:right w:val="single" w:sz="4" w:space="0" w:color="auto"/>
            </w:tcBorders>
            <w:noWrap/>
            <w:vAlign w:val="bottom"/>
            <w:hideMark/>
          </w:tcPr>
          <w:p w14:paraId="33A1D4F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10.000,00</w:t>
            </w:r>
          </w:p>
        </w:tc>
        <w:tc>
          <w:tcPr>
            <w:tcW w:w="1095" w:type="dxa"/>
            <w:tcBorders>
              <w:top w:val="single" w:sz="4" w:space="0" w:color="auto"/>
              <w:left w:val="nil"/>
              <w:bottom w:val="single" w:sz="4" w:space="0" w:color="auto"/>
              <w:right w:val="single" w:sz="4" w:space="0" w:color="auto"/>
            </w:tcBorders>
            <w:noWrap/>
            <w:vAlign w:val="bottom"/>
            <w:hideMark/>
          </w:tcPr>
          <w:p w14:paraId="62747C9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4.403,97</w:t>
            </w:r>
          </w:p>
        </w:tc>
        <w:tc>
          <w:tcPr>
            <w:tcW w:w="918" w:type="dxa"/>
            <w:tcBorders>
              <w:top w:val="single" w:sz="4" w:space="0" w:color="auto"/>
              <w:left w:val="nil"/>
              <w:bottom w:val="single" w:sz="4" w:space="0" w:color="auto"/>
              <w:right w:val="single" w:sz="4" w:space="0" w:color="auto"/>
            </w:tcBorders>
            <w:noWrap/>
            <w:vAlign w:val="bottom"/>
            <w:hideMark/>
          </w:tcPr>
          <w:p w14:paraId="29DCC42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44,04%</w:t>
            </w:r>
          </w:p>
        </w:tc>
      </w:tr>
      <w:tr w:rsidR="00416D67" w:rsidRPr="00416D67" w14:paraId="3ED3BC9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5C4E6FA" w14:textId="77777777" w:rsidR="00416D67" w:rsidRPr="00416D67" w:rsidRDefault="00416D67" w:rsidP="00416D67">
            <w:pPr>
              <w:rPr>
                <w:rFonts w:ascii="Arial" w:hAnsi="Arial" w:cs="Arial"/>
                <w:sz w:val="14"/>
                <w:szCs w:val="14"/>
              </w:rPr>
            </w:pPr>
            <w:r w:rsidRPr="00416D67">
              <w:rPr>
                <w:rFonts w:ascii="Arial" w:hAnsi="Arial" w:cs="Arial"/>
                <w:sz w:val="14"/>
                <w:szCs w:val="14"/>
              </w:rPr>
              <w:t>3223</w:t>
            </w:r>
          </w:p>
        </w:tc>
        <w:tc>
          <w:tcPr>
            <w:tcW w:w="8106" w:type="dxa"/>
            <w:tcBorders>
              <w:top w:val="single" w:sz="4" w:space="0" w:color="auto"/>
              <w:left w:val="nil"/>
              <w:bottom w:val="single" w:sz="4" w:space="0" w:color="auto"/>
              <w:right w:val="single" w:sz="4" w:space="0" w:color="auto"/>
            </w:tcBorders>
            <w:noWrap/>
            <w:vAlign w:val="bottom"/>
            <w:hideMark/>
          </w:tcPr>
          <w:p w14:paraId="5DDDD358" w14:textId="77777777" w:rsidR="00416D67" w:rsidRPr="00416D67" w:rsidRDefault="00416D67" w:rsidP="00416D67">
            <w:pPr>
              <w:rPr>
                <w:rFonts w:ascii="Arial" w:hAnsi="Arial" w:cs="Arial"/>
                <w:sz w:val="14"/>
                <w:szCs w:val="14"/>
              </w:rPr>
            </w:pPr>
            <w:r w:rsidRPr="00416D67">
              <w:rPr>
                <w:rFonts w:ascii="Arial" w:hAnsi="Arial" w:cs="Arial"/>
                <w:sz w:val="14"/>
                <w:szCs w:val="14"/>
              </w:rPr>
              <w:t>Energija</w:t>
            </w:r>
          </w:p>
        </w:tc>
        <w:tc>
          <w:tcPr>
            <w:tcW w:w="1095" w:type="dxa"/>
            <w:tcBorders>
              <w:top w:val="single" w:sz="4" w:space="0" w:color="auto"/>
              <w:left w:val="nil"/>
              <w:bottom w:val="single" w:sz="4" w:space="0" w:color="auto"/>
              <w:right w:val="single" w:sz="4" w:space="0" w:color="auto"/>
            </w:tcBorders>
            <w:noWrap/>
            <w:vAlign w:val="bottom"/>
            <w:hideMark/>
          </w:tcPr>
          <w:p w14:paraId="2201BE9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7F9AF1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0BE4E4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735,62</w:t>
            </w:r>
          </w:p>
        </w:tc>
        <w:tc>
          <w:tcPr>
            <w:tcW w:w="918" w:type="dxa"/>
            <w:tcBorders>
              <w:top w:val="single" w:sz="4" w:space="0" w:color="auto"/>
              <w:left w:val="nil"/>
              <w:bottom w:val="single" w:sz="4" w:space="0" w:color="auto"/>
              <w:right w:val="single" w:sz="4" w:space="0" w:color="auto"/>
            </w:tcBorders>
            <w:noWrap/>
            <w:vAlign w:val="bottom"/>
            <w:hideMark/>
          </w:tcPr>
          <w:p w14:paraId="1FCE0CF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0B856E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BF6CAED" w14:textId="77777777" w:rsidR="00416D67" w:rsidRPr="00416D67" w:rsidRDefault="00416D67" w:rsidP="00416D67">
            <w:pPr>
              <w:rPr>
                <w:rFonts w:ascii="Arial" w:hAnsi="Arial" w:cs="Arial"/>
                <w:sz w:val="14"/>
                <w:szCs w:val="14"/>
              </w:rPr>
            </w:pPr>
            <w:r w:rsidRPr="00416D67">
              <w:rPr>
                <w:rFonts w:ascii="Arial" w:hAnsi="Arial" w:cs="Arial"/>
                <w:sz w:val="14"/>
                <w:szCs w:val="14"/>
              </w:rPr>
              <w:t>3234</w:t>
            </w:r>
          </w:p>
        </w:tc>
        <w:tc>
          <w:tcPr>
            <w:tcW w:w="8106" w:type="dxa"/>
            <w:tcBorders>
              <w:top w:val="single" w:sz="4" w:space="0" w:color="auto"/>
              <w:left w:val="nil"/>
              <w:bottom w:val="single" w:sz="4" w:space="0" w:color="auto"/>
              <w:right w:val="single" w:sz="4" w:space="0" w:color="auto"/>
            </w:tcBorders>
            <w:noWrap/>
            <w:vAlign w:val="bottom"/>
            <w:hideMark/>
          </w:tcPr>
          <w:p w14:paraId="25D3D4FE" w14:textId="77777777" w:rsidR="00416D67" w:rsidRPr="00416D67" w:rsidRDefault="00416D67" w:rsidP="00416D67">
            <w:pPr>
              <w:rPr>
                <w:rFonts w:ascii="Arial" w:hAnsi="Arial" w:cs="Arial"/>
                <w:sz w:val="14"/>
                <w:szCs w:val="14"/>
              </w:rPr>
            </w:pPr>
            <w:r w:rsidRPr="00416D67">
              <w:rPr>
                <w:rFonts w:ascii="Arial" w:hAnsi="Arial" w:cs="Arial"/>
                <w:sz w:val="14"/>
                <w:szCs w:val="14"/>
              </w:rPr>
              <w:t>Komunalne usluge</w:t>
            </w:r>
          </w:p>
        </w:tc>
        <w:tc>
          <w:tcPr>
            <w:tcW w:w="1095" w:type="dxa"/>
            <w:tcBorders>
              <w:top w:val="single" w:sz="4" w:space="0" w:color="auto"/>
              <w:left w:val="nil"/>
              <w:bottom w:val="single" w:sz="4" w:space="0" w:color="auto"/>
              <w:right w:val="single" w:sz="4" w:space="0" w:color="auto"/>
            </w:tcBorders>
            <w:noWrap/>
            <w:vAlign w:val="bottom"/>
            <w:hideMark/>
          </w:tcPr>
          <w:p w14:paraId="4A9EE78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D24AB9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2D7844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3.668,35</w:t>
            </w:r>
          </w:p>
        </w:tc>
        <w:tc>
          <w:tcPr>
            <w:tcW w:w="918" w:type="dxa"/>
            <w:tcBorders>
              <w:top w:val="single" w:sz="4" w:space="0" w:color="auto"/>
              <w:left w:val="nil"/>
              <w:bottom w:val="single" w:sz="4" w:space="0" w:color="auto"/>
              <w:right w:val="single" w:sz="4" w:space="0" w:color="auto"/>
            </w:tcBorders>
            <w:noWrap/>
            <w:vAlign w:val="bottom"/>
            <w:hideMark/>
          </w:tcPr>
          <w:p w14:paraId="70F9F85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F940F8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AEAB22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A100015</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18C1AB5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Hitne i nepredviđene potrebe u sportu</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8D7A19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635F0E6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0B8322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4.636,28</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4568C68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92,73%</w:t>
            </w:r>
          </w:p>
        </w:tc>
      </w:tr>
      <w:tr w:rsidR="00416D67" w:rsidRPr="00416D67" w14:paraId="13DBFAA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E240DD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8332D7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E63476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1B818B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4.636,28</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E98B81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92,73%</w:t>
            </w:r>
          </w:p>
        </w:tc>
      </w:tr>
      <w:tr w:rsidR="00416D67" w:rsidRPr="00416D67" w14:paraId="2AD347D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92B48B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C912D8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88BA17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FBEA99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4.636,28</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07C479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92,73%</w:t>
            </w:r>
          </w:p>
        </w:tc>
      </w:tr>
      <w:tr w:rsidR="00416D67" w:rsidRPr="00416D67" w14:paraId="6B8D69E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678EB9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67F2AE7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641BBDF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5.000,00</w:t>
            </w:r>
          </w:p>
        </w:tc>
        <w:tc>
          <w:tcPr>
            <w:tcW w:w="1070" w:type="dxa"/>
            <w:tcBorders>
              <w:top w:val="single" w:sz="4" w:space="0" w:color="auto"/>
              <w:left w:val="nil"/>
              <w:bottom w:val="single" w:sz="4" w:space="0" w:color="auto"/>
              <w:right w:val="single" w:sz="4" w:space="0" w:color="auto"/>
            </w:tcBorders>
            <w:noWrap/>
            <w:vAlign w:val="bottom"/>
            <w:hideMark/>
          </w:tcPr>
          <w:p w14:paraId="175338B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5.000,00</w:t>
            </w:r>
          </w:p>
        </w:tc>
        <w:tc>
          <w:tcPr>
            <w:tcW w:w="1095" w:type="dxa"/>
            <w:tcBorders>
              <w:top w:val="single" w:sz="4" w:space="0" w:color="auto"/>
              <w:left w:val="nil"/>
              <w:bottom w:val="single" w:sz="4" w:space="0" w:color="auto"/>
              <w:right w:val="single" w:sz="4" w:space="0" w:color="auto"/>
            </w:tcBorders>
            <w:noWrap/>
            <w:vAlign w:val="bottom"/>
            <w:hideMark/>
          </w:tcPr>
          <w:p w14:paraId="6EB3C71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4.636,28</w:t>
            </w:r>
          </w:p>
        </w:tc>
        <w:tc>
          <w:tcPr>
            <w:tcW w:w="918" w:type="dxa"/>
            <w:tcBorders>
              <w:top w:val="single" w:sz="4" w:space="0" w:color="auto"/>
              <w:left w:val="nil"/>
              <w:bottom w:val="single" w:sz="4" w:space="0" w:color="auto"/>
              <w:right w:val="single" w:sz="4" w:space="0" w:color="auto"/>
            </w:tcBorders>
            <w:noWrap/>
            <w:vAlign w:val="bottom"/>
            <w:hideMark/>
          </w:tcPr>
          <w:p w14:paraId="01E93B1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92,73%</w:t>
            </w:r>
          </w:p>
        </w:tc>
      </w:tr>
      <w:tr w:rsidR="00416D67" w:rsidRPr="00416D67" w14:paraId="1313AE5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B259140" w14:textId="77777777" w:rsidR="00416D67" w:rsidRPr="00416D67" w:rsidRDefault="00416D67" w:rsidP="00416D67">
            <w:pPr>
              <w:rPr>
                <w:rFonts w:ascii="Arial" w:hAnsi="Arial" w:cs="Arial"/>
                <w:sz w:val="14"/>
                <w:szCs w:val="14"/>
              </w:rPr>
            </w:pPr>
            <w:r w:rsidRPr="00416D67">
              <w:rPr>
                <w:rFonts w:ascii="Arial" w:hAnsi="Arial" w:cs="Arial"/>
                <w:sz w:val="14"/>
                <w:szCs w:val="14"/>
              </w:rPr>
              <w:t>3811</w:t>
            </w:r>
          </w:p>
        </w:tc>
        <w:tc>
          <w:tcPr>
            <w:tcW w:w="8106" w:type="dxa"/>
            <w:tcBorders>
              <w:top w:val="single" w:sz="4" w:space="0" w:color="auto"/>
              <w:left w:val="nil"/>
              <w:bottom w:val="single" w:sz="4" w:space="0" w:color="auto"/>
              <w:right w:val="single" w:sz="4" w:space="0" w:color="auto"/>
            </w:tcBorders>
            <w:noWrap/>
            <w:vAlign w:val="bottom"/>
            <w:hideMark/>
          </w:tcPr>
          <w:p w14:paraId="5B42213C" w14:textId="77777777" w:rsidR="00416D67" w:rsidRPr="00416D67" w:rsidRDefault="00416D67" w:rsidP="00416D67">
            <w:pPr>
              <w:rPr>
                <w:rFonts w:ascii="Arial" w:hAnsi="Arial" w:cs="Arial"/>
                <w:sz w:val="14"/>
                <w:szCs w:val="14"/>
              </w:rPr>
            </w:pPr>
            <w:r w:rsidRPr="00416D67">
              <w:rPr>
                <w:rFonts w:ascii="Arial" w:hAnsi="Arial" w:cs="Arial"/>
                <w:sz w:val="14"/>
                <w:szCs w:val="14"/>
              </w:rPr>
              <w:t>Tekuće donacije u novcu</w:t>
            </w:r>
          </w:p>
        </w:tc>
        <w:tc>
          <w:tcPr>
            <w:tcW w:w="1095" w:type="dxa"/>
            <w:tcBorders>
              <w:top w:val="single" w:sz="4" w:space="0" w:color="auto"/>
              <w:left w:val="nil"/>
              <w:bottom w:val="single" w:sz="4" w:space="0" w:color="auto"/>
              <w:right w:val="single" w:sz="4" w:space="0" w:color="auto"/>
            </w:tcBorders>
            <w:noWrap/>
            <w:vAlign w:val="bottom"/>
            <w:hideMark/>
          </w:tcPr>
          <w:p w14:paraId="1301E49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AAB875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173F29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4.636,28</w:t>
            </w:r>
          </w:p>
        </w:tc>
        <w:tc>
          <w:tcPr>
            <w:tcW w:w="918" w:type="dxa"/>
            <w:tcBorders>
              <w:top w:val="single" w:sz="4" w:space="0" w:color="auto"/>
              <w:left w:val="nil"/>
              <w:bottom w:val="single" w:sz="4" w:space="0" w:color="auto"/>
              <w:right w:val="single" w:sz="4" w:space="0" w:color="auto"/>
            </w:tcBorders>
            <w:noWrap/>
            <w:vAlign w:val="bottom"/>
            <w:hideMark/>
          </w:tcPr>
          <w:p w14:paraId="482D75F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12E0F3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5152EF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K100002</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48B81D1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Kapitalni projekt: Proširenje nogometnog igrališta Peruški</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A3FCC8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5C96F99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35.300,00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6F2E55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35.227,41</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4F53E96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99,79%</w:t>
            </w:r>
          </w:p>
        </w:tc>
      </w:tr>
      <w:tr w:rsidR="00416D67" w:rsidRPr="00416D67" w14:paraId="66D930C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F0AF2B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20F589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1C64C1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35.300,00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F628AF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35.227,41</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278FEF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99,79%</w:t>
            </w:r>
          </w:p>
        </w:tc>
      </w:tr>
      <w:tr w:rsidR="00416D67" w:rsidRPr="00416D67" w14:paraId="08412D1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5320CB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C1F16C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FB8EC7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35.300,00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455535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35.227,41</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86B524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99,79%</w:t>
            </w:r>
          </w:p>
        </w:tc>
      </w:tr>
      <w:tr w:rsidR="00416D67" w:rsidRPr="00416D67" w14:paraId="6DCF5E4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76A978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5F43F24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4CB27EA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15.000,00</w:t>
            </w:r>
          </w:p>
        </w:tc>
        <w:tc>
          <w:tcPr>
            <w:tcW w:w="1070" w:type="dxa"/>
            <w:tcBorders>
              <w:top w:val="single" w:sz="4" w:space="0" w:color="auto"/>
              <w:left w:val="nil"/>
              <w:bottom w:val="single" w:sz="4" w:space="0" w:color="auto"/>
              <w:right w:val="single" w:sz="4" w:space="0" w:color="auto"/>
            </w:tcBorders>
            <w:noWrap/>
            <w:vAlign w:val="bottom"/>
            <w:hideMark/>
          </w:tcPr>
          <w:p w14:paraId="76B0FBD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35.300,00</w:t>
            </w:r>
          </w:p>
        </w:tc>
        <w:tc>
          <w:tcPr>
            <w:tcW w:w="1095" w:type="dxa"/>
            <w:tcBorders>
              <w:top w:val="single" w:sz="4" w:space="0" w:color="auto"/>
              <w:left w:val="nil"/>
              <w:bottom w:val="single" w:sz="4" w:space="0" w:color="auto"/>
              <w:right w:val="single" w:sz="4" w:space="0" w:color="auto"/>
            </w:tcBorders>
            <w:noWrap/>
            <w:vAlign w:val="bottom"/>
            <w:hideMark/>
          </w:tcPr>
          <w:p w14:paraId="7EB9818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35.227,41</w:t>
            </w:r>
          </w:p>
        </w:tc>
        <w:tc>
          <w:tcPr>
            <w:tcW w:w="918" w:type="dxa"/>
            <w:tcBorders>
              <w:top w:val="single" w:sz="4" w:space="0" w:color="auto"/>
              <w:left w:val="nil"/>
              <w:bottom w:val="single" w:sz="4" w:space="0" w:color="auto"/>
              <w:right w:val="single" w:sz="4" w:space="0" w:color="auto"/>
            </w:tcBorders>
            <w:noWrap/>
            <w:vAlign w:val="bottom"/>
            <w:hideMark/>
          </w:tcPr>
          <w:p w14:paraId="2DAA000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99,79%</w:t>
            </w:r>
          </w:p>
        </w:tc>
      </w:tr>
      <w:tr w:rsidR="00416D67" w:rsidRPr="00416D67" w14:paraId="6EF974A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761FA21" w14:textId="77777777" w:rsidR="00416D67" w:rsidRPr="00416D67" w:rsidRDefault="00416D67" w:rsidP="00416D67">
            <w:pPr>
              <w:rPr>
                <w:rFonts w:ascii="Arial" w:hAnsi="Arial" w:cs="Arial"/>
                <w:sz w:val="14"/>
                <w:szCs w:val="14"/>
              </w:rPr>
            </w:pPr>
            <w:r w:rsidRPr="00416D67">
              <w:rPr>
                <w:rFonts w:ascii="Arial" w:hAnsi="Arial" w:cs="Arial"/>
                <w:sz w:val="14"/>
                <w:szCs w:val="14"/>
              </w:rPr>
              <w:t>4214</w:t>
            </w:r>
          </w:p>
        </w:tc>
        <w:tc>
          <w:tcPr>
            <w:tcW w:w="8106" w:type="dxa"/>
            <w:tcBorders>
              <w:top w:val="single" w:sz="4" w:space="0" w:color="auto"/>
              <w:left w:val="nil"/>
              <w:bottom w:val="single" w:sz="4" w:space="0" w:color="auto"/>
              <w:right w:val="single" w:sz="4" w:space="0" w:color="auto"/>
            </w:tcBorders>
            <w:noWrap/>
            <w:vAlign w:val="bottom"/>
            <w:hideMark/>
          </w:tcPr>
          <w:p w14:paraId="14C5A087" w14:textId="77777777" w:rsidR="00416D67" w:rsidRPr="00416D67" w:rsidRDefault="00416D67" w:rsidP="00416D67">
            <w:pPr>
              <w:rPr>
                <w:rFonts w:ascii="Arial" w:hAnsi="Arial" w:cs="Arial"/>
                <w:sz w:val="14"/>
                <w:szCs w:val="14"/>
              </w:rPr>
            </w:pPr>
            <w:r w:rsidRPr="00416D67">
              <w:rPr>
                <w:rFonts w:ascii="Arial" w:hAnsi="Arial" w:cs="Arial"/>
                <w:sz w:val="14"/>
                <w:szCs w:val="14"/>
              </w:rPr>
              <w:t>Ostali građevinski objekti</w:t>
            </w:r>
          </w:p>
        </w:tc>
        <w:tc>
          <w:tcPr>
            <w:tcW w:w="1095" w:type="dxa"/>
            <w:tcBorders>
              <w:top w:val="single" w:sz="4" w:space="0" w:color="auto"/>
              <w:left w:val="nil"/>
              <w:bottom w:val="single" w:sz="4" w:space="0" w:color="auto"/>
              <w:right w:val="single" w:sz="4" w:space="0" w:color="auto"/>
            </w:tcBorders>
            <w:noWrap/>
            <w:vAlign w:val="bottom"/>
            <w:hideMark/>
          </w:tcPr>
          <w:p w14:paraId="7CAC1B0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195E06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DCE381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35.227,41</w:t>
            </w:r>
          </w:p>
        </w:tc>
        <w:tc>
          <w:tcPr>
            <w:tcW w:w="918" w:type="dxa"/>
            <w:tcBorders>
              <w:top w:val="single" w:sz="4" w:space="0" w:color="auto"/>
              <w:left w:val="nil"/>
              <w:bottom w:val="single" w:sz="4" w:space="0" w:color="auto"/>
              <w:right w:val="single" w:sz="4" w:space="0" w:color="auto"/>
            </w:tcBorders>
            <w:noWrap/>
            <w:vAlign w:val="bottom"/>
            <w:hideMark/>
          </w:tcPr>
          <w:p w14:paraId="0B4B9E0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114C99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72FD719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Organizacijska klasifikacija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FFC04AC"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07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24C31B3"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01B5334"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9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353CE0D"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2025/2024.           (3/2)</w:t>
            </w:r>
          </w:p>
        </w:tc>
      </w:tr>
      <w:tr w:rsidR="00416D67" w:rsidRPr="00416D67" w14:paraId="3397D02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4586DC9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Izvori</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61CA010C"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1D9701ED"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4531AF66"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1E22AEC7" w14:textId="77777777" w:rsidR="00416D67" w:rsidRPr="00416D67" w:rsidRDefault="00416D67" w:rsidP="00416D67">
            <w:pPr>
              <w:rPr>
                <w:rFonts w:ascii="Arial" w:hAnsi="Arial" w:cs="Arial"/>
                <w:sz w:val="14"/>
                <w:szCs w:val="14"/>
              </w:rPr>
            </w:pPr>
          </w:p>
        </w:tc>
      </w:tr>
      <w:tr w:rsidR="00416D67" w:rsidRPr="00416D67" w14:paraId="4D99987F"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000000"/>
            </w:tcBorders>
            <w:shd w:val="clear" w:color="000000" w:fill="D9D9D9"/>
            <w:hideMark/>
          </w:tcPr>
          <w:p w14:paraId="6219230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Projekt/Aktivnost</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7962EDCF"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634A0599"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29C5B1E6"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20468CF0" w14:textId="77777777" w:rsidR="00416D67" w:rsidRPr="00416D67" w:rsidRDefault="00416D67" w:rsidP="00416D67">
            <w:pPr>
              <w:rPr>
                <w:rFonts w:ascii="Arial" w:hAnsi="Arial" w:cs="Arial"/>
                <w:sz w:val="14"/>
                <w:szCs w:val="14"/>
              </w:rPr>
            </w:pPr>
          </w:p>
        </w:tc>
      </w:tr>
      <w:tr w:rsidR="00416D67" w:rsidRPr="00416D67" w14:paraId="7642138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87C1AA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K100004</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6C173C5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Kapitalni projekt: Izgradnja </w:t>
            </w:r>
            <w:proofErr w:type="spellStart"/>
            <w:r w:rsidRPr="00416D67">
              <w:rPr>
                <w:rFonts w:ascii="Arial" w:hAnsi="Arial" w:cs="Arial"/>
                <w:b/>
                <w:bCs/>
                <w:sz w:val="14"/>
                <w:szCs w:val="14"/>
              </w:rPr>
              <w:t>sporske</w:t>
            </w:r>
            <w:proofErr w:type="spellEnd"/>
            <w:r w:rsidRPr="00416D67">
              <w:rPr>
                <w:rFonts w:ascii="Arial" w:hAnsi="Arial" w:cs="Arial"/>
                <w:b/>
                <w:bCs/>
                <w:sz w:val="14"/>
                <w:szCs w:val="14"/>
              </w:rPr>
              <w:t xml:space="preserve"> dvorane u </w:t>
            </w:r>
            <w:proofErr w:type="spellStart"/>
            <w:r w:rsidRPr="00416D67">
              <w:rPr>
                <w:rFonts w:ascii="Arial" w:hAnsi="Arial" w:cs="Arial"/>
                <w:b/>
                <w:bCs/>
                <w:sz w:val="14"/>
                <w:szCs w:val="14"/>
              </w:rPr>
              <w:t>Krnici</w:t>
            </w:r>
            <w:proofErr w:type="spellEnd"/>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2723D2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45.000,00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03A1DF7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42.750,00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4066BD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34.201,25</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3564C76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80,00%</w:t>
            </w:r>
          </w:p>
        </w:tc>
      </w:tr>
      <w:tr w:rsidR="00416D67" w:rsidRPr="00416D67" w14:paraId="71D1995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FF417D4"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2430E8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45.000,00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191748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42.750,00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43092A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34.201,25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676ACD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80,00%</w:t>
            </w:r>
          </w:p>
        </w:tc>
      </w:tr>
      <w:tr w:rsidR="00416D67" w:rsidRPr="00416D67" w14:paraId="44EC4B1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0F43AEE"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lastRenderedPageBreak/>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485896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45.000,00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1F56FE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42.750,00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FD2432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34.201,25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066703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80,00%</w:t>
            </w:r>
          </w:p>
        </w:tc>
      </w:tr>
      <w:tr w:rsidR="00416D67" w:rsidRPr="00416D67" w14:paraId="707F3AF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809B26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670D2B3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7F3F15F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45.000,00</w:t>
            </w:r>
          </w:p>
        </w:tc>
        <w:tc>
          <w:tcPr>
            <w:tcW w:w="1070" w:type="dxa"/>
            <w:tcBorders>
              <w:top w:val="single" w:sz="4" w:space="0" w:color="auto"/>
              <w:left w:val="nil"/>
              <w:bottom w:val="single" w:sz="4" w:space="0" w:color="auto"/>
              <w:right w:val="single" w:sz="4" w:space="0" w:color="auto"/>
            </w:tcBorders>
            <w:noWrap/>
            <w:vAlign w:val="bottom"/>
            <w:hideMark/>
          </w:tcPr>
          <w:p w14:paraId="3239DDA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42.750,00</w:t>
            </w:r>
          </w:p>
        </w:tc>
        <w:tc>
          <w:tcPr>
            <w:tcW w:w="1095" w:type="dxa"/>
            <w:tcBorders>
              <w:top w:val="single" w:sz="4" w:space="0" w:color="auto"/>
              <w:left w:val="nil"/>
              <w:bottom w:val="single" w:sz="4" w:space="0" w:color="auto"/>
              <w:right w:val="single" w:sz="4" w:space="0" w:color="auto"/>
            </w:tcBorders>
            <w:noWrap/>
            <w:vAlign w:val="bottom"/>
            <w:hideMark/>
          </w:tcPr>
          <w:p w14:paraId="70F80E9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34.201,25</w:t>
            </w:r>
          </w:p>
        </w:tc>
        <w:tc>
          <w:tcPr>
            <w:tcW w:w="918" w:type="dxa"/>
            <w:tcBorders>
              <w:top w:val="single" w:sz="4" w:space="0" w:color="auto"/>
              <w:left w:val="nil"/>
              <w:bottom w:val="single" w:sz="4" w:space="0" w:color="auto"/>
              <w:right w:val="single" w:sz="4" w:space="0" w:color="auto"/>
            </w:tcBorders>
            <w:noWrap/>
            <w:vAlign w:val="bottom"/>
            <w:hideMark/>
          </w:tcPr>
          <w:p w14:paraId="77541A3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80,00%</w:t>
            </w:r>
          </w:p>
        </w:tc>
      </w:tr>
      <w:tr w:rsidR="00416D67" w:rsidRPr="00416D67" w14:paraId="141522E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C055D4F" w14:textId="77777777" w:rsidR="00416D67" w:rsidRPr="00416D67" w:rsidRDefault="00416D67" w:rsidP="00416D67">
            <w:pPr>
              <w:rPr>
                <w:rFonts w:ascii="Arial" w:hAnsi="Arial" w:cs="Arial"/>
                <w:sz w:val="14"/>
                <w:szCs w:val="14"/>
              </w:rPr>
            </w:pPr>
            <w:r w:rsidRPr="00416D67">
              <w:rPr>
                <w:rFonts w:ascii="Arial" w:hAnsi="Arial" w:cs="Arial"/>
                <w:sz w:val="14"/>
                <w:szCs w:val="14"/>
              </w:rPr>
              <w:t>4214</w:t>
            </w:r>
          </w:p>
        </w:tc>
        <w:tc>
          <w:tcPr>
            <w:tcW w:w="8106" w:type="dxa"/>
            <w:tcBorders>
              <w:top w:val="single" w:sz="4" w:space="0" w:color="auto"/>
              <w:left w:val="nil"/>
              <w:bottom w:val="single" w:sz="4" w:space="0" w:color="auto"/>
              <w:right w:val="single" w:sz="4" w:space="0" w:color="auto"/>
            </w:tcBorders>
            <w:noWrap/>
            <w:vAlign w:val="bottom"/>
            <w:hideMark/>
          </w:tcPr>
          <w:p w14:paraId="54D9823B" w14:textId="77777777" w:rsidR="00416D67" w:rsidRPr="00416D67" w:rsidRDefault="00416D67" w:rsidP="00416D67">
            <w:pPr>
              <w:rPr>
                <w:rFonts w:ascii="Arial" w:hAnsi="Arial" w:cs="Arial"/>
                <w:sz w:val="14"/>
                <w:szCs w:val="14"/>
              </w:rPr>
            </w:pPr>
            <w:r w:rsidRPr="00416D67">
              <w:rPr>
                <w:rFonts w:ascii="Arial" w:hAnsi="Arial" w:cs="Arial"/>
                <w:sz w:val="14"/>
                <w:szCs w:val="14"/>
              </w:rPr>
              <w:t>Ostali građevinski objekti</w:t>
            </w:r>
          </w:p>
        </w:tc>
        <w:tc>
          <w:tcPr>
            <w:tcW w:w="1095" w:type="dxa"/>
            <w:tcBorders>
              <w:top w:val="single" w:sz="4" w:space="0" w:color="auto"/>
              <w:left w:val="nil"/>
              <w:bottom w:val="single" w:sz="4" w:space="0" w:color="auto"/>
              <w:right w:val="single" w:sz="4" w:space="0" w:color="auto"/>
            </w:tcBorders>
            <w:noWrap/>
            <w:vAlign w:val="bottom"/>
            <w:hideMark/>
          </w:tcPr>
          <w:p w14:paraId="3765E5C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B2DD78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8B2C2D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34.201,25</w:t>
            </w:r>
          </w:p>
        </w:tc>
        <w:tc>
          <w:tcPr>
            <w:tcW w:w="918" w:type="dxa"/>
            <w:tcBorders>
              <w:top w:val="single" w:sz="4" w:space="0" w:color="auto"/>
              <w:left w:val="nil"/>
              <w:bottom w:val="single" w:sz="4" w:space="0" w:color="auto"/>
              <w:right w:val="single" w:sz="4" w:space="0" w:color="auto"/>
            </w:tcBorders>
            <w:noWrap/>
            <w:vAlign w:val="bottom"/>
            <w:hideMark/>
          </w:tcPr>
          <w:p w14:paraId="4CE8A52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275364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9E918A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K100005</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4E6316C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Kapitalni projekt: Izgradnja sportskog centra Mandalena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A6EC4C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650.000,00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167F443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617.500,00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B68772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176.226,17</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61AFDB1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28,54%</w:t>
            </w:r>
          </w:p>
        </w:tc>
      </w:tr>
      <w:tr w:rsidR="00416D67" w:rsidRPr="00416D67" w14:paraId="66DFCBF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5B1419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C2D8C2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A678A2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85.500,00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12B613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83D688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222A19E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A0049E"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FDDE4F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EA66B3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85.500,00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16CFF3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D88BF9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15DE42F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430B94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1C40335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65FDFE3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90.000,00</w:t>
            </w:r>
          </w:p>
        </w:tc>
        <w:tc>
          <w:tcPr>
            <w:tcW w:w="1070" w:type="dxa"/>
            <w:tcBorders>
              <w:top w:val="single" w:sz="4" w:space="0" w:color="auto"/>
              <w:left w:val="nil"/>
              <w:bottom w:val="single" w:sz="4" w:space="0" w:color="auto"/>
              <w:right w:val="single" w:sz="4" w:space="0" w:color="auto"/>
            </w:tcBorders>
            <w:noWrap/>
            <w:vAlign w:val="bottom"/>
            <w:hideMark/>
          </w:tcPr>
          <w:p w14:paraId="5C0FA3D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85.500,00</w:t>
            </w:r>
          </w:p>
        </w:tc>
        <w:tc>
          <w:tcPr>
            <w:tcW w:w="1095" w:type="dxa"/>
            <w:tcBorders>
              <w:top w:val="single" w:sz="4" w:space="0" w:color="auto"/>
              <w:left w:val="nil"/>
              <w:bottom w:val="single" w:sz="4" w:space="0" w:color="auto"/>
              <w:right w:val="single" w:sz="4" w:space="0" w:color="auto"/>
            </w:tcBorders>
            <w:noWrap/>
            <w:vAlign w:val="bottom"/>
            <w:hideMark/>
          </w:tcPr>
          <w:p w14:paraId="5F0D004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10CFFB0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45151CB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BAD3A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 Višak prihoda ranijih godina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C562E5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560.000,00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13CB1C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532.000,00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07DB20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176.226,17</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1249FD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33,13%</w:t>
            </w:r>
          </w:p>
        </w:tc>
      </w:tr>
      <w:tr w:rsidR="00416D67" w:rsidRPr="00416D67" w14:paraId="694187D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5FBDDB1"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9.1.1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A74AC2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560.000,00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8FC969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532.000,00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D2979C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176.226,17</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B31316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33,13%</w:t>
            </w:r>
          </w:p>
        </w:tc>
      </w:tr>
      <w:tr w:rsidR="00416D67" w:rsidRPr="00416D67" w14:paraId="45F9663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2056F9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7596D2F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36272E4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560.000,00</w:t>
            </w:r>
          </w:p>
        </w:tc>
        <w:tc>
          <w:tcPr>
            <w:tcW w:w="1070" w:type="dxa"/>
            <w:tcBorders>
              <w:top w:val="single" w:sz="4" w:space="0" w:color="auto"/>
              <w:left w:val="nil"/>
              <w:bottom w:val="single" w:sz="4" w:space="0" w:color="auto"/>
              <w:right w:val="single" w:sz="4" w:space="0" w:color="auto"/>
            </w:tcBorders>
            <w:noWrap/>
            <w:vAlign w:val="bottom"/>
            <w:hideMark/>
          </w:tcPr>
          <w:p w14:paraId="18276BF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532.000,00</w:t>
            </w:r>
          </w:p>
        </w:tc>
        <w:tc>
          <w:tcPr>
            <w:tcW w:w="1095" w:type="dxa"/>
            <w:tcBorders>
              <w:top w:val="single" w:sz="4" w:space="0" w:color="auto"/>
              <w:left w:val="nil"/>
              <w:bottom w:val="single" w:sz="4" w:space="0" w:color="auto"/>
              <w:right w:val="single" w:sz="4" w:space="0" w:color="auto"/>
            </w:tcBorders>
            <w:noWrap/>
            <w:vAlign w:val="bottom"/>
            <w:hideMark/>
          </w:tcPr>
          <w:p w14:paraId="3B663E4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176.226,17</w:t>
            </w:r>
          </w:p>
        </w:tc>
        <w:tc>
          <w:tcPr>
            <w:tcW w:w="918" w:type="dxa"/>
            <w:tcBorders>
              <w:top w:val="single" w:sz="4" w:space="0" w:color="auto"/>
              <w:left w:val="nil"/>
              <w:bottom w:val="single" w:sz="4" w:space="0" w:color="auto"/>
              <w:right w:val="single" w:sz="4" w:space="0" w:color="auto"/>
            </w:tcBorders>
            <w:noWrap/>
            <w:vAlign w:val="bottom"/>
            <w:hideMark/>
          </w:tcPr>
          <w:p w14:paraId="5C6FBED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33,13%</w:t>
            </w:r>
          </w:p>
        </w:tc>
      </w:tr>
      <w:tr w:rsidR="00416D67" w:rsidRPr="00416D67" w14:paraId="17BFB2E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BD44972" w14:textId="77777777" w:rsidR="00416D67" w:rsidRPr="00416D67" w:rsidRDefault="00416D67" w:rsidP="00416D67">
            <w:pPr>
              <w:rPr>
                <w:rFonts w:ascii="Arial" w:hAnsi="Arial" w:cs="Arial"/>
                <w:sz w:val="14"/>
                <w:szCs w:val="14"/>
              </w:rPr>
            </w:pPr>
            <w:r w:rsidRPr="00416D67">
              <w:rPr>
                <w:rFonts w:ascii="Arial" w:hAnsi="Arial" w:cs="Arial"/>
                <w:sz w:val="14"/>
                <w:szCs w:val="14"/>
              </w:rPr>
              <w:t>4214</w:t>
            </w:r>
          </w:p>
        </w:tc>
        <w:tc>
          <w:tcPr>
            <w:tcW w:w="8106" w:type="dxa"/>
            <w:tcBorders>
              <w:top w:val="single" w:sz="4" w:space="0" w:color="auto"/>
              <w:left w:val="nil"/>
              <w:bottom w:val="single" w:sz="4" w:space="0" w:color="auto"/>
              <w:right w:val="single" w:sz="4" w:space="0" w:color="auto"/>
            </w:tcBorders>
            <w:noWrap/>
            <w:vAlign w:val="bottom"/>
            <w:hideMark/>
          </w:tcPr>
          <w:p w14:paraId="6A12439F" w14:textId="77777777" w:rsidR="00416D67" w:rsidRPr="00416D67" w:rsidRDefault="00416D67" w:rsidP="00416D67">
            <w:pPr>
              <w:rPr>
                <w:rFonts w:ascii="Arial" w:hAnsi="Arial" w:cs="Arial"/>
                <w:sz w:val="14"/>
                <w:szCs w:val="14"/>
              </w:rPr>
            </w:pPr>
            <w:r w:rsidRPr="00416D67">
              <w:rPr>
                <w:rFonts w:ascii="Arial" w:hAnsi="Arial" w:cs="Arial"/>
                <w:sz w:val="14"/>
                <w:szCs w:val="14"/>
              </w:rPr>
              <w:t>Ostali građevinski objekti</w:t>
            </w:r>
          </w:p>
        </w:tc>
        <w:tc>
          <w:tcPr>
            <w:tcW w:w="1095" w:type="dxa"/>
            <w:tcBorders>
              <w:top w:val="single" w:sz="4" w:space="0" w:color="auto"/>
              <w:left w:val="nil"/>
              <w:bottom w:val="single" w:sz="4" w:space="0" w:color="auto"/>
              <w:right w:val="single" w:sz="4" w:space="0" w:color="auto"/>
            </w:tcBorders>
            <w:noWrap/>
            <w:vAlign w:val="bottom"/>
            <w:hideMark/>
          </w:tcPr>
          <w:p w14:paraId="59B9273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2F225DD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477F54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176.226,17</w:t>
            </w:r>
          </w:p>
        </w:tc>
        <w:tc>
          <w:tcPr>
            <w:tcW w:w="918" w:type="dxa"/>
            <w:tcBorders>
              <w:top w:val="single" w:sz="4" w:space="0" w:color="auto"/>
              <w:left w:val="nil"/>
              <w:bottom w:val="single" w:sz="4" w:space="0" w:color="auto"/>
              <w:right w:val="single" w:sz="4" w:space="0" w:color="auto"/>
            </w:tcBorders>
            <w:noWrap/>
            <w:vAlign w:val="bottom"/>
            <w:hideMark/>
          </w:tcPr>
          <w:p w14:paraId="1909604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FCF2CA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03F0E5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K100006</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7E1662A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Kapitalni projekt: Rekonstrukcija nogometnog igrališta u </w:t>
            </w:r>
            <w:proofErr w:type="spellStart"/>
            <w:r w:rsidRPr="00416D67">
              <w:rPr>
                <w:rFonts w:ascii="Arial" w:hAnsi="Arial" w:cs="Arial"/>
                <w:b/>
                <w:bCs/>
                <w:sz w:val="14"/>
                <w:szCs w:val="14"/>
              </w:rPr>
              <w:t>Marčani</w:t>
            </w:r>
            <w:proofErr w:type="spellEnd"/>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BD3268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300.100,00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2E79500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328.100,00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EFFC74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336.166,47</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358BD09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102,46%</w:t>
            </w:r>
          </w:p>
        </w:tc>
      </w:tr>
      <w:tr w:rsidR="00416D67" w:rsidRPr="00416D67" w14:paraId="69CD896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9F16BD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 Pomoći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DC3218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1E8F1C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0906E0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7.500,00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FDA03B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 </w:t>
            </w:r>
          </w:p>
        </w:tc>
      </w:tr>
      <w:tr w:rsidR="00416D67" w:rsidRPr="00416D67" w14:paraId="2C5D62F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D1C187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5.1.13 Kapitalne pomoći državni proračun</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9E473D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C3CBF5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18479D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7.500,00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242164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 </w:t>
            </w:r>
          </w:p>
        </w:tc>
      </w:tr>
      <w:tr w:rsidR="00416D67" w:rsidRPr="00416D67" w14:paraId="7F29E7C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5AB121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5EE1230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7E0A230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1070" w:type="dxa"/>
            <w:tcBorders>
              <w:top w:val="single" w:sz="4" w:space="0" w:color="auto"/>
              <w:left w:val="nil"/>
              <w:bottom w:val="single" w:sz="4" w:space="0" w:color="auto"/>
              <w:right w:val="single" w:sz="4" w:space="0" w:color="auto"/>
            </w:tcBorders>
            <w:noWrap/>
            <w:vAlign w:val="bottom"/>
            <w:hideMark/>
          </w:tcPr>
          <w:p w14:paraId="65EFA38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1095" w:type="dxa"/>
            <w:tcBorders>
              <w:top w:val="single" w:sz="4" w:space="0" w:color="auto"/>
              <w:left w:val="nil"/>
              <w:bottom w:val="single" w:sz="4" w:space="0" w:color="auto"/>
              <w:right w:val="single" w:sz="4" w:space="0" w:color="auto"/>
            </w:tcBorders>
            <w:noWrap/>
            <w:vAlign w:val="bottom"/>
            <w:hideMark/>
          </w:tcPr>
          <w:p w14:paraId="356265E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7.500,00</w:t>
            </w:r>
          </w:p>
        </w:tc>
        <w:tc>
          <w:tcPr>
            <w:tcW w:w="918" w:type="dxa"/>
            <w:tcBorders>
              <w:top w:val="single" w:sz="4" w:space="0" w:color="auto"/>
              <w:left w:val="nil"/>
              <w:bottom w:val="single" w:sz="4" w:space="0" w:color="auto"/>
              <w:right w:val="single" w:sz="4" w:space="0" w:color="auto"/>
            </w:tcBorders>
            <w:noWrap/>
            <w:vAlign w:val="bottom"/>
            <w:hideMark/>
          </w:tcPr>
          <w:p w14:paraId="1AEC87F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r>
      <w:tr w:rsidR="00416D67" w:rsidRPr="00416D67" w14:paraId="44379FE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5AD823B" w14:textId="77777777" w:rsidR="00416D67" w:rsidRPr="00416D67" w:rsidRDefault="00416D67" w:rsidP="00416D67">
            <w:pPr>
              <w:rPr>
                <w:rFonts w:ascii="Arial" w:hAnsi="Arial" w:cs="Arial"/>
                <w:sz w:val="14"/>
                <w:szCs w:val="14"/>
              </w:rPr>
            </w:pPr>
            <w:r w:rsidRPr="00416D67">
              <w:rPr>
                <w:rFonts w:ascii="Arial" w:hAnsi="Arial" w:cs="Arial"/>
                <w:sz w:val="14"/>
                <w:szCs w:val="14"/>
              </w:rPr>
              <w:t>4214</w:t>
            </w:r>
          </w:p>
        </w:tc>
        <w:tc>
          <w:tcPr>
            <w:tcW w:w="8106" w:type="dxa"/>
            <w:tcBorders>
              <w:top w:val="single" w:sz="4" w:space="0" w:color="auto"/>
              <w:left w:val="nil"/>
              <w:bottom w:val="single" w:sz="4" w:space="0" w:color="auto"/>
              <w:right w:val="single" w:sz="4" w:space="0" w:color="auto"/>
            </w:tcBorders>
            <w:noWrap/>
            <w:vAlign w:val="bottom"/>
            <w:hideMark/>
          </w:tcPr>
          <w:p w14:paraId="6C69C91A" w14:textId="77777777" w:rsidR="00416D67" w:rsidRPr="00416D67" w:rsidRDefault="00416D67" w:rsidP="00416D67">
            <w:pPr>
              <w:rPr>
                <w:rFonts w:ascii="Arial" w:hAnsi="Arial" w:cs="Arial"/>
                <w:sz w:val="14"/>
                <w:szCs w:val="14"/>
              </w:rPr>
            </w:pPr>
            <w:r w:rsidRPr="00416D67">
              <w:rPr>
                <w:rFonts w:ascii="Arial" w:hAnsi="Arial" w:cs="Arial"/>
                <w:sz w:val="14"/>
                <w:szCs w:val="14"/>
              </w:rPr>
              <w:t>Ostali građevinski objekti</w:t>
            </w:r>
          </w:p>
        </w:tc>
        <w:tc>
          <w:tcPr>
            <w:tcW w:w="1095" w:type="dxa"/>
            <w:tcBorders>
              <w:top w:val="single" w:sz="4" w:space="0" w:color="auto"/>
              <w:left w:val="nil"/>
              <w:bottom w:val="single" w:sz="4" w:space="0" w:color="auto"/>
              <w:right w:val="single" w:sz="4" w:space="0" w:color="auto"/>
            </w:tcBorders>
            <w:noWrap/>
            <w:vAlign w:val="bottom"/>
            <w:hideMark/>
          </w:tcPr>
          <w:p w14:paraId="3154E91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217E56D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6D6674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7.500,00</w:t>
            </w:r>
          </w:p>
        </w:tc>
        <w:tc>
          <w:tcPr>
            <w:tcW w:w="918" w:type="dxa"/>
            <w:tcBorders>
              <w:top w:val="single" w:sz="4" w:space="0" w:color="auto"/>
              <w:left w:val="nil"/>
              <w:bottom w:val="single" w:sz="4" w:space="0" w:color="auto"/>
              <w:right w:val="single" w:sz="4" w:space="0" w:color="auto"/>
            </w:tcBorders>
            <w:noWrap/>
            <w:vAlign w:val="bottom"/>
            <w:hideMark/>
          </w:tcPr>
          <w:p w14:paraId="6A43C05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04466BF"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4FD4A64"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 Višak prihoda ranijih godina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41B950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300.100,00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130F7F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328.100,00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EA4E6E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328.666,47</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73B7D5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100,17%</w:t>
            </w:r>
          </w:p>
        </w:tc>
      </w:tr>
      <w:tr w:rsidR="00416D67" w:rsidRPr="00416D67" w14:paraId="52151B6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B2675D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9.1.1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D83ABB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246.157,19</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F6094C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274.157,19</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73880B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274.723,66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DADDD7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100,21%</w:t>
            </w:r>
          </w:p>
        </w:tc>
      </w:tr>
      <w:tr w:rsidR="00416D67" w:rsidRPr="00416D67" w14:paraId="25867DF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EC9391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589F750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78587EC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246.157,19</w:t>
            </w:r>
          </w:p>
        </w:tc>
        <w:tc>
          <w:tcPr>
            <w:tcW w:w="1070" w:type="dxa"/>
            <w:tcBorders>
              <w:top w:val="single" w:sz="4" w:space="0" w:color="auto"/>
              <w:left w:val="nil"/>
              <w:bottom w:val="single" w:sz="4" w:space="0" w:color="auto"/>
              <w:right w:val="single" w:sz="4" w:space="0" w:color="auto"/>
            </w:tcBorders>
            <w:noWrap/>
            <w:vAlign w:val="bottom"/>
            <w:hideMark/>
          </w:tcPr>
          <w:p w14:paraId="76057DB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274.157,19</w:t>
            </w:r>
          </w:p>
        </w:tc>
        <w:tc>
          <w:tcPr>
            <w:tcW w:w="1095" w:type="dxa"/>
            <w:tcBorders>
              <w:top w:val="single" w:sz="4" w:space="0" w:color="auto"/>
              <w:left w:val="nil"/>
              <w:bottom w:val="single" w:sz="4" w:space="0" w:color="auto"/>
              <w:right w:val="single" w:sz="4" w:space="0" w:color="auto"/>
            </w:tcBorders>
            <w:noWrap/>
            <w:vAlign w:val="bottom"/>
            <w:hideMark/>
          </w:tcPr>
          <w:p w14:paraId="4BB4265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274.723,66</w:t>
            </w:r>
          </w:p>
        </w:tc>
        <w:tc>
          <w:tcPr>
            <w:tcW w:w="918" w:type="dxa"/>
            <w:tcBorders>
              <w:top w:val="single" w:sz="4" w:space="0" w:color="auto"/>
              <w:left w:val="nil"/>
              <w:bottom w:val="single" w:sz="4" w:space="0" w:color="auto"/>
              <w:right w:val="single" w:sz="4" w:space="0" w:color="auto"/>
            </w:tcBorders>
            <w:noWrap/>
            <w:vAlign w:val="bottom"/>
            <w:hideMark/>
          </w:tcPr>
          <w:p w14:paraId="59301AF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100,21%</w:t>
            </w:r>
          </w:p>
        </w:tc>
      </w:tr>
      <w:tr w:rsidR="00416D67" w:rsidRPr="00416D67" w14:paraId="4053707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39C6F70" w14:textId="77777777" w:rsidR="00416D67" w:rsidRPr="00416D67" w:rsidRDefault="00416D67" w:rsidP="00416D67">
            <w:pPr>
              <w:rPr>
                <w:rFonts w:ascii="Arial" w:hAnsi="Arial" w:cs="Arial"/>
                <w:sz w:val="14"/>
                <w:szCs w:val="14"/>
              </w:rPr>
            </w:pPr>
            <w:r w:rsidRPr="00416D67">
              <w:rPr>
                <w:rFonts w:ascii="Arial" w:hAnsi="Arial" w:cs="Arial"/>
                <w:sz w:val="14"/>
                <w:szCs w:val="14"/>
              </w:rPr>
              <w:t>4214</w:t>
            </w:r>
          </w:p>
        </w:tc>
        <w:tc>
          <w:tcPr>
            <w:tcW w:w="8106" w:type="dxa"/>
            <w:tcBorders>
              <w:top w:val="single" w:sz="4" w:space="0" w:color="auto"/>
              <w:left w:val="nil"/>
              <w:bottom w:val="single" w:sz="4" w:space="0" w:color="auto"/>
              <w:right w:val="single" w:sz="4" w:space="0" w:color="auto"/>
            </w:tcBorders>
            <w:noWrap/>
            <w:vAlign w:val="bottom"/>
            <w:hideMark/>
          </w:tcPr>
          <w:p w14:paraId="136BE053" w14:textId="77777777" w:rsidR="00416D67" w:rsidRPr="00416D67" w:rsidRDefault="00416D67" w:rsidP="00416D67">
            <w:pPr>
              <w:rPr>
                <w:rFonts w:ascii="Arial" w:hAnsi="Arial" w:cs="Arial"/>
                <w:sz w:val="14"/>
                <w:szCs w:val="14"/>
              </w:rPr>
            </w:pPr>
            <w:r w:rsidRPr="00416D67">
              <w:rPr>
                <w:rFonts w:ascii="Arial" w:hAnsi="Arial" w:cs="Arial"/>
                <w:sz w:val="14"/>
                <w:szCs w:val="14"/>
              </w:rPr>
              <w:t>Ostali građevinski objekti</w:t>
            </w:r>
          </w:p>
        </w:tc>
        <w:tc>
          <w:tcPr>
            <w:tcW w:w="1095" w:type="dxa"/>
            <w:tcBorders>
              <w:top w:val="single" w:sz="4" w:space="0" w:color="auto"/>
              <w:left w:val="nil"/>
              <w:bottom w:val="single" w:sz="4" w:space="0" w:color="auto"/>
              <w:right w:val="single" w:sz="4" w:space="0" w:color="auto"/>
            </w:tcBorders>
            <w:noWrap/>
            <w:vAlign w:val="bottom"/>
            <w:hideMark/>
          </w:tcPr>
          <w:p w14:paraId="2C89925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4BEEFD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C02D5D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274.723,66</w:t>
            </w:r>
          </w:p>
        </w:tc>
        <w:tc>
          <w:tcPr>
            <w:tcW w:w="918" w:type="dxa"/>
            <w:tcBorders>
              <w:top w:val="single" w:sz="4" w:space="0" w:color="auto"/>
              <w:left w:val="nil"/>
              <w:bottom w:val="single" w:sz="4" w:space="0" w:color="auto"/>
              <w:right w:val="single" w:sz="4" w:space="0" w:color="auto"/>
            </w:tcBorders>
            <w:noWrap/>
            <w:vAlign w:val="bottom"/>
            <w:hideMark/>
          </w:tcPr>
          <w:p w14:paraId="33D2FD7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AE4571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C0E46B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9.5.3 Višak prihoda  </w:t>
            </w:r>
            <w:proofErr w:type="spellStart"/>
            <w:r w:rsidRPr="00416D67">
              <w:rPr>
                <w:rFonts w:ascii="Arial" w:hAnsi="Arial" w:cs="Arial"/>
                <w:b/>
                <w:bCs/>
                <w:color w:val="333333"/>
                <w:sz w:val="14"/>
                <w:szCs w:val="14"/>
              </w:rPr>
              <w:t>p.g</w:t>
            </w:r>
            <w:proofErr w:type="spellEnd"/>
            <w:r w:rsidRPr="00416D67">
              <w:rPr>
                <w:rFonts w:ascii="Arial" w:hAnsi="Arial" w:cs="Arial"/>
                <w:b/>
                <w:bCs/>
                <w:color w:val="333333"/>
                <w:sz w:val="14"/>
                <w:szCs w:val="14"/>
              </w:rPr>
              <w:t>. pomoći Ministarstvo turizma i  sporta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ABBD13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53.942,81</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2570D8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53.942,81</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0AF550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53.942,81</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15EBF7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3F0497F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4ED771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34FEFC6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3525109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53.942,81</w:t>
            </w:r>
          </w:p>
        </w:tc>
        <w:tc>
          <w:tcPr>
            <w:tcW w:w="1070" w:type="dxa"/>
            <w:tcBorders>
              <w:top w:val="single" w:sz="4" w:space="0" w:color="auto"/>
              <w:left w:val="nil"/>
              <w:bottom w:val="single" w:sz="4" w:space="0" w:color="auto"/>
              <w:right w:val="single" w:sz="4" w:space="0" w:color="auto"/>
            </w:tcBorders>
            <w:noWrap/>
            <w:vAlign w:val="bottom"/>
            <w:hideMark/>
          </w:tcPr>
          <w:p w14:paraId="69F98A2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53.942,81</w:t>
            </w:r>
          </w:p>
        </w:tc>
        <w:tc>
          <w:tcPr>
            <w:tcW w:w="1095" w:type="dxa"/>
            <w:tcBorders>
              <w:top w:val="single" w:sz="4" w:space="0" w:color="auto"/>
              <w:left w:val="nil"/>
              <w:bottom w:val="single" w:sz="4" w:space="0" w:color="auto"/>
              <w:right w:val="single" w:sz="4" w:space="0" w:color="auto"/>
            </w:tcBorders>
            <w:noWrap/>
            <w:vAlign w:val="bottom"/>
            <w:hideMark/>
          </w:tcPr>
          <w:p w14:paraId="2534ECB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53.942,81</w:t>
            </w:r>
          </w:p>
        </w:tc>
        <w:tc>
          <w:tcPr>
            <w:tcW w:w="918" w:type="dxa"/>
            <w:tcBorders>
              <w:top w:val="single" w:sz="4" w:space="0" w:color="auto"/>
              <w:left w:val="nil"/>
              <w:bottom w:val="single" w:sz="4" w:space="0" w:color="auto"/>
              <w:right w:val="single" w:sz="4" w:space="0" w:color="auto"/>
            </w:tcBorders>
            <w:noWrap/>
            <w:vAlign w:val="bottom"/>
            <w:hideMark/>
          </w:tcPr>
          <w:p w14:paraId="7A6991A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70DD2A9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E46CDDA" w14:textId="77777777" w:rsidR="00416D67" w:rsidRPr="00416D67" w:rsidRDefault="00416D67" w:rsidP="00416D67">
            <w:pPr>
              <w:rPr>
                <w:rFonts w:ascii="Arial" w:hAnsi="Arial" w:cs="Arial"/>
                <w:sz w:val="14"/>
                <w:szCs w:val="14"/>
              </w:rPr>
            </w:pPr>
            <w:r w:rsidRPr="00416D67">
              <w:rPr>
                <w:rFonts w:ascii="Arial" w:hAnsi="Arial" w:cs="Arial"/>
                <w:sz w:val="14"/>
                <w:szCs w:val="14"/>
              </w:rPr>
              <w:t>4214</w:t>
            </w:r>
          </w:p>
        </w:tc>
        <w:tc>
          <w:tcPr>
            <w:tcW w:w="8106" w:type="dxa"/>
            <w:tcBorders>
              <w:top w:val="single" w:sz="4" w:space="0" w:color="auto"/>
              <w:left w:val="nil"/>
              <w:bottom w:val="single" w:sz="4" w:space="0" w:color="auto"/>
              <w:right w:val="single" w:sz="4" w:space="0" w:color="auto"/>
            </w:tcBorders>
            <w:noWrap/>
            <w:vAlign w:val="bottom"/>
            <w:hideMark/>
          </w:tcPr>
          <w:p w14:paraId="6D53E5FB" w14:textId="77777777" w:rsidR="00416D67" w:rsidRPr="00416D67" w:rsidRDefault="00416D67" w:rsidP="00416D67">
            <w:pPr>
              <w:rPr>
                <w:rFonts w:ascii="Arial" w:hAnsi="Arial" w:cs="Arial"/>
                <w:sz w:val="14"/>
                <w:szCs w:val="14"/>
              </w:rPr>
            </w:pPr>
            <w:r w:rsidRPr="00416D67">
              <w:rPr>
                <w:rFonts w:ascii="Arial" w:hAnsi="Arial" w:cs="Arial"/>
                <w:sz w:val="14"/>
                <w:szCs w:val="14"/>
              </w:rPr>
              <w:t>Ostali građevinski objekti</w:t>
            </w:r>
          </w:p>
        </w:tc>
        <w:tc>
          <w:tcPr>
            <w:tcW w:w="1095" w:type="dxa"/>
            <w:tcBorders>
              <w:top w:val="single" w:sz="4" w:space="0" w:color="auto"/>
              <w:left w:val="nil"/>
              <w:bottom w:val="single" w:sz="4" w:space="0" w:color="auto"/>
              <w:right w:val="single" w:sz="4" w:space="0" w:color="auto"/>
            </w:tcBorders>
            <w:noWrap/>
            <w:vAlign w:val="bottom"/>
            <w:hideMark/>
          </w:tcPr>
          <w:p w14:paraId="46AABA7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EBFE01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205888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53.942,81</w:t>
            </w:r>
          </w:p>
        </w:tc>
        <w:tc>
          <w:tcPr>
            <w:tcW w:w="918" w:type="dxa"/>
            <w:tcBorders>
              <w:top w:val="single" w:sz="4" w:space="0" w:color="auto"/>
              <w:left w:val="nil"/>
              <w:bottom w:val="single" w:sz="4" w:space="0" w:color="auto"/>
              <w:right w:val="single" w:sz="4" w:space="0" w:color="auto"/>
            </w:tcBorders>
            <w:noWrap/>
            <w:vAlign w:val="bottom"/>
            <w:hideMark/>
          </w:tcPr>
          <w:p w14:paraId="6954AF7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16D458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FB70CE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K100007</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5C7739C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Kapitalni projekt: Dodatna ulaganja u nogometna igrališta </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4F19B1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76.839,28</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23D7492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72.999,28</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51E0C7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13.198,06</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3CD062D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18,08%</w:t>
            </w:r>
          </w:p>
        </w:tc>
      </w:tr>
      <w:tr w:rsidR="00416D67" w:rsidRPr="00416D67" w14:paraId="07557FB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11EB7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 Višak prihoda ranijih godina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2832BB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76.839,28</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D31E71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72.999,28</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E7A8F9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13.198,06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EE30C2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18,08%</w:t>
            </w:r>
          </w:p>
        </w:tc>
      </w:tr>
      <w:tr w:rsidR="00416D67" w:rsidRPr="00416D67" w14:paraId="3151418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1189F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9.1. Višak prihoda ranijih godina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9E7881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76.839,28</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25C20B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72.999,28</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360B25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13.198,06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FA6E94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18,08%</w:t>
            </w:r>
          </w:p>
        </w:tc>
      </w:tr>
      <w:tr w:rsidR="00416D67" w:rsidRPr="00416D67" w14:paraId="14A86D6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54BE35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1B5D276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5FBE112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76.839,28</w:t>
            </w:r>
          </w:p>
        </w:tc>
        <w:tc>
          <w:tcPr>
            <w:tcW w:w="1070" w:type="dxa"/>
            <w:tcBorders>
              <w:top w:val="single" w:sz="4" w:space="0" w:color="auto"/>
              <w:left w:val="nil"/>
              <w:bottom w:val="single" w:sz="4" w:space="0" w:color="auto"/>
              <w:right w:val="single" w:sz="4" w:space="0" w:color="auto"/>
            </w:tcBorders>
            <w:noWrap/>
            <w:vAlign w:val="bottom"/>
            <w:hideMark/>
          </w:tcPr>
          <w:p w14:paraId="19A50AD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72.999,28</w:t>
            </w:r>
          </w:p>
        </w:tc>
        <w:tc>
          <w:tcPr>
            <w:tcW w:w="1095" w:type="dxa"/>
            <w:tcBorders>
              <w:top w:val="single" w:sz="4" w:space="0" w:color="auto"/>
              <w:left w:val="nil"/>
              <w:bottom w:val="single" w:sz="4" w:space="0" w:color="auto"/>
              <w:right w:val="single" w:sz="4" w:space="0" w:color="auto"/>
            </w:tcBorders>
            <w:noWrap/>
            <w:vAlign w:val="bottom"/>
            <w:hideMark/>
          </w:tcPr>
          <w:p w14:paraId="6B9DB5B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13.198,06</w:t>
            </w:r>
          </w:p>
        </w:tc>
        <w:tc>
          <w:tcPr>
            <w:tcW w:w="918" w:type="dxa"/>
            <w:tcBorders>
              <w:top w:val="single" w:sz="4" w:space="0" w:color="auto"/>
              <w:left w:val="nil"/>
              <w:bottom w:val="single" w:sz="4" w:space="0" w:color="auto"/>
              <w:right w:val="single" w:sz="4" w:space="0" w:color="auto"/>
            </w:tcBorders>
            <w:noWrap/>
            <w:vAlign w:val="bottom"/>
            <w:hideMark/>
          </w:tcPr>
          <w:p w14:paraId="1C52197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18,08%</w:t>
            </w:r>
          </w:p>
        </w:tc>
      </w:tr>
      <w:tr w:rsidR="00416D67" w:rsidRPr="00416D67" w14:paraId="6297671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C7A13F0" w14:textId="77777777" w:rsidR="00416D67" w:rsidRPr="00416D67" w:rsidRDefault="00416D67" w:rsidP="00416D67">
            <w:pPr>
              <w:rPr>
                <w:rFonts w:ascii="Arial" w:hAnsi="Arial" w:cs="Arial"/>
                <w:sz w:val="14"/>
                <w:szCs w:val="14"/>
              </w:rPr>
            </w:pPr>
            <w:r w:rsidRPr="00416D67">
              <w:rPr>
                <w:rFonts w:ascii="Arial" w:hAnsi="Arial" w:cs="Arial"/>
                <w:sz w:val="14"/>
                <w:szCs w:val="14"/>
              </w:rPr>
              <w:t>4214</w:t>
            </w:r>
          </w:p>
        </w:tc>
        <w:tc>
          <w:tcPr>
            <w:tcW w:w="8106" w:type="dxa"/>
            <w:tcBorders>
              <w:top w:val="single" w:sz="4" w:space="0" w:color="auto"/>
              <w:left w:val="nil"/>
              <w:bottom w:val="single" w:sz="4" w:space="0" w:color="auto"/>
              <w:right w:val="single" w:sz="4" w:space="0" w:color="auto"/>
            </w:tcBorders>
            <w:noWrap/>
            <w:vAlign w:val="bottom"/>
            <w:hideMark/>
          </w:tcPr>
          <w:p w14:paraId="125B99E9" w14:textId="77777777" w:rsidR="00416D67" w:rsidRPr="00416D67" w:rsidRDefault="00416D67" w:rsidP="00416D67">
            <w:pPr>
              <w:rPr>
                <w:rFonts w:ascii="Arial" w:hAnsi="Arial" w:cs="Arial"/>
                <w:sz w:val="14"/>
                <w:szCs w:val="14"/>
              </w:rPr>
            </w:pPr>
            <w:r w:rsidRPr="00416D67">
              <w:rPr>
                <w:rFonts w:ascii="Arial" w:hAnsi="Arial" w:cs="Arial"/>
                <w:sz w:val="14"/>
                <w:szCs w:val="14"/>
              </w:rPr>
              <w:t>Ostali građevinski objekti</w:t>
            </w:r>
          </w:p>
        </w:tc>
        <w:tc>
          <w:tcPr>
            <w:tcW w:w="1095" w:type="dxa"/>
            <w:tcBorders>
              <w:top w:val="single" w:sz="4" w:space="0" w:color="auto"/>
              <w:left w:val="nil"/>
              <w:bottom w:val="single" w:sz="4" w:space="0" w:color="auto"/>
              <w:right w:val="single" w:sz="4" w:space="0" w:color="auto"/>
            </w:tcBorders>
            <w:noWrap/>
            <w:vAlign w:val="bottom"/>
            <w:hideMark/>
          </w:tcPr>
          <w:p w14:paraId="5F2C2A3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C5BED5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DAC5A3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13.198,06</w:t>
            </w:r>
          </w:p>
        </w:tc>
        <w:tc>
          <w:tcPr>
            <w:tcW w:w="918" w:type="dxa"/>
            <w:tcBorders>
              <w:top w:val="single" w:sz="4" w:space="0" w:color="auto"/>
              <w:left w:val="nil"/>
              <w:bottom w:val="single" w:sz="4" w:space="0" w:color="auto"/>
              <w:right w:val="single" w:sz="4" w:space="0" w:color="auto"/>
            </w:tcBorders>
            <w:noWrap/>
            <w:vAlign w:val="bottom"/>
            <w:hideMark/>
          </w:tcPr>
          <w:p w14:paraId="480E2B1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199C12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655AF2D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3025</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6D22E3E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Program: Program javnih potreba koje se ostvaruju putem udruga civilnog društva</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6E8D8E1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7.700,00</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4791410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7.700,00</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2A79863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6.450,00</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131D999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83,77%</w:t>
            </w:r>
          </w:p>
        </w:tc>
      </w:tr>
      <w:tr w:rsidR="00416D67" w:rsidRPr="00416D67" w14:paraId="5A0C036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29478D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04EDCC5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Financiranje programa i projekata udruga civilnog društva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1C6055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6.300,00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14C6E61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6.300,00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D75EF4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5.950,00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20683D7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94,44%</w:t>
            </w:r>
          </w:p>
        </w:tc>
      </w:tr>
      <w:tr w:rsidR="00416D67" w:rsidRPr="00416D67" w14:paraId="0AE6B4D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9EB978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E21F63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6.300,00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7EF1E0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6.300,00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B5EE29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5.950,00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22830D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94,44%</w:t>
            </w:r>
          </w:p>
        </w:tc>
      </w:tr>
      <w:tr w:rsidR="00416D67" w:rsidRPr="00416D67" w14:paraId="657A879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FB3BAE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D16D96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6.300,00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09E62C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6.300,00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7409F3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5.950,00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5291E4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94,44%</w:t>
            </w:r>
          </w:p>
        </w:tc>
      </w:tr>
      <w:tr w:rsidR="00416D67" w:rsidRPr="00416D67" w14:paraId="6043C4B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8AFAB5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764D883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176E9A3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6.300,00</w:t>
            </w:r>
          </w:p>
        </w:tc>
        <w:tc>
          <w:tcPr>
            <w:tcW w:w="1070" w:type="dxa"/>
            <w:tcBorders>
              <w:top w:val="single" w:sz="4" w:space="0" w:color="auto"/>
              <w:left w:val="nil"/>
              <w:bottom w:val="single" w:sz="4" w:space="0" w:color="auto"/>
              <w:right w:val="single" w:sz="4" w:space="0" w:color="auto"/>
            </w:tcBorders>
            <w:noWrap/>
            <w:vAlign w:val="bottom"/>
            <w:hideMark/>
          </w:tcPr>
          <w:p w14:paraId="091FF94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6.300,00</w:t>
            </w:r>
          </w:p>
        </w:tc>
        <w:tc>
          <w:tcPr>
            <w:tcW w:w="1095" w:type="dxa"/>
            <w:tcBorders>
              <w:top w:val="single" w:sz="4" w:space="0" w:color="auto"/>
              <w:left w:val="nil"/>
              <w:bottom w:val="single" w:sz="4" w:space="0" w:color="auto"/>
              <w:right w:val="single" w:sz="4" w:space="0" w:color="auto"/>
            </w:tcBorders>
            <w:noWrap/>
            <w:vAlign w:val="bottom"/>
            <w:hideMark/>
          </w:tcPr>
          <w:p w14:paraId="2AAB71A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5.950,00</w:t>
            </w:r>
          </w:p>
        </w:tc>
        <w:tc>
          <w:tcPr>
            <w:tcW w:w="918" w:type="dxa"/>
            <w:tcBorders>
              <w:top w:val="single" w:sz="4" w:space="0" w:color="auto"/>
              <w:left w:val="nil"/>
              <w:bottom w:val="single" w:sz="4" w:space="0" w:color="auto"/>
              <w:right w:val="single" w:sz="4" w:space="0" w:color="auto"/>
            </w:tcBorders>
            <w:noWrap/>
            <w:vAlign w:val="bottom"/>
            <w:hideMark/>
          </w:tcPr>
          <w:p w14:paraId="0E33475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94,44%</w:t>
            </w:r>
          </w:p>
        </w:tc>
      </w:tr>
      <w:tr w:rsidR="00416D67" w:rsidRPr="00416D67" w14:paraId="6BB827C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2DF9075" w14:textId="77777777" w:rsidR="00416D67" w:rsidRPr="00416D67" w:rsidRDefault="00416D67" w:rsidP="00416D67">
            <w:pPr>
              <w:rPr>
                <w:rFonts w:ascii="Arial" w:hAnsi="Arial" w:cs="Arial"/>
                <w:sz w:val="14"/>
                <w:szCs w:val="14"/>
              </w:rPr>
            </w:pPr>
            <w:r w:rsidRPr="00416D67">
              <w:rPr>
                <w:rFonts w:ascii="Arial" w:hAnsi="Arial" w:cs="Arial"/>
                <w:sz w:val="14"/>
                <w:szCs w:val="14"/>
              </w:rPr>
              <w:t>3811</w:t>
            </w:r>
          </w:p>
        </w:tc>
        <w:tc>
          <w:tcPr>
            <w:tcW w:w="8106" w:type="dxa"/>
            <w:tcBorders>
              <w:top w:val="single" w:sz="4" w:space="0" w:color="auto"/>
              <w:left w:val="nil"/>
              <w:bottom w:val="single" w:sz="4" w:space="0" w:color="auto"/>
              <w:right w:val="single" w:sz="4" w:space="0" w:color="auto"/>
            </w:tcBorders>
            <w:noWrap/>
            <w:vAlign w:val="bottom"/>
            <w:hideMark/>
          </w:tcPr>
          <w:p w14:paraId="75B58D66" w14:textId="77777777" w:rsidR="00416D67" w:rsidRPr="00416D67" w:rsidRDefault="00416D67" w:rsidP="00416D67">
            <w:pPr>
              <w:rPr>
                <w:rFonts w:ascii="Arial" w:hAnsi="Arial" w:cs="Arial"/>
                <w:sz w:val="14"/>
                <w:szCs w:val="14"/>
              </w:rPr>
            </w:pPr>
            <w:r w:rsidRPr="00416D67">
              <w:rPr>
                <w:rFonts w:ascii="Arial" w:hAnsi="Arial" w:cs="Arial"/>
                <w:sz w:val="14"/>
                <w:szCs w:val="14"/>
              </w:rPr>
              <w:t>Tekuće donacije u novcu</w:t>
            </w:r>
          </w:p>
        </w:tc>
        <w:tc>
          <w:tcPr>
            <w:tcW w:w="1095" w:type="dxa"/>
            <w:tcBorders>
              <w:top w:val="single" w:sz="4" w:space="0" w:color="auto"/>
              <w:left w:val="nil"/>
              <w:bottom w:val="single" w:sz="4" w:space="0" w:color="auto"/>
              <w:right w:val="single" w:sz="4" w:space="0" w:color="auto"/>
            </w:tcBorders>
            <w:noWrap/>
            <w:vAlign w:val="bottom"/>
            <w:hideMark/>
          </w:tcPr>
          <w:p w14:paraId="50FE8B6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0369FF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AA2E33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5.950,00</w:t>
            </w:r>
          </w:p>
        </w:tc>
        <w:tc>
          <w:tcPr>
            <w:tcW w:w="918" w:type="dxa"/>
            <w:tcBorders>
              <w:top w:val="single" w:sz="4" w:space="0" w:color="auto"/>
              <w:left w:val="nil"/>
              <w:bottom w:val="single" w:sz="4" w:space="0" w:color="auto"/>
              <w:right w:val="single" w:sz="4" w:space="0" w:color="auto"/>
            </w:tcBorders>
            <w:noWrap/>
            <w:vAlign w:val="bottom"/>
            <w:hideMark/>
          </w:tcPr>
          <w:p w14:paraId="35F3F98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8D34C6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12DBBE1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Organizacijska klasifikacija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3173685"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07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C934376"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88FFA15"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9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679C6FB"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2025/2024.           (3/2)</w:t>
            </w:r>
          </w:p>
        </w:tc>
      </w:tr>
      <w:tr w:rsidR="00416D67" w:rsidRPr="00416D67" w14:paraId="610592C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2D25B36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Izvori</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1A60368F"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7819D201"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119A6A33"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6BE8E77D" w14:textId="77777777" w:rsidR="00416D67" w:rsidRPr="00416D67" w:rsidRDefault="00416D67" w:rsidP="00416D67">
            <w:pPr>
              <w:rPr>
                <w:rFonts w:ascii="Arial" w:hAnsi="Arial" w:cs="Arial"/>
                <w:sz w:val="14"/>
                <w:szCs w:val="14"/>
              </w:rPr>
            </w:pPr>
          </w:p>
        </w:tc>
      </w:tr>
      <w:tr w:rsidR="00416D67" w:rsidRPr="00416D67" w14:paraId="10A27A7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000000"/>
            </w:tcBorders>
            <w:shd w:val="clear" w:color="000000" w:fill="D9D9D9"/>
            <w:hideMark/>
          </w:tcPr>
          <w:p w14:paraId="2DDBE92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Projekt/Aktivnost</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688B69DB"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4768F2B7"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20342F7F"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0D0EECE3" w14:textId="77777777" w:rsidR="00416D67" w:rsidRPr="00416D67" w:rsidRDefault="00416D67" w:rsidP="00416D67">
            <w:pPr>
              <w:rPr>
                <w:rFonts w:ascii="Arial" w:hAnsi="Arial" w:cs="Arial"/>
                <w:sz w:val="14"/>
                <w:szCs w:val="14"/>
              </w:rPr>
            </w:pPr>
          </w:p>
        </w:tc>
      </w:tr>
      <w:tr w:rsidR="00416D67" w:rsidRPr="00416D67" w14:paraId="6CDED37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440CAF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A100020</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04B77E9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Naknade za rad ocjenjivačkog povjerenstva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E8008F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60E41E8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A7503F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6626783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545DCC0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641F6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B1586D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3E39AF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DBC9E9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81BFA4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4B5E4F6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6874D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B574F9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F946A5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BC1087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76F7EC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6455522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C1949C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71315BC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0D9B739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w:t>
            </w:r>
          </w:p>
        </w:tc>
        <w:tc>
          <w:tcPr>
            <w:tcW w:w="1070" w:type="dxa"/>
            <w:tcBorders>
              <w:top w:val="single" w:sz="4" w:space="0" w:color="auto"/>
              <w:left w:val="nil"/>
              <w:bottom w:val="single" w:sz="4" w:space="0" w:color="auto"/>
              <w:right w:val="single" w:sz="4" w:space="0" w:color="auto"/>
            </w:tcBorders>
            <w:noWrap/>
            <w:vAlign w:val="bottom"/>
            <w:hideMark/>
          </w:tcPr>
          <w:p w14:paraId="1FAEDAB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w:t>
            </w:r>
          </w:p>
        </w:tc>
        <w:tc>
          <w:tcPr>
            <w:tcW w:w="1095" w:type="dxa"/>
            <w:tcBorders>
              <w:top w:val="single" w:sz="4" w:space="0" w:color="auto"/>
              <w:left w:val="nil"/>
              <w:bottom w:val="single" w:sz="4" w:space="0" w:color="auto"/>
              <w:right w:val="single" w:sz="4" w:space="0" w:color="auto"/>
            </w:tcBorders>
            <w:noWrap/>
            <w:vAlign w:val="bottom"/>
            <w:hideMark/>
          </w:tcPr>
          <w:p w14:paraId="1208D34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779D305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559D100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83C76A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A100021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02A0ED7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Hitne i nepredviđene potrebe</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2C3A1C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5623746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9350A5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72DAF95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w:t>
            </w:r>
          </w:p>
        </w:tc>
      </w:tr>
      <w:tr w:rsidR="00416D67" w:rsidRPr="00416D67" w14:paraId="102B88B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57C6251"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FD4706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3E8007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667D80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8D6B6B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w:t>
            </w:r>
          </w:p>
        </w:tc>
      </w:tr>
      <w:tr w:rsidR="00416D67" w:rsidRPr="00416D67" w14:paraId="204A0FF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1284A8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1BF7DB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A46FF0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0B324D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399D9E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w:t>
            </w:r>
          </w:p>
        </w:tc>
      </w:tr>
      <w:tr w:rsidR="00416D67" w:rsidRPr="00416D67" w14:paraId="6372483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4528F4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lastRenderedPageBreak/>
              <w:t>38</w:t>
            </w:r>
          </w:p>
        </w:tc>
        <w:tc>
          <w:tcPr>
            <w:tcW w:w="8106" w:type="dxa"/>
            <w:tcBorders>
              <w:top w:val="single" w:sz="4" w:space="0" w:color="auto"/>
              <w:left w:val="nil"/>
              <w:bottom w:val="single" w:sz="4" w:space="0" w:color="auto"/>
              <w:right w:val="single" w:sz="4" w:space="0" w:color="auto"/>
            </w:tcBorders>
            <w:noWrap/>
            <w:vAlign w:val="bottom"/>
            <w:hideMark/>
          </w:tcPr>
          <w:p w14:paraId="7E4E905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27056B9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1070" w:type="dxa"/>
            <w:tcBorders>
              <w:top w:val="single" w:sz="4" w:space="0" w:color="auto"/>
              <w:left w:val="nil"/>
              <w:bottom w:val="single" w:sz="4" w:space="0" w:color="auto"/>
              <w:right w:val="single" w:sz="4" w:space="0" w:color="auto"/>
            </w:tcBorders>
            <w:noWrap/>
            <w:vAlign w:val="bottom"/>
            <w:hideMark/>
          </w:tcPr>
          <w:p w14:paraId="15FD936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1095" w:type="dxa"/>
            <w:tcBorders>
              <w:top w:val="single" w:sz="4" w:space="0" w:color="auto"/>
              <w:left w:val="nil"/>
              <w:bottom w:val="single" w:sz="4" w:space="0" w:color="auto"/>
              <w:right w:val="single" w:sz="4" w:space="0" w:color="auto"/>
            </w:tcBorders>
            <w:noWrap/>
            <w:vAlign w:val="bottom"/>
            <w:hideMark/>
          </w:tcPr>
          <w:p w14:paraId="3C0C2FC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w:t>
            </w:r>
          </w:p>
        </w:tc>
        <w:tc>
          <w:tcPr>
            <w:tcW w:w="918" w:type="dxa"/>
            <w:tcBorders>
              <w:top w:val="single" w:sz="4" w:space="0" w:color="auto"/>
              <w:left w:val="nil"/>
              <w:bottom w:val="single" w:sz="4" w:space="0" w:color="auto"/>
              <w:right w:val="single" w:sz="4" w:space="0" w:color="auto"/>
            </w:tcBorders>
            <w:noWrap/>
            <w:vAlign w:val="bottom"/>
            <w:hideMark/>
          </w:tcPr>
          <w:p w14:paraId="3A90E37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w:t>
            </w:r>
          </w:p>
        </w:tc>
      </w:tr>
      <w:tr w:rsidR="00416D67" w:rsidRPr="00416D67" w14:paraId="45D5A17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248F125" w14:textId="77777777" w:rsidR="00416D67" w:rsidRPr="00416D67" w:rsidRDefault="00416D67" w:rsidP="00416D67">
            <w:pPr>
              <w:rPr>
                <w:rFonts w:ascii="Arial" w:hAnsi="Arial" w:cs="Arial"/>
                <w:sz w:val="14"/>
                <w:szCs w:val="14"/>
              </w:rPr>
            </w:pPr>
            <w:r w:rsidRPr="00416D67">
              <w:rPr>
                <w:rFonts w:ascii="Arial" w:hAnsi="Arial" w:cs="Arial"/>
                <w:sz w:val="14"/>
                <w:szCs w:val="14"/>
              </w:rPr>
              <w:t>3811</w:t>
            </w:r>
          </w:p>
        </w:tc>
        <w:tc>
          <w:tcPr>
            <w:tcW w:w="8106" w:type="dxa"/>
            <w:tcBorders>
              <w:top w:val="single" w:sz="4" w:space="0" w:color="auto"/>
              <w:left w:val="nil"/>
              <w:bottom w:val="single" w:sz="4" w:space="0" w:color="auto"/>
              <w:right w:val="single" w:sz="4" w:space="0" w:color="auto"/>
            </w:tcBorders>
            <w:noWrap/>
            <w:vAlign w:val="bottom"/>
            <w:hideMark/>
          </w:tcPr>
          <w:p w14:paraId="3357F4C1" w14:textId="77777777" w:rsidR="00416D67" w:rsidRPr="00416D67" w:rsidRDefault="00416D67" w:rsidP="00416D67">
            <w:pPr>
              <w:rPr>
                <w:rFonts w:ascii="Arial" w:hAnsi="Arial" w:cs="Arial"/>
                <w:sz w:val="14"/>
                <w:szCs w:val="14"/>
              </w:rPr>
            </w:pPr>
            <w:r w:rsidRPr="00416D67">
              <w:rPr>
                <w:rFonts w:ascii="Arial" w:hAnsi="Arial" w:cs="Arial"/>
                <w:sz w:val="14"/>
                <w:szCs w:val="14"/>
              </w:rPr>
              <w:t>Tekuće donacije u novcu</w:t>
            </w:r>
          </w:p>
        </w:tc>
        <w:tc>
          <w:tcPr>
            <w:tcW w:w="1095" w:type="dxa"/>
            <w:tcBorders>
              <w:top w:val="single" w:sz="4" w:space="0" w:color="auto"/>
              <w:left w:val="nil"/>
              <w:bottom w:val="single" w:sz="4" w:space="0" w:color="auto"/>
              <w:right w:val="single" w:sz="4" w:space="0" w:color="auto"/>
            </w:tcBorders>
            <w:noWrap/>
            <w:vAlign w:val="bottom"/>
            <w:hideMark/>
          </w:tcPr>
          <w:p w14:paraId="5055618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68C95C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A5B8DB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500,00</w:t>
            </w:r>
          </w:p>
        </w:tc>
        <w:tc>
          <w:tcPr>
            <w:tcW w:w="918" w:type="dxa"/>
            <w:tcBorders>
              <w:top w:val="single" w:sz="4" w:space="0" w:color="auto"/>
              <w:left w:val="nil"/>
              <w:bottom w:val="single" w:sz="4" w:space="0" w:color="auto"/>
              <w:right w:val="single" w:sz="4" w:space="0" w:color="auto"/>
            </w:tcBorders>
            <w:noWrap/>
            <w:vAlign w:val="bottom"/>
            <w:hideMark/>
          </w:tcPr>
          <w:p w14:paraId="7557D6B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72651E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2F9F604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3026</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103CDFF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Program: Program javnih potreba u socijalnoj skrbi i zdravstvu</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0A695A6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332.763,00</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06BE006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339.343,00</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42233BB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297.285,01</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5CB7182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87,61%</w:t>
            </w:r>
          </w:p>
        </w:tc>
      </w:tr>
      <w:tr w:rsidR="00416D67" w:rsidRPr="00416D67" w14:paraId="525F461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4200A0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2C2E11A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Podmirenje troškova smještaja djece u predškolskim ustanovama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E67FC5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20.100,00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7648C38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20.100,00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081690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20.051,86</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5FA830A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99,76%</w:t>
            </w:r>
          </w:p>
        </w:tc>
      </w:tr>
      <w:tr w:rsidR="00416D67" w:rsidRPr="00416D67" w14:paraId="3FD12F7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C10CEE0"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BDD3E2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20.100,00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1A5D1F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20.100,00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174668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20.051,86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98EA15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99,76%</w:t>
            </w:r>
          </w:p>
        </w:tc>
      </w:tr>
      <w:tr w:rsidR="00416D67" w:rsidRPr="00416D67" w14:paraId="11B8FE2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71701C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8AB504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20.100,00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F33CE1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20.100,00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175624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20.051,86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F49150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99,76%</w:t>
            </w:r>
          </w:p>
        </w:tc>
      </w:tr>
      <w:tr w:rsidR="00416D67" w:rsidRPr="00416D67" w14:paraId="504D75C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0FA9F4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37</w:t>
            </w:r>
          </w:p>
        </w:tc>
        <w:tc>
          <w:tcPr>
            <w:tcW w:w="8106" w:type="dxa"/>
            <w:tcBorders>
              <w:top w:val="single" w:sz="4" w:space="0" w:color="auto"/>
              <w:left w:val="nil"/>
              <w:bottom w:val="single" w:sz="4" w:space="0" w:color="auto"/>
              <w:right w:val="single" w:sz="4" w:space="0" w:color="auto"/>
            </w:tcBorders>
            <w:noWrap/>
            <w:vAlign w:val="bottom"/>
            <w:hideMark/>
          </w:tcPr>
          <w:p w14:paraId="29BDCF8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Naknade građanima i kućanstvima na temelju osiguranja i druge naknade</w:t>
            </w:r>
          </w:p>
        </w:tc>
        <w:tc>
          <w:tcPr>
            <w:tcW w:w="1095" w:type="dxa"/>
            <w:tcBorders>
              <w:top w:val="single" w:sz="4" w:space="0" w:color="auto"/>
              <w:left w:val="nil"/>
              <w:bottom w:val="single" w:sz="4" w:space="0" w:color="auto"/>
              <w:right w:val="single" w:sz="4" w:space="0" w:color="auto"/>
            </w:tcBorders>
            <w:noWrap/>
            <w:vAlign w:val="bottom"/>
            <w:hideMark/>
          </w:tcPr>
          <w:p w14:paraId="71CF01E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20.100,00</w:t>
            </w:r>
          </w:p>
        </w:tc>
        <w:tc>
          <w:tcPr>
            <w:tcW w:w="1070" w:type="dxa"/>
            <w:tcBorders>
              <w:top w:val="single" w:sz="4" w:space="0" w:color="auto"/>
              <w:left w:val="nil"/>
              <w:bottom w:val="single" w:sz="4" w:space="0" w:color="auto"/>
              <w:right w:val="single" w:sz="4" w:space="0" w:color="auto"/>
            </w:tcBorders>
            <w:noWrap/>
            <w:vAlign w:val="bottom"/>
            <w:hideMark/>
          </w:tcPr>
          <w:p w14:paraId="2D88BF1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20.100,00</w:t>
            </w:r>
          </w:p>
        </w:tc>
        <w:tc>
          <w:tcPr>
            <w:tcW w:w="1095" w:type="dxa"/>
            <w:tcBorders>
              <w:top w:val="single" w:sz="4" w:space="0" w:color="auto"/>
              <w:left w:val="nil"/>
              <w:bottom w:val="single" w:sz="4" w:space="0" w:color="auto"/>
              <w:right w:val="single" w:sz="4" w:space="0" w:color="auto"/>
            </w:tcBorders>
            <w:noWrap/>
            <w:vAlign w:val="bottom"/>
            <w:hideMark/>
          </w:tcPr>
          <w:p w14:paraId="7216BD9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20.051,86</w:t>
            </w:r>
          </w:p>
        </w:tc>
        <w:tc>
          <w:tcPr>
            <w:tcW w:w="918" w:type="dxa"/>
            <w:tcBorders>
              <w:top w:val="single" w:sz="4" w:space="0" w:color="auto"/>
              <w:left w:val="nil"/>
              <w:bottom w:val="single" w:sz="4" w:space="0" w:color="auto"/>
              <w:right w:val="single" w:sz="4" w:space="0" w:color="auto"/>
            </w:tcBorders>
            <w:noWrap/>
            <w:vAlign w:val="bottom"/>
            <w:hideMark/>
          </w:tcPr>
          <w:p w14:paraId="6D7583C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99,76%</w:t>
            </w:r>
          </w:p>
        </w:tc>
      </w:tr>
      <w:tr w:rsidR="00416D67" w:rsidRPr="00416D67" w14:paraId="7B7A6D3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6AC69AD" w14:textId="77777777" w:rsidR="00416D67" w:rsidRPr="00416D67" w:rsidRDefault="00416D67" w:rsidP="00416D67">
            <w:pPr>
              <w:rPr>
                <w:rFonts w:ascii="Arial" w:hAnsi="Arial" w:cs="Arial"/>
                <w:sz w:val="14"/>
                <w:szCs w:val="14"/>
              </w:rPr>
            </w:pPr>
            <w:r w:rsidRPr="00416D67">
              <w:rPr>
                <w:rFonts w:ascii="Arial" w:hAnsi="Arial" w:cs="Arial"/>
                <w:sz w:val="14"/>
                <w:szCs w:val="14"/>
              </w:rPr>
              <w:t>3721</w:t>
            </w:r>
          </w:p>
        </w:tc>
        <w:tc>
          <w:tcPr>
            <w:tcW w:w="8106" w:type="dxa"/>
            <w:tcBorders>
              <w:top w:val="single" w:sz="4" w:space="0" w:color="auto"/>
              <w:left w:val="nil"/>
              <w:bottom w:val="single" w:sz="4" w:space="0" w:color="auto"/>
              <w:right w:val="single" w:sz="4" w:space="0" w:color="auto"/>
            </w:tcBorders>
            <w:noWrap/>
            <w:vAlign w:val="bottom"/>
            <w:hideMark/>
          </w:tcPr>
          <w:p w14:paraId="5F5EDA87" w14:textId="77777777" w:rsidR="00416D67" w:rsidRPr="00416D67" w:rsidRDefault="00416D67" w:rsidP="00416D67">
            <w:pPr>
              <w:rPr>
                <w:rFonts w:ascii="Arial" w:hAnsi="Arial" w:cs="Arial"/>
                <w:sz w:val="14"/>
                <w:szCs w:val="14"/>
              </w:rPr>
            </w:pPr>
            <w:r w:rsidRPr="00416D67">
              <w:rPr>
                <w:rFonts w:ascii="Arial" w:hAnsi="Arial" w:cs="Arial"/>
                <w:sz w:val="14"/>
                <w:szCs w:val="14"/>
              </w:rPr>
              <w:t>Naknade građanima i kućanstvima u novcu</w:t>
            </w:r>
          </w:p>
        </w:tc>
        <w:tc>
          <w:tcPr>
            <w:tcW w:w="1095" w:type="dxa"/>
            <w:tcBorders>
              <w:top w:val="single" w:sz="4" w:space="0" w:color="auto"/>
              <w:left w:val="nil"/>
              <w:bottom w:val="single" w:sz="4" w:space="0" w:color="auto"/>
              <w:right w:val="single" w:sz="4" w:space="0" w:color="auto"/>
            </w:tcBorders>
            <w:noWrap/>
            <w:vAlign w:val="bottom"/>
            <w:hideMark/>
          </w:tcPr>
          <w:p w14:paraId="54F24E3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EAFD11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9F5979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20.051,86</w:t>
            </w:r>
          </w:p>
        </w:tc>
        <w:tc>
          <w:tcPr>
            <w:tcW w:w="918" w:type="dxa"/>
            <w:tcBorders>
              <w:top w:val="single" w:sz="4" w:space="0" w:color="auto"/>
              <w:left w:val="nil"/>
              <w:bottom w:val="single" w:sz="4" w:space="0" w:color="auto"/>
              <w:right w:val="single" w:sz="4" w:space="0" w:color="auto"/>
            </w:tcBorders>
            <w:noWrap/>
            <w:vAlign w:val="bottom"/>
            <w:hideMark/>
          </w:tcPr>
          <w:p w14:paraId="0DC5E1F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E52EBB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2BD92F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A100002</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5DBB73B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Aktivnost: Podmirenje troškova obroka </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B53A5A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4.037,00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5306AD8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4.037,00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23C780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2.683,85</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24D65A4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66,48%</w:t>
            </w:r>
          </w:p>
        </w:tc>
      </w:tr>
      <w:tr w:rsidR="00416D67" w:rsidRPr="00416D67" w14:paraId="11B8268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E2926E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BC6C6A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4.037,00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3BF16B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4.037,00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4D7004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2.683,85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732C4E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66,48%</w:t>
            </w:r>
          </w:p>
        </w:tc>
      </w:tr>
      <w:tr w:rsidR="00416D67" w:rsidRPr="00416D67" w14:paraId="7014DB9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AB291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154309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4.037,00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5D91DD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4.037,00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55BC80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2.683,85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D14BFF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66,48%</w:t>
            </w:r>
          </w:p>
        </w:tc>
      </w:tr>
      <w:tr w:rsidR="00416D67" w:rsidRPr="00416D67" w14:paraId="1E7E583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B38210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37</w:t>
            </w:r>
          </w:p>
        </w:tc>
        <w:tc>
          <w:tcPr>
            <w:tcW w:w="8106" w:type="dxa"/>
            <w:tcBorders>
              <w:top w:val="single" w:sz="4" w:space="0" w:color="auto"/>
              <w:left w:val="nil"/>
              <w:bottom w:val="single" w:sz="4" w:space="0" w:color="auto"/>
              <w:right w:val="single" w:sz="4" w:space="0" w:color="auto"/>
            </w:tcBorders>
            <w:noWrap/>
            <w:vAlign w:val="bottom"/>
            <w:hideMark/>
          </w:tcPr>
          <w:p w14:paraId="6358750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Naknade građanima i kućanstvima na temelju osiguranja i druge naknade</w:t>
            </w:r>
          </w:p>
        </w:tc>
        <w:tc>
          <w:tcPr>
            <w:tcW w:w="1095" w:type="dxa"/>
            <w:tcBorders>
              <w:top w:val="single" w:sz="4" w:space="0" w:color="auto"/>
              <w:left w:val="nil"/>
              <w:bottom w:val="single" w:sz="4" w:space="0" w:color="auto"/>
              <w:right w:val="single" w:sz="4" w:space="0" w:color="auto"/>
            </w:tcBorders>
            <w:noWrap/>
            <w:vAlign w:val="bottom"/>
            <w:hideMark/>
          </w:tcPr>
          <w:p w14:paraId="538EFCF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4.037,00</w:t>
            </w:r>
          </w:p>
        </w:tc>
        <w:tc>
          <w:tcPr>
            <w:tcW w:w="1070" w:type="dxa"/>
            <w:tcBorders>
              <w:top w:val="single" w:sz="4" w:space="0" w:color="auto"/>
              <w:left w:val="nil"/>
              <w:bottom w:val="single" w:sz="4" w:space="0" w:color="auto"/>
              <w:right w:val="single" w:sz="4" w:space="0" w:color="auto"/>
            </w:tcBorders>
            <w:noWrap/>
            <w:vAlign w:val="bottom"/>
            <w:hideMark/>
          </w:tcPr>
          <w:p w14:paraId="2F8A6A2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4.037,00</w:t>
            </w:r>
          </w:p>
        </w:tc>
        <w:tc>
          <w:tcPr>
            <w:tcW w:w="1095" w:type="dxa"/>
            <w:tcBorders>
              <w:top w:val="single" w:sz="4" w:space="0" w:color="auto"/>
              <w:left w:val="nil"/>
              <w:bottom w:val="single" w:sz="4" w:space="0" w:color="auto"/>
              <w:right w:val="single" w:sz="4" w:space="0" w:color="auto"/>
            </w:tcBorders>
            <w:noWrap/>
            <w:vAlign w:val="bottom"/>
            <w:hideMark/>
          </w:tcPr>
          <w:p w14:paraId="6C16B09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2.683,85</w:t>
            </w:r>
          </w:p>
        </w:tc>
        <w:tc>
          <w:tcPr>
            <w:tcW w:w="918" w:type="dxa"/>
            <w:tcBorders>
              <w:top w:val="single" w:sz="4" w:space="0" w:color="auto"/>
              <w:left w:val="nil"/>
              <w:bottom w:val="single" w:sz="4" w:space="0" w:color="auto"/>
              <w:right w:val="single" w:sz="4" w:space="0" w:color="auto"/>
            </w:tcBorders>
            <w:noWrap/>
            <w:vAlign w:val="bottom"/>
            <w:hideMark/>
          </w:tcPr>
          <w:p w14:paraId="3D81253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66,48%</w:t>
            </w:r>
          </w:p>
        </w:tc>
      </w:tr>
      <w:tr w:rsidR="00416D67" w:rsidRPr="00416D67" w14:paraId="45E0175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00B4BFC" w14:textId="77777777" w:rsidR="00416D67" w:rsidRPr="00416D67" w:rsidRDefault="00416D67" w:rsidP="00416D67">
            <w:pPr>
              <w:rPr>
                <w:rFonts w:ascii="Arial" w:hAnsi="Arial" w:cs="Arial"/>
                <w:sz w:val="14"/>
                <w:szCs w:val="14"/>
              </w:rPr>
            </w:pPr>
            <w:r w:rsidRPr="00416D67">
              <w:rPr>
                <w:rFonts w:ascii="Arial" w:hAnsi="Arial" w:cs="Arial"/>
                <w:sz w:val="14"/>
                <w:szCs w:val="14"/>
              </w:rPr>
              <w:t>3721</w:t>
            </w:r>
          </w:p>
        </w:tc>
        <w:tc>
          <w:tcPr>
            <w:tcW w:w="8106" w:type="dxa"/>
            <w:tcBorders>
              <w:top w:val="single" w:sz="4" w:space="0" w:color="auto"/>
              <w:left w:val="nil"/>
              <w:bottom w:val="single" w:sz="4" w:space="0" w:color="auto"/>
              <w:right w:val="single" w:sz="4" w:space="0" w:color="auto"/>
            </w:tcBorders>
            <w:noWrap/>
            <w:vAlign w:val="bottom"/>
            <w:hideMark/>
          </w:tcPr>
          <w:p w14:paraId="7C6EF51C" w14:textId="77777777" w:rsidR="00416D67" w:rsidRPr="00416D67" w:rsidRDefault="00416D67" w:rsidP="00416D67">
            <w:pPr>
              <w:rPr>
                <w:rFonts w:ascii="Arial" w:hAnsi="Arial" w:cs="Arial"/>
                <w:sz w:val="14"/>
                <w:szCs w:val="14"/>
              </w:rPr>
            </w:pPr>
            <w:r w:rsidRPr="00416D67">
              <w:rPr>
                <w:rFonts w:ascii="Arial" w:hAnsi="Arial" w:cs="Arial"/>
                <w:sz w:val="14"/>
                <w:szCs w:val="14"/>
              </w:rPr>
              <w:t>Naknade građanima i kućanstvima u novcu</w:t>
            </w:r>
          </w:p>
        </w:tc>
        <w:tc>
          <w:tcPr>
            <w:tcW w:w="1095" w:type="dxa"/>
            <w:tcBorders>
              <w:top w:val="single" w:sz="4" w:space="0" w:color="auto"/>
              <w:left w:val="nil"/>
              <w:bottom w:val="single" w:sz="4" w:space="0" w:color="auto"/>
              <w:right w:val="single" w:sz="4" w:space="0" w:color="auto"/>
            </w:tcBorders>
            <w:noWrap/>
            <w:vAlign w:val="bottom"/>
            <w:hideMark/>
          </w:tcPr>
          <w:p w14:paraId="47BE290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5390D7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8C68E3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2.683,85</w:t>
            </w:r>
          </w:p>
        </w:tc>
        <w:tc>
          <w:tcPr>
            <w:tcW w:w="918" w:type="dxa"/>
            <w:tcBorders>
              <w:top w:val="single" w:sz="4" w:space="0" w:color="auto"/>
              <w:left w:val="nil"/>
              <w:bottom w:val="single" w:sz="4" w:space="0" w:color="auto"/>
              <w:right w:val="single" w:sz="4" w:space="0" w:color="auto"/>
            </w:tcBorders>
            <w:noWrap/>
            <w:vAlign w:val="bottom"/>
            <w:hideMark/>
          </w:tcPr>
          <w:p w14:paraId="544A6A6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C87DBB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0ECCB2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A100003</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573ABA3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Podmirenje troškova stanovanja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3068D0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14.600,00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2D5DE0A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17.340,00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57F16C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18.938,37</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779865D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109,22%</w:t>
            </w:r>
          </w:p>
        </w:tc>
      </w:tr>
      <w:tr w:rsidR="00416D67" w:rsidRPr="00416D67" w14:paraId="2E730AF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30604E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8F7F06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14.600,00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ACFA15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17.340,00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A6EAB8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17.338,37</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2B82BB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99,99%</w:t>
            </w:r>
          </w:p>
        </w:tc>
      </w:tr>
      <w:tr w:rsidR="00416D67" w:rsidRPr="00416D67" w14:paraId="6D88AA9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E7871A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DAC2DC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14.600,00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16490D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17.340,00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A1583B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17.338,37</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66BB84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99,99%</w:t>
            </w:r>
          </w:p>
        </w:tc>
      </w:tr>
      <w:tr w:rsidR="00416D67" w:rsidRPr="00416D67" w14:paraId="5E3C552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F0480C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37</w:t>
            </w:r>
          </w:p>
        </w:tc>
        <w:tc>
          <w:tcPr>
            <w:tcW w:w="8106" w:type="dxa"/>
            <w:tcBorders>
              <w:top w:val="single" w:sz="4" w:space="0" w:color="auto"/>
              <w:left w:val="nil"/>
              <w:bottom w:val="single" w:sz="4" w:space="0" w:color="auto"/>
              <w:right w:val="single" w:sz="4" w:space="0" w:color="auto"/>
            </w:tcBorders>
            <w:noWrap/>
            <w:vAlign w:val="bottom"/>
            <w:hideMark/>
          </w:tcPr>
          <w:p w14:paraId="5ACD0EC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Naknade građanima i kućanstvima na temelju osiguranja i druge naknade</w:t>
            </w:r>
          </w:p>
        </w:tc>
        <w:tc>
          <w:tcPr>
            <w:tcW w:w="1095" w:type="dxa"/>
            <w:tcBorders>
              <w:top w:val="single" w:sz="4" w:space="0" w:color="auto"/>
              <w:left w:val="nil"/>
              <w:bottom w:val="single" w:sz="4" w:space="0" w:color="auto"/>
              <w:right w:val="single" w:sz="4" w:space="0" w:color="auto"/>
            </w:tcBorders>
            <w:noWrap/>
            <w:vAlign w:val="bottom"/>
            <w:hideMark/>
          </w:tcPr>
          <w:p w14:paraId="07BC18B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14.600,00</w:t>
            </w:r>
          </w:p>
        </w:tc>
        <w:tc>
          <w:tcPr>
            <w:tcW w:w="1070" w:type="dxa"/>
            <w:tcBorders>
              <w:top w:val="single" w:sz="4" w:space="0" w:color="auto"/>
              <w:left w:val="nil"/>
              <w:bottom w:val="single" w:sz="4" w:space="0" w:color="auto"/>
              <w:right w:val="single" w:sz="4" w:space="0" w:color="auto"/>
            </w:tcBorders>
            <w:noWrap/>
            <w:vAlign w:val="bottom"/>
            <w:hideMark/>
          </w:tcPr>
          <w:p w14:paraId="560D286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17.340,00</w:t>
            </w:r>
          </w:p>
        </w:tc>
        <w:tc>
          <w:tcPr>
            <w:tcW w:w="1095" w:type="dxa"/>
            <w:tcBorders>
              <w:top w:val="single" w:sz="4" w:space="0" w:color="auto"/>
              <w:left w:val="nil"/>
              <w:bottom w:val="single" w:sz="4" w:space="0" w:color="auto"/>
              <w:right w:val="single" w:sz="4" w:space="0" w:color="auto"/>
            </w:tcBorders>
            <w:noWrap/>
            <w:vAlign w:val="bottom"/>
            <w:hideMark/>
          </w:tcPr>
          <w:p w14:paraId="51D4D8C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17.338,37</w:t>
            </w:r>
          </w:p>
        </w:tc>
        <w:tc>
          <w:tcPr>
            <w:tcW w:w="918" w:type="dxa"/>
            <w:tcBorders>
              <w:top w:val="single" w:sz="4" w:space="0" w:color="auto"/>
              <w:left w:val="nil"/>
              <w:bottom w:val="single" w:sz="4" w:space="0" w:color="auto"/>
              <w:right w:val="single" w:sz="4" w:space="0" w:color="auto"/>
            </w:tcBorders>
            <w:noWrap/>
            <w:vAlign w:val="bottom"/>
            <w:hideMark/>
          </w:tcPr>
          <w:p w14:paraId="6D8D3BC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99,99%</w:t>
            </w:r>
          </w:p>
        </w:tc>
      </w:tr>
      <w:tr w:rsidR="00416D67" w:rsidRPr="00416D67" w14:paraId="20F2563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B9BBB2B" w14:textId="77777777" w:rsidR="00416D67" w:rsidRPr="00416D67" w:rsidRDefault="00416D67" w:rsidP="00416D67">
            <w:pPr>
              <w:rPr>
                <w:rFonts w:ascii="Arial" w:hAnsi="Arial" w:cs="Arial"/>
                <w:sz w:val="14"/>
                <w:szCs w:val="14"/>
              </w:rPr>
            </w:pPr>
            <w:r w:rsidRPr="00416D67">
              <w:rPr>
                <w:rFonts w:ascii="Arial" w:hAnsi="Arial" w:cs="Arial"/>
                <w:sz w:val="14"/>
                <w:szCs w:val="14"/>
              </w:rPr>
              <w:t>3721</w:t>
            </w:r>
          </w:p>
        </w:tc>
        <w:tc>
          <w:tcPr>
            <w:tcW w:w="8106" w:type="dxa"/>
            <w:tcBorders>
              <w:top w:val="single" w:sz="4" w:space="0" w:color="auto"/>
              <w:left w:val="nil"/>
              <w:bottom w:val="single" w:sz="4" w:space="0" w:color="auto"/>
              <w:right w:val="single" w:sz="4" w:space="0" w:color="auto"/>
            </w:tcBorders>
            <w:noWrap/>
            <w:vAlign w:val="bottom"/>
            <w:hideMark/>
          </w:tcPr>
          <w:p w14:paraId="30684015" w14:textId="77777777" w:rsidR="00416D67" w:rsidRPr="00416D67" w:rsidRDefault="00416D67" w:rsidP="00416D67">
            <w:pPr>
              <w:rPr>
                <w:rFonts w:ascii="Arial" w:hAnsi="Arial" w:cs="Arial"/>
                <w:sz w:val="14"/>
                <w:szCs w:val="14"/>
              </w:rPr>
            </w:pPr>
            <w:r w:rsidRPr="00416D67">
              <w:rPr>
                <w:rFonts w:ascii="Arial" w:hAnsi="Arial" w:cs="Arial"/>
                <w:sz w:val="14"/>
                <w:szCs w:val="14"/>
              </w:rPr>
              <w:t>Naknade građanima i kućanstvima u novcu</w:t>
            </w:r>
          </w:p>
        </w:tc>
        <w:tc>
          <w:tcPr>
            <w:tcW w:w="1095" w:type="dxa"/>
            <w:tcBorders>
              <w:top w:val="single" w:sz="4" w:space="0" w:color="auto"/>
              <w:left w:val="nil"/>
              <w:bottom w:val="single" w:sz="4" w:space="0" w:color="auto"/>
              <w:right w:val="single" w:sz="4" w:space="0" w:color="auto"/>
            </w:tcBorders>
            <w:noWrap/>
            <w:vAlign w:val="bottom"/>
            <w:hideMark/>
          </w:tcPr>
          <w:p w14:paraId="2A6F28D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57E975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4800F1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17.338,37</w:t>
            </w:r>
          </w:p>
        </w:tc>
        <w:tc>
          <w:tcPr>
            <w:tcW w:w="918" w:type="dxa"/>
            <w:tcBorders>
              <w:top w:val="single" w:sz="4" w:space="0" w:color="auto"/>
              <w:left w:val="nil"/>
              <w:bottom w:val="single" w:sz="4" w:space="0" w:color="auto"/>
              <w:right w:val="single" w:sz="4" w:space="0" w:color="auto"/>
            </w:tcBorders>
            <w:noWrap/>
            <w:vAlign w:val="bottom"/>
            <w:hideMark/>
          </w:tcPr>
          <w:p w14:paraId="1FD09BB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6303B3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BE2E95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 Pomoći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B1F0C5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1286B7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6AFD7F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2FC5AB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 </w:t>
            </w:r>
          </w:p>
        </w:tc>
      </w:tr>
      <w:tr w:rsidR="00416D67" w:rsidRPr="00416D67" w14:paraId="7A61628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35BF9E1"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5.1.12 Pomoć državni proračun troškovi ogrijeva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A8E0B3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651656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BACA04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88E691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 </w:t>
            </w:r>
          </w:p>
        </w:tc>
      </w:tr>
      <w:tr w:rsidR="00416D67" w:rsidRPr="00416D67" w14:paraId="5F92941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50EAFF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37</w:t>
            </w:r>
          </w:p>
        </w:tc>
        <w:tc>
          <w:tcPr>
            <w:tcW w:w="8106" w:type="dxa"/>
            <w:tcBorders>
              <w:top w:val="single" w:sz="4" w:space="0" w:color="auto"/>
              <w:left w:val="nil"/>
              <w:bottom w:val="single" w:sz="4" w:space="0" w:color="auto"/>
              <w:right w:val="single" w:sz="4" w:space="0" w:color="auto"/>
            </w:tcBorders>
            <w:noWrap/>
            <w:vAlign w:val="bottom"/>
            <w:hideMark/>
          </w:tcPr>
          <w:p w14:paraId="1F814A3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Naknade građanima i kućanstvima na temelju osiguranja i druge naknade</w:t>
            </w:r>
          </w:p>
        </w:tc>
        <w:tc>
          <w:tcPr>
            <w:tcW w:w="1095" w:type="dxa"/>
            <w:tcBorders>
              <w:top w:val="single" w:sz="4" w:space="0" w:color="auto"/>
              <w:left w:val="nil"/>
              <w:bottom w:val="single" w:sz="4" w:space="0" w:color="auto"/>
              <w:right w:val="single" w:sz="4" w:space="0" w:color="auto"/>
            </w:tcBorders>
            <w:noWrap/>
            <w:vAlign w:val="bottom"/>
            <w:hideMark/>
          </w:tcPr>
          <w:p w14:paraId="3E08A4E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1070" w:type="dxa"/>
            <w:tcBorders>
              <w:top w:val="single" w:sz="4" w:space="0" w:color="auto"/>
              <w:left w:val="nil"/>
              <w:bottom w:val="single" w:sz="4" w:space="0" w:color="auto"/>
              <w:right w:val="single" w:sz="4" w:space="0" w:color="auto"/>
            </w:tcBorders>
            <w:noWrap/>
            <w:vAlign w:val="bottom"/>
            <w:hideMark/>
          </w:tcPr>
          <w:p w14:paraId="6CABF17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1095" w:type="dxa"/>
            <w:tcBorders>
              <w:top w:val="single" w:sz="4" w:space="0" w:color="auto"/>
              <w:left w:val="nil"/>
              <w:bottom w:val="single" w:sz="4" w:space="0" w:color="auto"/>
              <w:right w:val="single" w:sz="4" w:space="0" w:color="auto"/>
            </w:tcBorders>
            <w:noWrap/>
            <w:vAlign w:val="bottom"/>
            <w:hideMark/>
          </w:tcPr>
          <w:p w14:paraId="1B5C16A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1.600,00</w:t>
            </w:r>
          </w:p>
        </w:tc>
        <w:tc>
          <w:tcPr>
            <w:tcW w:w="918" w:type="dxa"/>
            <w:tcBorders>
              <w:top w:val="single" w:sz="4" w:space="0" w:color="auto"/>
              <w:left w:val="nil"/>
              <w:bottom w:val="single" w:sz="4" w:space="0" w:color="auto"/>
              <w:right w:val="single" w:sz="4" w:space="0" w:color="auto"/>
            </w:tcBorders>
            <w:noWrap/>
            <w:vAlign w:val="bottom"/>
            <w:hideMark/>
          </w:tcPr>
          <w:p w14:paraId="36DD36F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r>
      <w:tr w:rsidR="00416D67" w:rsidRPr="00416D67" w14:paraId="746E504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547576D" w14:textId="77777777" w:rsidR="00416D67" w:rsidRPr="00416D67" w:rsidRDefault="00416D67" w:rsidP="00416D67">
            <w:pPr>
              <w:rPr>
                <w:rFonts w:ascii="Arial" w:hAnsi="Arial" w:cs="Arial"/>
                <w:sz w:val="14"/>
                <w:szCs w:val="14"/>
              </w:rPr>
            </w:pPr>
            <w:r w:rsidRPr="00416D67">
              <w:rPr>
                <w:rFonts w:ascii="Arial" w:hAnsi="Arial" w:cs="Arial"/>
                <w:sz w:val="14"/>
                <w:szCs w:val="14"/>
              </w:rPr>
              <w:t>3721</w:t>
            </w:r>
          </w:p>
        </w:tc>
        <w:tc>
          <w:tcPr>
            <w:tcW w:w="8106" w:type="dxa"/>
            <w:tcBorders>
              <w:top w:val="single" w:sz="4" w:space="0" w:color="auto"/>
              <w:left w:val="nil"/>
              <w:bottom w:val="single" w:sz="4" w:space="0" w:color="auto"/>
              <w:right w:val="single" w:sz="4" w:space="0" w:color="auto"/>
            </w:tcBorders>
            <w:noWrap/>
            <w:vAlign w:val="bottom"/>
            <w:hideMark/>
          </w:tcPr>
          <w:p w14:paraId="6CF19EC0" w14:textId="77777777" w:rsidR="00416D67" w:rsidRPr="00416D67" w:rsidRDefault="00416D67" w:rsidP="00416D67">
            <w:pPr>
              <w:rPr>
                <w:rFonts w:ascii="Arial" w:hAnsi="Arial" w:cs="Arial"/>
                <w:sz w:val="14"/>
                <w:szCs w:val="14"/>
              </w:rPr>
            </w:pPr>
            <w:r w:rsidRPr="00416D67">
              <w:rPr>
                <w:rFonts w:ascii="Arial" w:hAnsi="Arial" w:cs="Arial"/>
                <w:sz w:val="14"/>
                <w:szCs w:val="14"/>
              </w:rPr>
              <w:t>Naknade građanima i kućanstvima u novcu</w:t>
            </w:r>
          </w:p>
        </w:tc>
        <w:tc>
          <w:tcPr>
            <w:tcW w:w="1095" w:type="dxa"/>
            <w:tcBorders>
              <w:top w:val="single" w:sz="4" w:space="0" w:color="auto"/>
              <w:left w:val="nil"/>
              <w:bottom w:val="single" w:sz="4" w:space="0" w:color="auto"/>
              <w:right w:val="single" w:sz="4" w:space="0" w:color="auto"/>
            </w:tcBorders>
            <w:noWrap/>
            <w:vAlign w:val="bottom"/>
            <w:hideMark/>
          </w:tcPr>
          <w:p w14:paraId="0C6427C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95608A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495E97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1.600,00</w:t>
            </w:r>
          </w:p>
        </w:tc>
        <w:tc>
          <w:tcPr>
            <w:tcW w:w="918" w:type="dxa"/>
            <w:tcBorders>
              <w:top w:val="single" w:sz="4" w:space="0" w:color="auto"/>
              <w:left w:val="nil"/>
              <w:bottom w:val="single" w:sz="4" w:space="0" w:color="auto"/>
              <w:right w:val="single" w:sz="4" w:space="0" w:color="auto"/>
            </w:tcBorders>
            <w:noWrap/>
            <w:vAlign w:val="bottom"/>
            <w:hideMark/>
          </w:tcPr>
          <w:p w14:paraId="3629960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FBBE0F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709BE2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A100004</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5BD0D7C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Jednokratne naknade povodom rođenja djeteta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5F2BF9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13.200,00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7CABE21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13.200,00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90D39A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9.735,00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3B6AEAB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73,75%</w:t>
            </w:r>
          </w:p>
        </w:tc>
      </w:tr>
      <w:tr w:rsidR="00416D67" w:rsidRPr="00416D67" w14:paraId="14DD1CC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5B19C0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9BB728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13.200,00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725E23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13.200,00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3650A5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9.735,00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64B613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73,75%</w:t>
            </w:r>
          </w:p>
        </w:tc>
      </w:tr>
      <w:tr w:rsidR="00416D67" w:rsidRPr="00416D67" w14:paraId="3AE8C67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1A5AEB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C2BC98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13.200,00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6DF9C0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13.200,00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B71CF9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9.735,00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836019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73,75%</w:t>
            </w:r>
          </w:p>
        </w:tc>
      </w:tr>
      <w:tr w:rsidR="00416D67" w:rsidRPr="00416D67" w14:paraId="0CF6F62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F139D2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37</w:t>
            </w:r>
          </w:p>
        </w:tc>
        <w:tc>
          <w:tcPr>
            <w:tcW w:w="8106" w:type="dxa"/>
            <w:tcBorders>
              <w:top w:val="single" w:sz="4" w:space="0" w:color="auto"/>
              <w:left w:val="nil"/>
              <w:bottom w:val="single" w:sz="4" w:space="0" w:color="auto"/>
              <w:right w:val="single" w:sz="4" w:space="0" w:color="auto"/>
            </w:tcBorders>
            <w:noWrap/>
            <w:vAlign w:val="bottom"/>
            <w:hideMark/>
          </w:tcPr>
          <w:p w14:paraId="7E81932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Naknade građanima i kućanstvima na temelju osiguranja i druge naknade</w:t>
            </w:r>
          </w:p>
        </w:tc>
        <w:tc>
          <w:tcPr>
            <w:tcW w:w="1095" w:type="dxa"/>
            <w:tcBorders>
              <w:top w:val="single" w:sz="4" w:space="0" w:color="auto"/>
              <w:left w:val="nil"/>
              <w:bottom w:val="single" w:sz="4" w:space="0" w:color="auto"/>
              <w:right w:val="single" w:sz="4" w:space="0" w:color="auto"/>
            </w:tcBorders>
            <w:noWrap/>
            <w:vAlign w:val="bottom"/>
            <w:hideMark/>
          </w:tcPr>
          <w:p w14:paraId="4BF7F84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13.200,00</w:t>
            </w:r>
          </w:p>
        </w:tc>
        <w:tc>
          <w:tcPr>
            <w:tcW w:w="1070" w:type="dxa"/>
            <w:tcBorders>
              <w:top w:val="single" w:sz="4" w:space="0" w:color="auto"/>
              <w:left w:val="nil"/>
              <w:bottom w:val="single" w:sz="4" w:space="0" w:color="auto"/>
              <w:right w:val="single" w:sz="4" w:space="0" w:color="auto"/>
            </w:tcBorders>
            <w:noWrap/>
            <w:vAlign w:val="bottom"/>
            <w:hideMark/>
          </w:tcPr>
          <w:p w14:paraId="02FD321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13.200,00</w:t>
            </w:r>
          </w:p>
        </w:tc>
        <w:tc>
          <w:tcPr>
            <w:tcW w:w="1095" w:type="dxa"/>
            <w:tcBorders>
              <w:top w:val="single" w:sz="4" w:space="0" w:color="auto"/>
              <w:left w:val="nil"/>
              <w:bottom w:val="single" w:sz="4" w:space="0" w:color="auto"/>
              <w:right w:val="single" w:sz="4" w:space="0" w:color="auto"/>
            </w:tcBorders>
            <w:noWrap/>
            <w:vAlign w:val="bottom"/>
            <w:hideMark/>
          </w:tcPr>
          <w:p w14:paraId="46772B7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9.735,00</w:t>
            </w:r>
          </w:p>
        </w:tc>
        <w:tc>
          <w:tcPr>
            <w:tcW w:w="918" w:type="dxa"/>
            <w:tcBorders>
              <w:top w:val="single" w:sz="4" w:space="0" w:color="auto"/>
              <w:left w:val="nil"/>
              <w:bottom w:val="single" w:sz="4" w:space="0" w:color="auto"/>
              <w:right w:val="single" w:sz="4" w:space="0" w:color="auto"/>
            </w:tcBorders>
            <w:noWrap/>
            <w:vAlign w:val="bottom"/>
            <w:hideMark/>
          </w:tcPr>
          <w:p w14:paraId="64CC4EC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73,75%</w:t>
            </w:r>
          </w:p>
        </w:tc>
      </w:tr>
      <w:tr w:rsidR="00416D67" w:rsidRPr="00416D67" w14:paraId="43B37BB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94DB8B6" w14:textId="77777777" w:rsidR="00416D67" w:rsidRPr="00416D67" w:rsidRDefault="00416D67" w:rsidP="00416D67">
            <w:pPr>
              <w:rPr>
                <w:rFonts w:ascii="Arial" w:hAnsi="Arial" w:cs="Arial"/>
                <w:sz w:val="14"/>
                <w:szCs w:val="14"/>
              </w:rPr>
            </w:pPr>
            <w:r w:rsidRPr="00416D67">
              <w:rPr>
                <w:rFonts w:ascii="Arial" w:hAnsi="Arial" w:cs="Arial"/>
                <w:sz w:val="14"/>
                <w:szCs w:val="14"/>
              </w:rPr>
              <w:t>3721</w:t>
            </w:r>
          </w:p>
        </w:tc>
        <w:tc>
          <w:tcPr>
            <w:tcW w:w="8106" w:type="dxa"/>
            <w:tcBorders>
              <w:top w:val="single" w:sz="4" w:space="0" w:color="auto"/>
              <w:left w:val="nil"/>
              <w:bottom w:val="single" w:sz="4" w:space="0" w:color="auto"/>
              <w:right w:val="single" w:sz="4" w:space="0" w:color="auto"/>
            </w:tcBorders>
            <w:noWrap/>
            <w:vAlign w:val="bottom"/>
            <w:hideMark/>
          </w:tcPr>
          <w:p w14:paraId="35B42510" w14:textId="77777777" w:rsidR="00416D67" w:rsidRPr="00416D67" w:rsidRDefault="00416D67" w:rsidP="00416D67">
            <w:pPr>
              <w:rPr>
                <w:rFonts w:ascii="Arial" w:hAnsi="Arial" w:cs="Arial"/>
                <w:sz w:val="14"/>
                <w:szCs w:val="14"/>
              </w:rPr>
            </w:pPr>
            <w:r w:rsidRPr="00416D67">
              <w:rPr>
                <w:rFonts w:ascii="Arial" w:hAnsi="Arial" w:cs="Arial"/>
                <w:sz w:val="14"/>
                <w:szCs w:val="14"/>
              </w:rPr>
              <w:t>Naknade građanima i kućanstvima u novcu</w:t>
            </w:r>
          </w:p>
        </w:tc>
        <w:tc>
          <w:tcPr>
            <w:tcW w:w="1095" w:type="dxa"/>
            <w:tcBorders>
              <w:top w:val="single" w:sz="4" w:space="0" w:color="auto"/>
              <w:left w:val="nil"/>
              <w:bottom w:val="single" w:sz="4" w:space="0" w:color="auto"/>
              <w:right w:val="single" w:sz="4" w:space="0" w:color="auto"/>
            </w:tcBorders>
            <w:noWrap/>
            <w:vAlign w:val="bottom"/>
            <w:hideMark/>
          </w:tcPr>
          <w:p w14:paraId="5AFEB5E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894FF4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7127F5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9.735,00</w:t>
            </w:r>
          </w:p>
        </w:tc>
        <w:tc>
          <w:tcPr>
            <w:tcW w:w="918" w:type="dxa"/>
            <w:tcBorders>
              <w:top w:val="single" w:sz="4" w:space="0" w:color="auto"/>
              <w:left w:val="nil"/>
              <w:bottom w:val="single" w:sz="4" w:space="0" w:color="auto"/>
              <w:right w:val="single" w:sz="4" w:space="0" w:color="auto"/>
            </w:tcBorders>
            <w:noWrap/>
            <w:vAlign w:val="bottom"/>
            <w:hideMark/>
          </w:tcPr>
          <w:p w14:paraId="6BAC152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39672F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79ED91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A100005</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03FB935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Participacija pogrebnih troškova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54F27D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8.300,00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28B97E9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8.300,00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F3B166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6.669,12</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48D6CD8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80,35%</w:t>
            </w:r>
          </w:p>
        </w:tc>
      </w:tr>
      <w:tr w:rsidR="00416D67" w:rsidRPr="00416D67" w14:paraId="05CD3B1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DC4D11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296EA5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8.300,00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2A8532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8.300,00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E8C148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6.669,12</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EFC72C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80,35%</w:t>
            </w:r>
          </w:p>
        </w:tc>
      </w:tr>
      <w:tr w:rsidR="00416D67" w:rsidRPr="00416D67" w14:paraId="0555AD7F"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612E5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43C581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8.300,00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A0B331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8.300,00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AB37B3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6.669,12</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28B4EA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80,35%</w:t>
            </w:r>
          </w:p>
        </w:tc>
      </w:tr>
      <w:tr w:rsidR="00416D67" w:rsidRPr="00416D67" w14:paraId="3442D7D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2ED9D8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37</w:t>
            </w:r>
          </w:p>
        </w:tc>
        <w:tc>
          <w:tcPr>
            <w:tcW w:w="8106" w:type="dxa"/>
            <w:tcBorders>
              <w:top w:val="single" w:sz="4" w:space="0" w:color="auto"/>
              <w:left w:val="nil"/>
              <w:bottom w:val="single" w:sz="4" w:space="0" w:color="auto"/>
              <w:right w:val="single" w:sz="4" w:space="0" w:color="auto"/>
            </w:tcBorders>
            <w:noWrap/>
            <w:vAlign w:val="bottom"/>
            <w:hideMark/>
          </w:tcPr>
          <w:p w14:paraId="30C12D5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Naknade građanima i kućanstvima na temelju osiguranja i druge naknade</w:t>
            </w:r>
          </w:p>
        </w:tc>
        <w:tc>
          <w:tcPr>
            <w:tcW w:w="1095" w:type="dxa"/>
            <w:tcBorders>
              <w:top w:val="single" w:sz="4" w:space="0" w:color="auto"/>
              <w:left w:val="nil"/>
              <w:bottom w:val="single" w:sz="4" w:space="0" w:color="auto"/>
              <w:right w:val="single" w:sz="4" w:space="0" w:color="auto"/>
            </w:tcBorders>
            <w:noWrap/>
            <w:vAlign w:val="bottom"/>
            <w:hideMark/>
          </w:tcPr>
          <w:p w14:paraId="7DF45E2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8.300,00</w:t>
            </w:r>
          </w:p>
        </w:tc>
        <w:tc>
          <w:tcPr>
            <w:tcW w:w="1070" w:type="dxa"/>
            <w:tcBorders>
              <w:top w:val="single" w:sz="4" w:space="0" w:color="auto"/>
              <w:left w:val="nil"/>
              <w:bottom w:val="single" w:sz="4" w:space="0" w:color="auto"/>
              <w:right w:val="single" w:sz="4" w:space="0" w:color="auto"/>
            </w:tcBorders>
            <w:noWrap/>
            <w:vAlign w:val="bottom"/>
            <w:hideMark/>
          </w:tcPr>
          <w:p w14:paraId="22CC12C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8.300,00</w:t>
            </w:r>
          </w:p>
        </w:tc>
        <w:tc>
          <w:tcPr>
            <w:tcW w:w="1095" w:type="dxa"/>
            <w:tcBorders>
              <w:top w:val="single" w:sz="4" w:space="0" w:color="auto"/>
              <w:left w:val="nil"/>
              <w:bottom w:val="single" w:sz="4" w:space="0" w:color="auto"/>
              <w:right w:val="single" w:sz="4" w:space="0" w:color="auto"/>
            </w:tcBorders>
            <w:noWrap/>
            <w:vAlign w:val="bottom"/>
            <w:hideMark/>
          </w:tcPr>
          <w:p w14:paraId="09F9EAD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6.669,12</w:t>
            </w:r>
          </w:p>
        </w:tc>
        <w:tc>
          <w:tcPr>
            <w:tcW w:w="918" w:type="dxa"/>
            <w:tcBorders>
              <w:top w:val="single" w:sz="4" w:space="0" w:color="auto"/>
              <w:left w:val="nil"/>
              <w:bottom w:val="single" w:sz="4" w:space="0" w:color="auto"/>
              <w:right w:val="single" w:sz="4" w:space="0" w:color="auto"/>
            </w:tcBorders>
            <w:noWrap/>
            <w:vAlign w:val="bottom"/>
            <w:hideMark/>
          </w:tcPr>
          <w:p w14:paraId="53B3D01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80,35%</w:t>
            </w:r>
          </w:p>
        </w:tc>
      </w:tr>
      <w:tr w:rsidR="00416D67" w:rsidRPr="00416D67" w14:paraId="1D4388C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35F8357" w14:textId="77777777" w:rsidR="00416D67" w:rsidRPr="00416D67" w:rsidRDefault="00416D67" w:rsidP="00416D67">
            <w:pPr>
              <w:rPr>
                <w:rFonts w:ascii="Arial" w:hAnsi="Arial" w:cs="Arial"/>
                <w:sz w:val="14"/>
                <w:szCs w:val="14"/>
              </w:rPr>
            </w:pPr>
            <w:r w:rsidRPr="00416D67">
              <w:rPr>
                <w:rFonts w:ascii="Arial" w:hAnsi="Arial" w:cs="Arial"/>
                <w:sz w:val="14"/>
                <w:szCs w:val="14"/>
              </w:rPr>
              <w:t>3721</w:t>
            </w:r>
          </w:p>
        </w:tc>
        <w:tc>
          <w:tcPr>
            <w:tcW w:w="8106" w:type="dxa"/>
            <w:tcBorders>
              <w:top w:val="single" w:sz="4" w:space="0" w:color="auto"/>
              <w:left w:val="nil"/>
              <w:bottom w:val="single" w:sz="4" w:space="0" w:color="auto"/>
              <w:right w:val="single" w:sz="4" w:space="0" w:color="auto"/>
            </w:tcBorders>
            <w:noWrap/>
            <w:vAlign w:val="bottom"/>
            <w:hideMark/>
          </w:tcPr>
          <w:p w14:paraId="023E5C7A" w14:textId="77777777" w:rsidR="00416D67" w:rsidRPr="00416D67" w:rsidRDefault="00416D67" w:rsidP="00416D67">
            <w:pPr>
              <w:rPr>
                <w:rFonts w:ascii="Arial" w:hAnsi="Arial" w:cs="Arial"/>
                <w:sz w:val="14"/>
                <w:szCs w:val="14"/>
              </w:rPr>
            </w:pPr>
            <w:r w:rsidRPr="00416D67">
              <w:rPr>
                <w:rFonts w:ascii="Arial" w:hAnsi="Arial" w:cs="Arial"/>
                <w:sz w:val="14"/>
                <w:szCs w:val="14"/>
              </w:rPr>
              <w:t>Naknade građanima i kućanstvima u novcu</w:t>
            </w:r>
          </w:p>
        </w:tc>
        <w:tc>
          <w:tcPr>
            <w:tcW w:w="1095" w:type="dxa"/>
            <w:tcBorders>
              <w:top w:val="single" w:sz="4" w:space="0" w:color="auto"/>
              <w:left w:val="nil"/>
              <w:bottom w:val="single" w:sz="4" w:space="0" w:color="auto"/>
              <w:right w:val="single" w:sz="4" w:space="0" w:color="auto"/>
            </w:tcBorders>
            <w:noWrap/>
            <w:vAlign w:val="bottom"/>
            <w:hideMark/>
          </w:tcPr>
          <w:p w14:paraId="2D6E6CD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051661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DC775B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6.669,12</w:t>
            </w:r>
          </w:p>
        </w:tc>
        <w:tc>
          <w:tcPr>
            <w:tcW w:w="918" w:type="dxa"/>
            <w:tcBorders>
              <w:top w:val="single" w:sz="4" w:space="0" w:color="auto"/>
              <w:left w:val="nil"/>
              <w:bottom w:val="single" w:sz="4" w:space="0" w:color="auto"/>
              <w:right w:val="single" w:sz="4" w:space="0" w:color="auto"/>
            </w:tcBorders>
            <w:noWrap/>
            <w:vAlign w:val="bottom"/>
            <w:hideMark/>
          </w:tcPr>
          <w:p w14:paraId="77FC187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260C16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42E3751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Organizacijska klasifikacija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B0FC6AD"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07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745B417"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81A96A4"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9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F120BEF"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2025/2024.           (3/2)</w:t>
            </w:r>
          </w:p>
        </w:tc>
      </w:tr>
      <w:tr w:rsidR="00416D67" w:rsidRPr="00416D67" w14:paraId="4721AAE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4E8E76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Izvori</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560364B1"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5B3AAC32"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74ECE875"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3F9EB8BB" w14:textId="77777777" w:rsidR="00416D67" w:rsidRPr="00416D67" w:rsidRDefault="00416D67" w:rsidP="00416D67">
            <w:pPr>
              <w:rPr>
                <w:rFonts w:ascii="Arial" w:hAnsi="Arial" w:cs="Arial"/>
                <w:sz w:val="14"/>
                <w:szCs w:val="14"/>
              </w:rPr>
            </w:pPr>
          </w:p>
        </w:tc>
      </w:tr>
      <w:tr w:rsidR="00416D67" w:rsidRPr="00416D67" w14:paraId="04EE7A1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000000"/>
            </w:tcBorders>
            <w:shd w:val="clear" w:color="000000" w:fill="D9D9D9"/>
            <w:hideMark/>
          </w:tcPr>
          <w:p w14:paraId="71A58ED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Projekt/Aktivnost</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7765E023"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1A549FAB"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3B7E2DD3"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72B0D529" w14:textId="77777777" w:rsidR="00416D67" w:rsidRPr="00416D67" w:rsidRDefault="00416D67" w:rsidP="00416D67">
            <w:pPr>
              <w:rPr>
                <w:rFonts w:ascii="Arial" w:hAnsi="Arial" w:cs="Arial"/>
                <w:sz w:val="14"/>
                <w:szCs w:val="14"/>
              </w:rPr>
            </w:pPr>
          </w:p>
        </w:tc>
      </w:tr>
      <w:tr w:rsidR="00416D67" w:rsidRPr="00416D67" w14:paraId="7EF7E11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BCF538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A100006</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6BC3FCD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Podmirenje troškova javnog prijevoza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8C8AB8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25698D5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D605C5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19.331,92</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54C404C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74,35%</w:t>
            </w:r>
          </w:p>
        </w:tc>
      </w:tr>
      <w:tr w:rsidR="00416D67" w:rsidRPr="00416D67" w14:paraId="2549610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68416C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46B039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875D19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AF71D0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19.331,92</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521305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74,35%</w:t>
            </w:r>
          </w:p>
        </w:tc>
      </w:tr>
      <w:tr w:rsidR="00416D67" w:rsidRPr="00416D67" w14:paraId="238E7A1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B1C7CC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EEB7DF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B4D266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9C63E6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19.331,92</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55546E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74,35%</w:t>
            </w:r>
          </w:p>
        </w:tc>
      </w:tr>
      <w:tr w:rsidR="00416D67" w:rsidRPr="00416D67" w14:paraId="0EB8581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BEF951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37</w:t>
            </w:r>
          </w:p>
        </w:tc>
        <w:tc>
          <w:tcPr>
            <w:tcW w:w="8106" w:type="dxa"/>
            <w:tcBorders>
              <w:top w:val="single" w:sz="4" w:space="0" w:color="auto"/>
              <w:left w:val="nil"/>
              <w:bottom w:val="single" w:sz="4" w:space="0" w:color="auto"/>
              <w:right w:val="single" w:sz="4" w:space="0" w:color="auto"/>
            </w:tcBorders>
            <w:noWrap/>
            <w:vAlign w:val="bottom"/>
            <w:hideMark/>
          </w:tcPr>
          <w:p w14:paraId="21372BB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Naknade građanima i kućanstvima na temelju osiguranja i druge naknade</w:t>
            </w:r>
          </w:p>
        </w:tc>
        <w:tc>
          <w:tcPr>
            <w:tcW w:w="1095" w:type="dxa"/>
            <w:tcBorders>
              <w:top w:val="single" w:sz="4" w:space="0" w:color="auto"/>
              <w:left w:val="nil"/>
              <w:bottom w:val="single" w:sz="4" w:space="0" w:color="auto"/>
              <w:right w:val="single" w:sz="4" w:space="0" w:color="auto"/>
            </w:tcBorders>
            <w:noWrap/>
            <w:vAlign w:val="bottom"/>
            <w:hideMark/>
          </w:tcPr>
          <w:p w14:paraId="5C9499D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26.000,00</w:t>
            </w:r>
          </w:p>
        </w:tc>
        <w:tc>
          <w:tcPr>
            <w:tcW w:w="1070" w:type="dxa"/>
            <w:tcBorders>
              <w:top w:val="single" w:sz="4" w:space="0" w:color="auto"/>
              <w:left w:val="nil"/>
              <w:bottom w:val="single" w:sz="4" w:space="0" w:color="auto"/>
              <w:right w:val="single" w:sz="4" w:space="0" w:color="auto"/>
            </w:tcBorders>
            <w:noWrap/>
            <w:vAlign w:val="bottom"/>
            <w:hideMark/>
          </w:tcPr>
          <w:p w14:paraId="4BDFAEB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26.000,00</w:t>
            </w:r>
          </w:p>
        </w:tc>
        <w:tc>
          <w:tcPr>
            <w:tcW w:w="1095" w:type="dxa"/>
            <w:tcBorders>
              <w:top w:val="single" w:sz="4" w:space="0" w:color="auto"/>
              <w:left w:val="nil"/>
              <w:bottom w:val="single" w:sz="4" w:space="0" w:color="auto"/>
              <w:right w:val="single" w:sz="4" w:space="0" w:color="auto"/>
            </w:tcBorders>
            <w:noWrap/>
            <w:vAlign w:val="bottom"/>
            <w:hideMark/>
          </w:tcPr>
          <w:p w14:paraId="5F3D9C5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19.331,92</w:t>
            </w:r>
          </w:p>
        </w:tc>
        <w:tc>
          <w:tcPr>
            <w:tcW w:w="918" w:type="dxa"/>
            <w:tcBorders>
              <w:top w:val="single" w:sz="4" w:space="0" w:color="auto"/>
              <w:left w:val="nil"/>
              <w:bottom w:val="single" w:sz="4" w:space="0" w:color="auto"/>
              <w:right w:val="single" w:sz="4" w:space="0" w:color="auto"/>
            </w:tcBorders>
            <w:noWrap/>
            <w:vAlign w:val="bottom"/>
            <w:hideMark/>
          </w:tcPr>
          <w:p w14:paraId="59A44A0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74,35%</w:t>
            </w:r>
          </w:p>
        </w:tc>
      </w:tr>
      <w:tr w:rsidR="00416D67" w:rsidRPr="00416D67" w14:paraId="73254FB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1174B22" w14:textId="77777777" w:rsidR="00416D67" w:rsidRPr="00416D67" w:rsidRDefault="00416D67" w:rsidP="00416D67">
            <w:pPr>
              <w:rPr>
                <w:rFonts w:ascii="Arial" w:hAnsi="Arial" w:cs="Arial"/>
                <w:sz w:val="14"/>
                <w:szCs w:val="14"/>
              </w:rPr>
            </w:pPr>
            <w:r w:rsidRPr="00416D67">
              <w:rPr>
                <w:rFonts w:ascii="Arial" w:hAnsi="Arial" w:cs="Arial"/>
                <w:sz w:val="14"/>
                <w:szCs w:val="14"/>
              </w:rPr>
              <w:t>3722</w:t>
            </w:r>
          </w:p>
        </w:tc>
        <w:tc>
          <w:tcPr>
            <w:tcW w:w="8106" w:type="dxa"/>
            <w:tcBorders>
              <w:top w:val="single" w:sz="4" w:space="0" w:color="auto"/>
              <w:left w:val="nil"/>
              <w:bottom w:val="single" w:sz="4" w:space="0" w:color="auto"/>
              <w:right w:val="single" w:sz="4" w:space="0" w:color="auto"/>
            </w:tcBorders>
            <w:noWrap/>
            <w:vAlign w:val="bottom"/>
            <w:hideMark/>
          </w:tcPr>
          <w:p w14:paraId="05AA31B8" w14:textId="77777777" w:rsidR="00416D67" w:rsidRPr="00416D67" w:rsidRDefault="00416D67" w:rsidP="00416D67">
            <w:pPr>
              <w:rPr>
                <w:rFonts w:ascii="Arial" w:hAnsi="Arial" w:cs="Arial"/>
                <w:sz w:val="14"/>
                <w:szCs w:val="14"/>
              </w:rPr>
            </w:pPr>
            <w:r w:rsidRPr="00416D67">
              <w:rPr>
                <w:rFonts w:ascii="Arial" w:hAnsi="Arial" w:cs="Arial"/>
                <w:sz w:val="14"/>
                <w:szCs w:val="14"/>
              </w:rPr>
              <w:t>Naknade građanima i kućanstvima u naravi</w:t>
            </w:r>
          </w:p>
        </w:tc>
        <w:tc>
          <w:tcPr>
            <w:tcW w:w="1095" w:type="dxa"/>
            <w:tcBorders>
              <w:top w:val="single" w:sz="4" w:space="0" w:color="auto"/>
              <w:left w:val="nil"/>
              <w:bottom w:val="single" w:sz="4" w:space="0" w:color="auto"/>
              <w:right w:val="single" w:sz="4" w:space="0" w:color="auto"/>
            </w:tcBorders>
            <w:noWrap/>
            <w:vAlign w:val="bottom"/>
            <w:hideMark/>
          </w:tcPr>
          <w:p w14:paraId="6D42159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B423E9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767AAF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19.331,92</w:t>
            </w:r>
          </w:p>
        </w:tc>
        <w:tc>
          <w:tcPr>
            <w:tcW w:w="918" w:type="dxa"/>
            <w:tcBorders>
              <w:top w:val="single" w:sz="4" w:space="0" w:color="auto"/>
              <w:left w:val="nil"/>
              <w:bottom w:val="single" w:sz="4" w:space="0" w:color="auto"/>
              <w:right w:val="single" w:sz="4" w:space="0" w:color="auto"/>
            </w:tcBorders>
            <w:noWrap/>
            <w:vAlign w:val="bottom"/>
            <w:hideMark/>
          </w:tcPr>
          <w:p w14:paraId="3F17124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3DD731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96FE71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A100007</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55020FE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Jednokratne novčane pomoći</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B2854E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85.000,00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654DE8C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88.840,00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8E8D3D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87.353,55</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1714CBD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98,33%</w:t>
            </w:r>
          </w:p>
        </w:tc>
      </w:tr>
      <w:tr w:rsidR="00416D67" w:rsidRPr="00416D67" w14:paraId="574A5E4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1950DB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E3C604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D46571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E88CCC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21.453,55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124AE9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85,81%</w:t>
            </w:r>
          </w:p>
        </w:tc>
      </w:tr>
      <w:tr w:rsidR="00416D67" w:rsidRPr="00416D67" w14:paraId="28FF3FB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0F7C9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C2BB2E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37B200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588C42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21.453,55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AD8C4B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85,81%</w:t>
            </w:r>
          </w:p>
        </w:tc>
      </w:tr>
      <w:tr w:rsidR="00416D67" w:rsidRPr="00416D67" w14:paraId="0EC24A4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33C929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37</w:t>
            </w:r>
          </w:p>
        </w:tc>
        <w:tc>
          <w:tcPr>
            <w:tcW w:w="8106" w:type="dxa"/>
            <w:tcBorders>
              <w:top w:val="single" w:sz="4" w:space="0" w:color="auto"/>
              <w:left w:val="nil"/>
              <w:bottom w:val="single" w:sz="4" w:space="0" w:color="auto"/>
              <w:right w:val="single" w:sz="4" w:space="0" w:color="auto"/>
            </w:tcBorders>
            <w:noWrap/>
            <w:vAlign w:val="bottom"/>
            <w:hideMark/>
          </w:tcPr>
          <w:p w14:paraId="25D0AAC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Naknade građanima i kućanstvima na temelju osiguranja i druge naknade</w:t>
            </w:r>
          </w:p>
        </w:tc>
        <w:tc>
          <w:tcPr>
            <w:tcW w:w="1095" w:type="dxa"/>
            <w:tcBorders>
              <w:top w:val="single" w:sz="4" w:space="0" w:color="auto"/>
              <w:left w:val="nil"/>
              <w:bottom w:val="single" w:sz="4" w:space="0" w:color="auto"/>
              <w:right w:val="single" w:sz="4" w:space="0" w:color="auto"/>
            </w:tcBorders>
            <w:noWrap/>
            <w:vAlign w:val="bottom"/>
            <w:hideMark/>
          </w:tcPr>
          <w:p w14:paraId="5133B0A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25.000,00</w:t>
            </w:r>
          </w:p>
        </w:tc>
        <w:tc>
          <w:tcPr>
            <w:tcW w:w="1070" w:type="dxa"/>
            <w:tcBorders>
              <w:top w:val="single" w:sz="4" w:space="0" w:color="auto"/>
              <w:left w:val="nil"/>
              <w:bottom w:val="single" w:sz="4" w:space="0" w:color="auto"/>
              <w:right w:val="single" w:sz="4" w:space="0" w:color="auto"/>
            </w:tcBorders>
            <w:noWrap/>
            <w:vAlign w:val="bottom"/>
            <w:hideMark/>
          </w:tcPr>
          <w:p w14:paraId="470C471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25.000,00</w:t>
            </w:r>
          </w:p>
        </w:tc>
        <w:tc>
          <w:tcPr>
            <w:tcW w:w="1095" w:type="dxa"/>
            <w:tcBorders>
              <w:top w:val="single" w:sz="4" w:space="0" w:color="auto"/>
              <w:left w:val="nil"/>
              <w:bottom w:val="single" w:sz="4" w:space="0" w:color="auto"/>
              <w:right w:val="single" w:sz="4" w:space="0" w:color="auto"/>
            </w:tcBorders>
            <w:noWrap/>
            <w:vAlign w:val="bottom"/>
            <w:hideMark/>
          </w:tcPr>
          <w:p w14:paraId="3D100A1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21.453,55</w:t>
            </w:r>
          </w:p>
        </w:tc>
        <w:tc>
          <w:tcPr>
            <w:tcW w:w="918" w:type="dxa"/>
            <w:tcBorders>
              <w:top w:val="single" w:sz="4" w:space="0" w:color="auto"/>
              <w:left w:val="nil"/>
              <w:bottom w:val="single" w:sz="4" w:space="0" w:color="auto"/>
              <w:right w:val="single" w:sz="4" w:space="0" w:color="auto"/>
            </w:tcBorders>
            <w:noWrap/>
            <w:vAlign w:val="bottom"/>
            <w:hideMark/>
          </w:tcPr>
          <w:p w14:paraId="2B5FA17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85,81%</w:t>
            </w:r>
          </w:p>
        </w:tc>
      </w:tr>
      <w:tr w:rsidR="00416D67" w:rsidRPr="00416D67" w14:paraId="102770C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EA7EC18" w14:textId="77777777" w:rsidR="00416D67" w:rsidRPr="00416D67" w:rsidRDefault="00416D67" w:rsidP="00416D67">
            <w:pPr>
              <w:rPr>
                <w:rFonts w:ascii="Arial" w:hAnsi="Arial" w:cs="Arial"/>
                <w:sz w:val="14"/>
                <w:szCs w:val="14"/>
              </w:rPr>
            </w:pPr>
            <w:r w:rsidRPr="00416D67">
              <w:rPr>
                <w:rFonts w:ascii="Arial" w:hAnsi="Arial" w:cs="Arial"/>
                <w:sz w:val="14"/>
                <w:szCs w:val="14"/>
              </w:rPr>
              <w:lastRenderedPageBreak/>
              <w:t>3721</w:t>
            </w:r>
          </w:p>
        </w:tc>
        <w:tc>
          <w:tcPr>
            <w:tcW w:w="8106" w:type="dxa"/>
            <w:tcBorders>
              <w:top w:val="single" w:sz="4" w:space="0" w:color="auto"/>
              <w:left w:val="nil"/>
              <w:bottom w:val="single" w:sz="4" w:space="0" w:color="auto"/>
              <w:right w:val="single" w:sz="4" w:space="0" w:color="auto"/>
            </w:tcBorders>
            <w:noWrap/>
            <w:vAlign w:val="bottom"/>
            <w:hideMark/>
          </w:tcPr>
          <w:p w14:paraId="1B1922F2" w14:textId="77777777" w:rsidR="00416D67" w:rsidRPr="00416D67" w:rsidRDefault="00416D67" w:rsidP="00416D67">
            <w:pPr>
              <w:rPr>
                <w:rFonts w:ascii="Arial" w:hAnsi="Arial" w:cs="Arial"/>
                <w:sz w:val="14"/>
                <w:szCs w:val="14"/>
              </w:rPr>
            </w:pPr>
            <w:r w:rsidRPr="00416D67">
              <w:rPr>
                <w:rFonts w:ascii="Arial" w:hAnsi="Arial" w:cs="Arial"/>
                <w:sz w:val="14"/>
                <w:szCs w:val="14"/>
              </w:rPr>
              <w:t>Naknade građanima i kućanstvima u novcu</w:t>
            </w:r>
          </w:p>
        </w:tc>
        <w:tc>
          <w:tcPr>
            <w:tcW w:w="1095" w:type="dxa"/>
            <w:tcBorders>
              <w:top w:val="single" w:sz="4" w:space="0" w:color="auto"/>
              <w:left w:val="nil"/>
              <w:bottom w:val="single" w:sz="4" w:space="0" w:color="auto"/>
              <w:right w:val="single" w:sz="4" w:space="0" w:color="auto"/>
            </w:tcBorders>
            <w:noWrap/>
            <w:vAlign w:val="bottom"/>
            <w:hideMark/>
          </w:tcPr>
          <w:p w14:paraId="2E5E69A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708911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EB34CF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21.453,55</w:t>
            </w:r>
          </w:p>
        </w:tc>
        <w:tc>
          <w:tcPr>
            <w:tcW w:w="918" w:type="dxa"/>
            <w:tcBorders>
              <w:top w:val="single" w:sz="4" w:space="0" w:color="auto"/>
              <w:left w:val="nil"/>
              <w:bottom w:val="single" w:sz="4" w:space="0" w:color="auto"/>
              <w:right w:val="single" w:sz="4" w:space="0" w:color="auto"/>
            </w:tcBorders>
            <w:noWrap/>
            <w:vAlign w:val="bottom"/>
            <w:hideMark/>
          </w:tcPr>
          <w:p w14:paraId="5F9C745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000EBC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1DD62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 Višak prihoda ranijih godina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7ADBD4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F42690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63.840,00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1C56DB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65.900,00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E0EFCB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103,23%</w:t>
            </w:r>
          </w:p>
        </w:tc>
      </w:tr>
      <w:tr w:rsidR="00416D67" w:rsidRPr="00416D67" w14:paraId="13E01CE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E61938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9.1.1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066376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C693B1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63.840,00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C0BFFA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65.900,00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35B628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103,23%</w:t>
            </w:r>
          </w:p>
        </w:tc>
      </w:tr>
      <w:tr w:rsidR="00416D67" w:rsidRPr="00416D67" w14:paraId="0E399F5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7C0A80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37</w:t>
            </w:r>
          </w:p>
        </w:tc>
        <w:tc>
          <w:tcPr>
            <w:tcW w:w="8106" w:type="dxa"/>
            <w:tcBorders>
              <w:top w:val="single" w:sz="4" w:space="0" w:color="auto"/>
              <w:left w:val="nil"/>
              <w:bottom w:val="single" w:sz="4" w:space="0" w:color="auto"/>
              <w:right w:val="single" w:sz="4" w:space="0" w:color="auto"/>
            </w:tcBorders>
            <w:noWrap/>
            <w:vAlign w:val="bottom"/>
            <w:hideMark/>
          </w:tcPr>
          <w:p w14:paraId="54F9CDA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Naknade građanima i kućanstvima na temelju osiguranja i druge naknade</w:t>
            </w:r>
          </w:p>
        </w:tc>
        <w:tc>
          <w:tcPr>
            <w:tcW w:w="1095" w:type="dxa"/>
            <w:tcBorders>
              <w:top w:val="single" w:sz="4" w:space="0" w:color="auto"/>
              <w:left w:val="nil"/>
              <w:bottom w:val="single" w:sz="4" w:space="0" w:color="auto"/>
              <w:right w:val="single" w:sz="4" w:space="0" w:color="auto"/>
            </w:tcBorders>
            <w:noWrap/>
            <w:vAlign w:val="bottom"/>
            <w:hideMark/>
          </w:tcPr>
          <w:p w14:paraId="0E54899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60.000,00</w:t>
            </w:r>
          </w:p>
        </w:tc>
        <w:tc>
          <w:tcPr>
            <w:tcW w:w="1070" w:type="dxa"/>
            <w:tcBorders>
              <w:top w:val="single" w:sz="4" w:space="0" w:color="auto"/>
              <w:left w:val="nil"/>
              <w:bottom w:val="single" w:sz="4" w:space="0" w:color="auto"/>
              <w:right w:val="single" w:sz="4" w:space="0" w:color="auto"/>
            </w:tcBorders>
            <w:noWrap/>
            <w:vAlign w:val="bottom"/>
            <w:hideMark/>
          </w:tcPr>
          <w:p w14:paraId="5C2E551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63.840,00</w:t>
            </w:r>
          </w:p>
        </w:tc>
        <w:tc>
          <w:tcPr>
            <w:tcW w:w="1095" w:type="dxa"/>
            <w:tcBorders>
              <w:top w:val="single" w:sz="4" w:space="0" w:color="auto"/>
              <w:left w:val="nil"/>
              <w:bottom w:val="single" w:sz="4" w:space="0" w:color="auto"/>
              <w:right w:val="single" w:sz="4" w:space="0" w:color="auto"/>
            </w:tcBorders>
            <w:noWrap/>
            <w:vAlign w:val="bottom"/>
            <w:hideMark/>
          </w:tcPr>
          <w:p w14:paraId="7883564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65.900,00</w:t>
            </w:r>
          </w:p>
        </w:tc>
        <w:tc>
          <w:tcPr>
            <w:tcW w:w="918" w:type="dxa"/>
            <w:tcBorders>
              <w:top w:val="single" w:sz="4" w:space="0" w:color="auto"/>
              <w:left w:val="nil"/>
              <w:bottom w:val="single" w:sz="4" w:space="0" w:color="auto"/>
              <w:right w:val="single" w:sz="4" w:space="0" w:color="auto"/>
            </w:tcBorders>
            <w:noWrap/>
            <w:vAlign w:val="bottom"/>
            <w:hideMark/>
          </w:tcPr>
          <w:p w14:paraId="6190E1F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103,23%</w:t>
            </w:r>
          </w:p>
        </w:tc>
      </w:tr>
      <w:tr w:rsidR="00416D67" w:rsidRPr="00416D67" w14:paraId="3A48247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3A39C6F" w14:textId="77777777" w:rsidR="00416D67" w:rsidRPr="00416D67" w:rsidRDefault="00416D67" w:rsidP="00416D67">
            <w:pPr>
              <w:rPr>
                <w:rFonts w:ascii="Arial" w:hAnsi="Arial" w:cs="Arial"/>
                <w:sz w:val="14"/>
                <w:szCs w:val="14"/>
              </w:rPr>
            </w:pPr>
            <w:r w:rsidRPr="00416D67">
              <w:rPr>
                <w:rFonts w:ascii="Arial" w:hAnsi="Arial" w:cs="Arial"/>
                <w:sz w:val="14"/>
                <w:szCs w:val="14"/>
              </w:rPr>
              <w:t>3721</w:t>
            </w:r>
          </w:p>
        </w:tc>
        <w:tc>
          <w:tcPr>
            <w:tcW w:w="8106" w:type="dxa"/>
            <w:tcBorders>
              <w:top w:val="single" w:sz="4" w:space="0" w:color="auto"/>
              <w:left w:val="nil"/>
              <w:bottom w:val="single" w:sz="4" w:space="0" w:color="auto"/>
              <w:right w:val="single" w:sz="4" w:space="0" w:color="auto"/>
            </w:tcBorders>
            <w:noWrap/>
            <w:vAlign w:val="bottom"/>
            <w:hideMark/>
          </w:tcPr>
          <w:p w14:paraId="46B52C82" w14:textId="77777777" w:rsidR="00416D67" w:rsidRPr="00416D67" w:rsidRDefault="00416D67" w:rsidP="00416D67">
            <w:pPr>
              <w:rPr>
                <w:rFonts w:ascii="Arial" w:hAnsi="Arial" w:cs="Arial"/>
                <w:sz w:val="14"/>
                <w:szCs w:val="14"/>
              </w:rPr>
            </w:pPr>
            <w:r w:rsidRPr="00416D67">
              <w:rPr>
                <w:rFonts w:ascii="Arial" w:hAnsi="Arial" w:cs="Arial"/>
                <w:sz w:val="14"/>
                <w:szCs w:val="14"/>
              </w:rPr>
              <w:t>Naknade građanima i kućanstvima u novcu</w:t>
            </w:r>
          </w:p>
        </w:tc>
        <w:tc>
          <w:tcPr>
            <w:tcW w:w="1095" w:type="dxa"/>
            <w:tcBorders>
              <w:top w:val="single" w:sz="4" w:space="0" w:color="auto"/>
              <w:left w:val="nil"/>
              <w:bottom w:val="single" w:sz="4" w:space="0" w:color="auto"/>
              <w:right w:val="single" w:sz="4" w:space="0" w:color="auto"/>
            </w:tcBorders>
            <w:noWrap/>
            <w:vAlign w:val="bottom"/>
            <w:hideMark/>
          </w:tcPr>
          <w:p w14:paraId="2F795D6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E02158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100002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65.900,00</w:t>
            </w:r>
          </w:p>
        </w:tc>
        <w:tc>
          <w:tcPr>
            <w:tcW w:w="918" w:type="dxa"/>
            <w:tcBorders>
              <w:top w:val="single" w:sz="4" w:space="0" w:color="auto"/>
              <w:left w:val="nil"/>
              <w:bottom w:val="single" w:sz="4" w:space="0" w:color="auto"/>
              <w:right w:val="single" w:sz="4" w:space="0" w:color="auto"/>
            </w:tcBorders>
            <w:noWrap/>
            <w:vAlign w:val="bottom"/>
            <w:hideMark/>
          </w:tcPr>
          <w:p w14:paraId="4813CA6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3D915E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CAB9D4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A100008</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5EBE9C6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Ostali oblici pomoći obiteljima i samcima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182874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10.500,00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178BF48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10.500,00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F2FA03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8.174,83</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1121AC3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77,86%</w:t>
            </w:r>
          </w:p>
        </w:tc>
      </w:tr>
      <w:tr w:rsidR="00416D67" w:rsidRPr="00416D67" w14:paraId="1CE523E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A29D07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12EB8F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87A0EB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D92F3B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8.174,83</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99CBC0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77,86%</w:t>
            </w:r>
          </w:p>
        </w:tc>
      </w:tr>
      <w:tr w:rsidR="00416D67" w:rsidRPr="00416D67" w14:paraId="0616BA0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D9EBE24"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DF13C8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AABCB8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BABD4C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8.174,83</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A0ED53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77,86%</w:t>
            </w:r>
          </w:p>
        </w:tc>
      </w:tr>
      <w:tr w:rsidR="00416D67" w:rsidRPr="00416D67" w14:paraId="6B568FC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0EAB17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37</w:t>
            </w:r>
          </w:p>
        </w:tc>
        <w:tc>
          <w:tcPr>
            <w:tcW w:w="8106" w:type="dxa"/>
            <w:tcBorders>
              <w:top w:val="single" w:sz="4" w:space="0" w:color="auto"/>
              <w:left w:val="nil"/>
              <w:bottom w:val="single" w:sz="4" w:space="0" w:color="auto"/>
              <w:right w:val="single" w:sz="4" w:space="0" w:color="auto"/>
            </w:tcBorders>
            <w:noWrap/>
            <w:vAlign w:val="bottom"/>
            <w:hideMark/>
          </w:tcPr>
          <w:p w14:paraId="36A650A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Naknade građanima i kućanstvima na temelju osiguranja i druge naknade</w:t>
            </w:r>
          </w:p>
        </w:tc>
        <w:tc>
          <w:tcPr>
            <w:tcW w:w="1095" w:type="dxa"/>
            <w:tcBorders>
              <w:top w:val="single" w:sz="4" w:space="0" w:color="auto"/>
              <w:left w:val="nil"/>
              <w:bottom w:val="single" w:sz="4" w:space="0" w:color="auto"/>
              <w:right w:val="single" w:sz="4" w:space="0" w:color="auto"/>
            </w:tcBorders>
            <w:noWrap/>
            <w:vAlign w:val="bottom"/>
            <w:hideMark/>
          </w:tcPr>
          <w:p w14:paraId="2570381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10.500,00</w:t>
            </w:r>
          </w:p>
        </w:tc>
        <w:tc>
          <w:tcPr>
            <w:tcW w:w="1070" w:type="dxa"/>
            <w:tcBorders>
              <w:top w:val="single" w:sz="4" w:space="0" w:color="auto"/>
              <w:left w:val="nil"/>
              <w:bottom w:val="single" w:sz="4" w:space="0" w:color="auto"/>
              <w:right w:val="single" w:sz="4" w:space="0" w:color="auto"/>
            </w:tcBorders>
            <w:noWrap/>
            <w:vAlign w:val="bottom"/>
            <w:hideMark/>
          </w:tcPr>
          <w:p w14:paraId="5D255B2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10.500,00</w:t>
            </w:r>
          </w:p>
        </w:tc>
        <w:tc>
          <w:tcPr>
            <w:tcW w:w="1095" w:type="dxa"/>
            <w:tcBorders>
              <w:top w:val="single" w:sz="4" w:space="0" w:color="auto"/>
              <w:left w:val="nil"/>
              <w:bottom w:val="single" w:sz="4" w:space="0" w:color="auto"/>
              <w:right w:val="single" w:sz="4" w:space="0" w:color="auto"/>
            </w:tcBorders>
            <w:noWrap/>
            <w:vAlign w:val="bottom"/>
            <w:hideMark/>
          </w:tcPr>
          <w:p w14:paraId="7D27680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8.174,83</w:t>
            </w:r>
          </w:p>
        </w:tc>
        <w:tc>
          <w:tcPr>
            <w:tcW w:w="918" w:type="dxa"/>
            <w:tcBorders>
              <w:top w:val="single" w:sz="4" w:space="0" w:color="auto"/>
              <w:left w:val="nil"/>
              <w:bottom w:val="single" w:sz="4" w:space="0" w:color="auto"/>
              <w:right w:val="single" w:sz="4" w:space="0" w:color="auto"/>
            </w:tcBorders>
            <w:noWrap/>
            <w:vAlign w:val="bottom"/>
            <w:hideMark/>
          </w:tcPr>
          <w:p w14:paraId="6BCE7B2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77,86%</w:t>
            </w:r>
          </w:p>
        </w:tc>
      </w:tr>
      <w:tr w:rsidR="00416D67" w:rsidRPr="00416D67" w14:paraId="1930A9B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2D7C48C" w14:textId="77777777" w:rsidR="00416D67" w:rsidRPr="00416D67" w:rsidRDefault="00416D67" w:rsidP="00416D67">
            <w:pPr>
              <w:rPr>
                <w:rFonts w:ascii="Arial" w:hAnsi="Arial" w:cs="Arial"/>
                <w:sz w:val="14"/>
                <w:szCs w:val="14"/>
              </w:rPr>
            </w:pPr>
            <w:r w:rsidRPr="00416D67">
              <w:rPr>
                <w:rFonts w:ascii="Arial" w:hAnsi="Arial" w:cs="Arial"/>
                <w:sz w:val="14"/>
                <w:szCs w:val="14"/>
              </w:rPr>
              <w:t>3721</w:t>
            </w:r>
          </w:p>
        </w:tc>
        <w:tc>
          <w:tcPr>
            <w:tcW w:w="8106" w:type="dxa"/>
            <w:tcBorders>
              <w:top w:val="single" w:sz="4" w:space="0" w:color="auto"/>
              <w:left w:val="nil"/>
              <w:bottom w:val="single" w:sz="4" w:space="0" w:color="auto"/>
              <w:right w:val="single" w:sz="4" w:space="0" w:color="auto"/>
            </w:tcBorders>
            <w:noWrap/>
            <w:vAlign w:val="bottom"/>
            <w:hideMark/>
          </w:tcPr>
          <w:p w14:paraId="5A9C32A8" w14:textId="77777777" w:rsidR="00416D67" w:rsidRPr="00416D67" w:rsidRDefault="00416D67" w:rsidP="00416D67">
            <w:pPr>
              <w:rPr>
                <w:rFonts w:ascii="Arial" w:hAnsi="Arial" w:cs="Arial"/>
                <w:sz w:val="14"/>
                <w:szCs w:val="14"/>
              </w:rPr>
            </w:pPr>
            <w:r w:rsidRPr="00416D67">
              <w:rPr>
                <w:rFonts w:ascii="Arial" w:hAnsi="Arial" w:cs="Arial"/>
                <w:sz w:val="14"/>
                <w:szCs w:val="14"/>
              </w:rPr>
              <w:t>Naknade građanima i kućanstvima u novcu</w:t>
            </w:r>
          </w:p>
        </w:tc>
        <w:tc>
          <w:tcPr>
            <w:tcW w:w="1095" w:type="dxa"/>
            <w:tcBorders>
              <w:top w:val="single" w:sz="4" w:space="0" w:color="auto"/>
              <w:left w:val="nil"/>
              <w:bottom w:val="single" w:sz="4" w:space="0" w:color="auto"/>
              <w:right w:val="single" w:sz="4" w:space="0" w:color="auto"/>
            </w:tcBorders>
            <w:noWrap/>
            <w:vAlign w:val="bottom"/>
            <w:hideMark/>
          </w:tcPr>
          <w:p w14:paraId="3550445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35B0B0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6C41A8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8.174,83</w:t>
            </w:r>
          </w:p>
        </w:tc>
        <w:tc>
          <w:tcPr>
            <w:tcW w:w="918" w:type="dxa"/>
            <w:tcBorders>
              <w:top w:val="single" w:sz="4" w:space="0" w:color="auto"/>
              <w:left w:val="nil"/>
              <w:bottom w:val="single" w:sz="4" w:space="0" w:color="auto"/>
              <w:right w:val="single" w:sz="4" w:space="0" w:color="auto"/>
            </w:tcBorders>
            <w:noWrap/>
            <w:vAlign w:val="bottom"/>
            <w:hideMark/>
          </w:tcPr>
          <w:p w14:paraId="1C3ADCA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15AEE7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AEAEB2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A100009</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214B262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Materijalna zaštita sudionika Drugog svjetskog rata i članova njihovih obitelji</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B04A0C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5B98EBF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4A1AF1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19C5B91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76577B1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87A304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29AFBB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EB7993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47D7EA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D71159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1D68AB2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51AAEE0"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BB388C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19376C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141E3B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7C937A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13C8A92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37BCF5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37</w:t>
            </w:r>
          </w:p>
        </w:tc>
        <w:tc>
          <w:tcPr>
            <w:tcW w:w="8106" w:type="dxa"/>
            <w:tcBorders>
              <w:top w:val="single" w:sz="4" w:space="0" w:color="auto"/>
              <w:left w:val="nil"/>
              <w:bottom w:val="single" w:sz="4" w:space="0" w:color="auto"/>
              <w:right w:val="single" w:sz="4" w:space="0" w:color="auto"/>
            </w:tcBorders>
            <w:noWrap/>
            <w:vAlign w:val="bottom"/>
            <w:hideMark/>
          </w:tcPr>
          <w:p w14:paraId="4FCD147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Naknade građanima i kućanstvima na temelju osiguranja i druge naknade</w:t>
            </w:r>
          </w:p>
        </w:tc>
        <w:tc>
          <w:tcPr>
            <w:tcW w:w="1095" w:type="dxa"/>
            <w:tcBorders>
              <w:top w:val="single" w:sz="4" w:space="0" w:color="auto"/>
              <w:left w:val="nil"/>
              <w:bottom w:val="single" w:sz="4" w:space="0" w:color="auto"/>
              <w:right w:val="single" w:sz="4" w:space="0" w:color="auto"/>
            </w:tcBorders>
            <w:noWrap/>
            <w:vAlign w:val="bottom"/>
            <w:hideMark/>
          </w:tcPr>
          <w:p w14:paraId="0997025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800,00</w:t>
            </w:r>
          </w:p>
        </w:tc>
        <w:tc>
          <w:tcPr>
            <w:tcW w:w="1070" w:type="dxa"/>
            <w:tcBorders>
              <w:top w:val="single" w:sz="4" w:space="0" w:color="auto"/>
              <w:left w:val="nil"/>
              <w:bottom w:val="single" w:sz="4" w:space="0" w:color="auto"/>
              <w:right w:val="single" w:sz="4" w:space="0" w:color="auto"/>
            </w:tcBorders>
            <w:noWrap/>
            <w:vAlign w:val="bottom"/>
            <w:hideMark/>
          </w:tcPr>
          <w:p w14:paraId="014230D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800,00</w:t>
            </w:r>
          </w:p>
        </w:tc>
        <w:tc>
          <w:tcPr>
            <w:tcW w:w="1095" w:type="dxa"/>
            <w:tcBorders>
              <w:top w:val="single" w:sz="4" w:space="0" w:color="auto"/>
              <w:left w:val="nil"/>
              <w:bottom w:val="single" w:sz="4" w:space="0" w:color="auto"/>
              <w:right w:val="single" w:sz="4" w:space="0" w:color="auto"/>
            </w:tcBorders>
            <w:noWrap/>
            <w:vAlign w:val="bottom"/>
            <w:hideMark/>
          </w:tcPr>
          <w:p w14:paraId="635811B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44ABF45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329750E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40D51C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A100010</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5E07CDC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Materijalna zaštita hrvatskih branitelja Domovinskog rata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C6E673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1.320,00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627AA8F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1.320,00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6B0A22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1.320,00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1148D81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4F74C36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207D0F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0E850C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1.320,00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B707D7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1.320,00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589685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1.320,00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3758B7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4F801BD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D79187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9AC631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1.320,00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562961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1.320,00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223D7C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1.320,00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41AB43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6FDBC82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0B8BEA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37</w:t>
            </w:r>
          </w:p>
        </w:tc>
        <w:tc>
          <w:tcPr>
            <w:tcW w:w="8106" w:type="dxa"/>
            <w:tcBorders>
              <w:top w:val="single" w:sz="4" w:space="0" w:color="auto"/>
              <w:left w:val="nil"/>
              <w:bottom w:val="single" w:sz="4" w:space="0" w:color="auto"/>
              <w:right w:val="single" w:sz="4" w:space="0" w:color="auto"/>
            </w:tcBorders>
            <w:noWrap/>
            <w:vAlign w:val="bottom"/>
            <w:hideMark/>
          </w:tcPr>
          <w:p w14:paraId="4A75F0D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Naknade građanima i kućanstvima na temelju osiguranja i druge naknade</w:t>
            </w:r>
          </w:p>
        </w:tc>
        <w:tc>
          <w:tcPr>
            <w:tcW w:w="1095" w:type="dxa"/>
            <w:tcBorders>
              <w:top w:val="single" w:sz="4" w:space="0" w:color="auto"/>
              <w:left w:val="nil"/>
              <w:bottom w:val="single" w:sz="4" w:space="0" w:color="auto"/>
              <w:right w:val="single" w:sz="4" w:space="0" w:color="auto"/>
            </w:tcBorders>
            <w:noWrap/>
            <w:vAlign w:val="bottom"/>
            <w:hideMark/>
          </w:tcPr>
          <w:p w14:paraId="29A462F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1.320,00</w:t>
            </w:r>
          </w:p>
        </w:tc>
        <w:tc>
          <w:tcPr>
            <w:tcW w:w="1070" w:type="dxa"/>
            <w:tcBorders>
              <w:top w:val="single" w:sz="4" w:space="0" w:color="auto"/>
              <w:left w:val="nil"/>
              <w:bottom w:val="single" w:sz="4" w:space="0" w:color="auto"/>
              <w:right w:val="single" w:sz="4" w:space="0" w:color="auto"/>
            </w:tcBorders>
            <w:noWrap/>
            <w:vAlign w:val="bottom"/>
            <w:hideMark/>
          </w:tcPr>
          <w:p w14:paraId="22753EE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1.320,00</w:t>
            </w:r>
          </w:p>
        </w:tc>
        <w:tc>
          <w:tcPr>
            <w:tcW w:w="1095" w:type="dxa"/>
            <w:tcBorders>
              <w:top w:val="single" w:sz="4" w:space="0" w:color="auto"/>
              <w:left w:val="nil"/>
              <w:bottom w:val="single" w:sz="4" w:space="0" w:color="auto"/>
              <w:right w:val="single" w:sz="4" w:space="0" w:color="auto"/>
            </w:tcBorders>
            <w:noWrap/>
            <w:vAlign w:val="bottom"/>
            <w:hideMark/>
          </w:tcPr>
          <w:p w14:paraId="06FBCF7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1.320,00</w:t>
            </w:r>
          </w:p>
        </w:tc>
        <w:tc>
          <w:tcPr>
            <w:tcW w:w="918" w:type="dxa"/>
            <w:tcBorders>
              <w:top w:val="single" w:sz="4" w:space="0" w:color="auto"/>
              <w:left w:val="nil"/>
              <w:bottom w:val="single" w:sz="4" w:space="0" w:color="auto"/>
              <w:right w:val="single" w:sz="4" w:space="0" w:color="auto"/>
            </w:tcBorders>
            <w:noWrap/>
            <w:vAlign w:val="bottom"/>
            <w:hideMark/>
          </w:tcPr>
          <w:p w14:paraId="0553832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4F0ABFD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D9AA7EE" w14:textId="77777777" w:rsidR="00416D67" w:rsidRPr="00416D67" w:rsidRDefault="00416D67" w:rsidP="00416D67">
            <w:pPr>
              <w:rPr>
                <w:rFonts w:ascii="Arial" w:hAnsi="Arial" w:cs="Arial"/>
                <w:sz w:val="14"/>
                <w:szCs w:val="14"/>
              </w:rPr>
            </w:pPr>
            <w:r w:rsidRPr="00416D67">
              <w:rPr>
                <w:rFonts w:ascii="Arial" w:hAnsi="Arial" w:cs="Arial"/>
                <w:sz w:val="14"/>
                <w:szCs w:val="14"/>
              </w:rPr>
              <w:t>3721</w:t>
            </w:r>
          </w:p>
        </w:tc>
        <w:tc>
          <w:tcPr>
            <w:tcW w:w="8106" w:type="dxa"/>
            <w:tcBorders>
              <w:top w:val="single" w:sz="4" w:space="0" w:color="auto"/>
              <w:left w:val="nil"/>
              <w:bottom w:val="single" w:sz="4" w:space="0" w:color="auto"/>
              <w:right w:val="single" w:sz="4" w:space="0" w:color="auto"/>
            </w:tcBorders>
            <w:noWrap/>
            <w:vAlign w:val="bottom"/>
            <w:hideMark/>
          </w:tcPr>
          <w:p w14:paraId="112949FA" w14:textId="77777777" w:rsidR="00416D67" w:rsidRPr="00416D67" w:rsidRDefault="00416D67" w:rsidP="00416D67">
            <w:pPr>
              <w:rPr>
                <w:rFonts w:ascii="Arial" w:hAnsi="Arial" w:cs="Arial"/>
                <w:sz w:val="14"/>
                <w:szCs w:val="14"/>
              </w:rPr>
            </w:pPr>
            <w:r w:rsidRPr="00416D67">
              <w:rPr>
                <w:rFonts w:ascii="Arial" w:hAnsi="Arial" w:cs="Arial"/>
                <w:sz w:val="14"/>
                <w:szCs w:val="14"/>
              </w:rPr>
              <w:t>Naknade građanima i kućanstvima u novcu</w:t>
            </w:r>
          </w:p>
        </w:tc>
        <w:tc>
          <w:tcPr>
            <w:tcW w:w="1095" w:type="dxa"/>
            <w:tcBorders>
              <w:top w:val="single" w:sz="4" w:space="0" w:color="auto"/>
              <w:left w:val="nil"/>
              <w:bottom w:val="single" w:sz="4" w:space="0" w:color="auto"/>
              <w:right w:val="single" w:sz="4" w:space="0" w:color="auto"/>
            </w:tcBorders>
            <w:noWrap/>
            <w:vAlign w:val="bottom"/>
            <w:hideMark/>
          </w:tcPr>
          <w:p w14:paraId="7807C09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C74CA6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785D85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1.320,00</w:t>
            </w:r>
          </w:p>
        </w:tc>
        <w:tc>
          <w:tcPr>
            <w:tcW w:w="918" w:type="dxa"/>
            <w:tcBorders>
              <w:top w:val="single" w:sz="4" w:space="0" w:color="auto"/>
              <w:left w:val="nil"/>
              <w:bottom w:val="single" w:sz="4" w:space="0" w:color="auto"/>
              <w:right w:val="single" w:sz="4" w:space="0" w:color="auto"/>
            </w:tcBorders>
            <w:noWrap/>
            <w:vAlign w:val="bottom"/>
            <w:hideMark/>
          </w:tcPr>
          <w:p w14:paraId="34CA46C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A47111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A6FBDF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A100011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5BD721B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Potpore studentima (studentske stipendije i potpore)</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7354EC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031C3EA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D9D3B8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26.160,00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44018B3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87,20%</w:t>
            </w:r>
          </w:p>
        </w:tc>
      </w:tr>
      <w:tr w:rsidR="00416D67" w:rsidRPr="00416D67" w14:paraId="5EA55ED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367F4E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62B0F5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CF7889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F40E85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26.160,00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81E54B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87,20%</w:t>
            </w:r>
          </w:p>
        </w:tc>
      </w:tr>
      <w:tr w:rsidR="00416D67" w:rsidRPr="00416D67" w14:paraId="2D8F1C6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33BD24"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0EBC48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FE0311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6C7E6F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26.160,00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DF57B7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87,20%</w:t>
            </w:r>
          </w:p>
        </w:tc>
      </w:tr>
      <w:tr w:rsidR="00416D67" w:rsidRPr="00416D67" w14:paraId="302D2BA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640E1B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37</w:t>
            </w:r>
          </w:p>
        </w:tc>
        <w:tc>
          <w:tcPr>
            <w:tcW w:w="8106" w:type="dxa"/>
            <w:tcBorders>
              <w:top w:val="single" w:sz="4" w:space="0" w:color="auto"/>
              <w:left w:val="nil"/>
              <w:bottom w:val="single" w:sz="4" w:space="0" w:color="auto"/>
              <w:right w:val="single" w:sz="4" w:space="0" w:color="auto"/>
            </w:tcBorders>
            <w:noWrap/>
            <w:vAlign w:val="bottom"/>
            <w:hideMark/>
          </w:tcPr>
          <w:p w14:paraId="6220554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Naknade građanima i kućanstvima na temelju osiguranja i druge naknade</w:t>
            </w:r>
          </w:p>
        </w:tc>
        <w:tc>
          <w:tcPr>
            <w:tcW w:w="1095" w:type="dxa"/>
            <w:tcBorders>
              <w:top w:val="single" w:sz="4" w:space="0" w:color="auto"/>
              <w:left w:val="nil"/>
              <w:bottom w:val="single" w:sz="4" w:space="0" w:color="auto"/>
              <w:right w:val="single" w:sz="4" w:space="0" w:color="auto"/>
            </w:tcBorders>
            <w:noWrap/>
            <w:vAlign w:val="bottom"/>
            <w:hideMark/>
          </w:tcPr>
          <w:p w14:paraId="0D74E4F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30.000,00</w:t>
            </w:r>
          </w:p>
        </w:tc>
        <w:tc>
          <w:tcPr>
            <w:tcW w:w="1070" w:type="dxa"/>
            <w:tcBorders>
              <w:top w:val="single" w:sz="4" w:space="0" w:color="auto"/>
              <w:left w:val="nil"/>
              <w:bottom w:val="single" w:sz="4" w:space="0" w:color="auto"/>
              <w:right w:val="single" w:sz="4" w:space="0" w:color="auto"/>
            </w:tcBorders>
            <w:noWrap/>
            <w:vAlign w:val="bottom"/>
            <w:hideMark/>
          </w:tcPr>
          <w:p w14:paraId="588136A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30.000,00</w:t>
            </w:r>
          </w:p>
        </w:tc>
        <w:tc>
          <w:tcPr>
            <w:tcW w:w="1095" w:type="dxa"/>
            <w:tcBorders>
              <w:top w:val="single" w:sz="4" w:space="0" w:color="auto"/>
              <w:left w:val="nil"/>
              <w:bottom w:val="single" w:sz="4" w:space="0" w:color="auto"/>
              <w:right w:val="single" w:sz="4" w:space="0" w:color="auto"/>
            </w:tcBorders>
            <w:noWrap/>
            <w:vAlign w:val="bottom"/>
            <w:hideMark/>
          </w:tcPr>
          <w:p w14:paraId="701A1A0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26.160,00</w:t>
            </w:r>
          </w:p>
        </w:tc>
        <w:tc>
          <w:tcPr>
            <w:tcW w:w="918" w:type="dxa"/>
            <w:tcBorders>
              <w:top w:val="single" w:sz="4" w:space="0" w:color="auto"/>
              <w:left w:val="nil"/>
              <w:bottom w:val="single" w:sz="4" w:space="0" w:color="auto"/>
              <w:right w:val="single" w:sz="4" w:space="0" w:color="auto"/>
            </w:tcBorders>
            <w:noWrap/>
            <w:vAlign w:val="bottom"/>
            <w:hideMark/>
          </w:tcPr>
          <w:p w14:paraId="3465605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87,20%</w:t>
            </w:r>
          </w:p>
        </w:tc>
      </w:tr>
      <w:tr w:rsidR="00416D67" w:rsidRPr="00416D67" w14:paraId="5DF2DD8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FF00419" w14:textId="77777777" w:rsidR="00416D67" w:rsidRPr="00416D67" w:rsidRDefault="00416D67" w:rsidP="00416D67">
            <w:pPr>
              <w:rPr>
                <w:rFonts w:ascii="Arial" w:hAnsi="Arial" w:cs="Arial"/>
                <w:sz w:val="14"/>
                <w:szCs w:val="14"/>
              </w:rPr>
            </w:pPr>
            <w:r w:rsidRPr="00416D67">
              <w:rPr>
                <w:rFonts w:ascii="Arial" w:hAnsi="Arial" w:cs="Arial"/>
                <w:sz w:val="14"/>
                <w:szCs w:val="14"/>
              </w:rPr>
              <w:t>3721</w:t>
            </w:r>
          </w:p>
        </w:tc>
        <w:tc>
          <w:tcPr>
            <w:tcW w:w="8106" w:type="dxa"/>
            <w:tcBorders>
              <w:top w:val="single" w:sz="4" w:space="0" w:color="auto"/>
              <w:left w:val="nil"/>
              <w:bottom w:val="single" w:sz="4" w:space="0" w:color="auto"/>
              <w:right w:val="single" w:sz="4" w:space="0" w:color="auto"/>
            </w:tcBorders>
            <w:noWrap/>
            <w:vAlign w:val="bottom"/>
            <w:hideMark/>
          </w:tcPr>
          <w:p w14:paraId="45DA24E6" w14:textId="77777777" w:rsidR="00416D67" w:rsidRPr="00416D67" w:rsidRDefault="00416D67" w:rsidP="00416D67">
            <w:pPr>
              <w:rPr>
                <w:rFonts w:ascii="Arial" w:hAnsi="Arial" w:cs="Arial"/>
                <w:sz w:val="14"/>
                <w:szCs w:val="14"/>
              </w:rPr>
            </w:pPr>
            <w:r w:rsidRPr="00416D67">
              <w:rPr>
                <w:rFonts w:ascii="Arial" w:hAnsi="Arial" w:cs="Arial"/>
                <w:sz w:val="14"/>
                <w:szCs w:val="14"/>
              </w:rPr>
              <w:t>Naknade građanima i kućanstvima u novcu</w:t>
            </w:r>
          </w:p>
        </w:tc>
        <w:tc>
          <w:tcPr>
            <w:tcW w:w="1095" w:type="dxa"/>
            <w:tcBorders>
              <w:top w:val="single" w:sz="4" w:space="0" w:color="auto"/>
              <w:left w:val="nil"/>
              <w:bottom w:val="single" w:sz="4" w:space="0" w:color="auto"/>
              <w:right w:val="single" w:sz="4" w:space="0" w:color="auto"/>
            </w:tcBorders>
            <w:noWrap/>
            <w:vAlign w:val="bottom"/>
            <w:hideMark/>
          </w:tcPr>
          <w:p w14:paraId="5CC6620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1AB4B2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3701D1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26.160,00</w:t>
            </w:r>
          </w:p>
        </w:tc>
        <w:tc>
          <w:tcPr>
            <w:tcW w:w="918" w:type="dxa"/>
            <w:tcBorders>
              <w:top w:val="single" w:sz="4" w:space="0" w:color="auto"/>
              <w:left w:val="nil"/>
              <w:bottom w:val="single" w:sz="4" w:space="0" w:color="auto"/>
              <w:right w:val="single" w:sz="4" w:space="0" w:color="auto"/>
            </w:tcBorders>
            <w:noWrap/>
            <w:vAlign w:val="bottom"/>
            <w:hideMark/>
          </w:tcPr>
          <w:p w14:paraId="5F19057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9EB6EE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92A3CB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A100013</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7468382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Sufinanciranje kamate kredita namijenjenog kupnji prve nekretnine na području Općine Marčana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D3F442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5F265C1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DA8BD7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1.339,58</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2D7984E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19,14%</w:t>
            </w:r>
          </w:p>
        </w:tc>
      </w:tr>
      <w:tr w:rsidR="00416D67" w:rsidRPr="00416D67" w14:paraId="48AFE4E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809579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9735D3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9CB8A0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07BFFB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1.339,58</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00E1E5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19,14%</w:t>
            </w:r>
          </w:p>
        </w:tc>
      </w:tr>
      <w:tr w:rsidR="00416D67" w:rsidRPr="00416D67" w14:paraId="18749C6F"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ED22D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A5EA9C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CA369E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42237A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1.339,58</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FBEDEC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19,14%</w:t>
            </w:r>
          </w:p>
        </w:tc>
      </w:tr>
      <w:tr w:rsidR="00416D67" w:rsidRPr="00416D67" w14:paraId="0EB7ADE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CA20DA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37</w:t>
            </w:r>
          </w:p>
        </w:tc>
        <w:tc>
          <w:tcPr>
            <w:tcW w:w="8106" w:type="dxa"/>
            <w:tcBorders>
              <w:top w:val="single" w:sz="4" w:space="0" w:color="auto"/>
              <w:left w:val="nil"/>
              <w:bottom w:val="single" w:sz="4" w:space="0" w:color="auto"/>
              <w:right w:val="single" w:sz="4" w:space="0" w:color="auto"/>
            </w:tcBorders>
            <w:noWrap/>
            <w:vAlign w:val="bottom"/>
            <w:hideMark/>
          </w:tcPr>
          <w:p w14:paraId="7FF212B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Naknade građanima i kućanstvima na temelju osiguranja i druge naknade</w:t>
            </w:r>
          </w:p>
        </w:tc>
        <w:tc>
          <w:tcPr>
            <w:tcW w:w="1095" w:type="dxa"/>
            <w:tcBorders>
              <w:top w:val="single" w:sz="4" w:space="0" w:color="auto"/>
              <w:left w:val="nil"/>
              <w:bottom w:val="single" w:sz="4" w:space="0" w:color="auto"/>
              <w:right w:val="single" w:sz="4" w:space="0" w:color="auto"/>
            </w:tcBorders>
            <w:noWrap/>
            <w:vAlign w:val="bottom"/>
            <w:hideMark/>
          </w:tcPr>
          <w:p w14:paraId="04C4AA8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7.000,00</w:t>
            </w:r>
          </w:p>
        </w:tc>
        <w:tc>
          <w:tcPr>
            <w:tcW w:w="1070" w:type="dxa"/>
            <w:tcBorders>
              <w:top w:val="single" w:sz="4" w:space="0" w:color="auto"/>
              <w:left w:val="nil"/>
              <w:bottom w:val="single" w:sz="4" w:space="0" w:color="auto"/>
              <w:right w:val="single" w:sz="4" w:space="0" w:color="auto"/>
            </w:tcBorders>
            <w:noWrap/>
            <w:vAlign w:val="bottom"/>
            <w:hideMark/>
          </w:tcPr>
          <w:p w14:paraId="07CFECB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7.000,00</w:t>
            </w:r>
          </w:p>
        </w:tc>
        <w:tc>
          <w:tcPr>
            <w:tcW w:w="1095" w:type="dxa"/>
            <w:tcBorders>
              <w:top w:val="single" w:sz="4" w:space="0" w:color="auto"/>
              <w:left w:val="nil"/>
              <w:bottom w:val="single" w:sz="4" w:space="0" w:color="auto"/>
              <w:right w:val="single" w:sz="4" w:space="0" w:color="auto"/>
            </w:tcBorders>
            <w:noWrap/>
            <w:vAlign w:val="bottom"/>
            <w:hideMark/>
          </w:tcPr>
          <w:p w14:paraId="4EB90E3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1.339,58</w:t>
            </w:r>
          </w:p>
        </w:tc>
        <w:tc>
          <w:tcPr>
            <w:tcW w:w="918" w:type="dxa"/>
            <w:tcBorders>
              <w:top w:val="single" w:sz="4" w:space="0" w:color="auto"/>
              <w:left w:val="nil"/>
              <w:bottom w:val="single" w:sz="4" w:space="0" w:color="auto"/>
              <w:right w:val="single" w:sz="4" w:space="0" w:color="auto"/>
            </w:tcBorders>
            <w:noWrap/>
            <w:vAlign w:val="bottom"/>
            <w:hideMark/>
          </w:tcPr>
          <w:p w14:paraId="2C63E0E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19,14%</w:t>
            </w:r>
          </w:p>
        </w:tc>
      </w:tr>
      <w:tr w:rsidR="00416D67" w:rsidRPr="00416D67" w14:paraId="565F264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7962771" w14:textId="77777777" w:rsidR="00416D67" w:rsidRPr="00416D67" w:rsidRDefault="00416D67" w:rsidP="00416D67">
            <w:pPr>
              <w:rPr>
                <w:rFonts w:ascii="Arial" w:hAnsi="Arial" w:cs="Arial"/>
                <w:sz w:val="14"/>
                <w:szCs w:val="14"/>
              </w:rPr>
            </w:pPr>
            <w:r w:rsidRPr="00416D67">
              <w:rPr>
                <w:rFonts w:ascii="Arial" w:hAnsi="Arial" w:cs="Arial"/>
                <w:sz w:val="14"/>
                <w:szCs w:val="14"/>
              </w:rPr>
              <w:t>3721</w:t>
            </w:r>
          </w:p>
        </w:tc>
        <w:tc>
          <w:tcPr>
            <w:tcW w:w="8106" w:type="dxa"/>
            <w:tcBorders>
              <w:top w:val="single" w:sz="4" w:space="0" w:color="auto"/>
              <w:left w:val="nil"/>
              <w:bottom w:val="single" w:sz="4" w:space="0" w:color="auto"/>
              <w:right w:val="single" w:sz="4" w:space="0" w:color="auto"/>
            </w:tcBorders>
            <w:noWrap/>
            <w:vAlign w:val="bottom"/>
            <w:hideMark/>
          </w:tcPr>
          <w:p w14:paraId="1673F551" w14:textId="77777777" w:rsidR="00416D67" w:rsidRPr="00416D67" w:rsidRDefault="00416D67" w:rsidP="00416D67">
            <w:pPr>
              <w:rPr>
                <w:rFonts w:ascii="Arial" w:hAnsi="Arial" w:cs="Arial"/>
                <w:sz w:val="14"/>
                <w:szCs w:val="14"/>
              </w:rPr>
            </w:pPr>
            <w:r w:rsidRPr="00416D67">
              <w:rPr>
                <w:rFonts w:ascii="Arial" w:hAnsi="Arial" w:cs="Arial"/>
                <w:sz w:val="14"/>
                <w:szCs w:val="14"/>
              </w:rPr>
              <w:t>Naknade građanima i kućanstvima u novcu</w:t>
            </w:r>
          </w:p>
        </w:tc>
        <w:tc>
          <w:tcPr>
            <w:tcW w:w="1095" w:type="dxa"/>
            <w:tcBorders>
              <w:top w:val="single" w:sz="4" w:space="0" w:color="auto"/>
              <w:left w:val="nil"/>
              <w:bottom w:val="single" w:sz="4" w:space="0" w:color="auto"/>
              <w:right w:val="single" w:sz="4" w:space="0" w:color="auto"/>
            </w:tcBorders>
            <w:noWrap/>
            <w:vAlign w:val="bottom"/>
            <w:hideMark/>
          </w:tcPr>
          <w:p w14:paraId="7996E10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2C443AD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09112E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1.339,58</w:t>
            </w:r>
          </w:p>
        </w:tc>
        <w:tc>
          <w:tcPr>
            <w:tcW w:w="918" w:type="dxa"/>
            <w:tcBorders>
              <w:top w:val="single" w:sz="4" w:space="0" w:color="auto"/>
              <w:left w:val="nil"/>
              <w:bottom w:val="single" w:sz="4" w:space="0" w:color="auto"/>
              <w:right w:val="single" w:sz="4" w:space="0" w:color="auto"/>
            </w:tcBorders>
            <w:noWrap/>
            <w:vAlign w:val="bottom"/>
            <w:hideMark/>
          </w:tcPr>
          <w:p w14:paraId="688F23D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E8500A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1B4D5C7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Organizacijska klasifikacija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1E060A7"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07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7E894FA"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0A7F80A"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9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6E37179"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2025/2024.           (3/2)</w:t>
            </w:r>
          </w:p>
        </w:tc>
      </w:tr>
      <w:tr w:rsidR="00416D67" w:rsidRPr="00416D67" w14:paraId="405064C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7F75F9E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Izvori</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6BFFFB09"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564E816D"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1CC827DD"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45AE0707" w14:textId="77777777" w:rsidR="00416D67" w:rsidRPr="00416D67" w:rsidRDefault="00416D67" w:rsidP="00416D67">
            <w:pPr>
              <w:rPr>
                <w:rFonts w:ascii="Arial" w:hAnsi="Arial" w:cs="Arial"/>
                <w:sz w:val="14"/>
                <w:szCs w:val="14"/>
              </w:rPr>
            </w:pPr>
          </w:p>
        </w:tc>
      </w:tr>
      <w:tr w:rsidR="00416D67" w:rsidRPr="00416D67" w14:paraId="0A19A0DF"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000000"/>
            </w:tcBorders>
            <w:shd w:val="clear" w:color="000000" w:fill="D9D9D9"/>
            <w:hideMark/>
          </w:tcPr>
          <w:p w14:paraId="6737A40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Projekt/Aktivnost</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5C9B6F30"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52056073"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3351F7B7"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6A98FC72" w14:textId="77777777" w:rsidR="00416D67" w:rsidRPr="00416D67" w:rsidRDefault="00416D67" w:rsidP="00416D67">
            <w:pPr>
              <w:rPr>
                <w:rFonts w:ascii="Arial" w:hAnsi="Arial" w:cs="Arial"/>
                <w:sz w:val="14"/>
                <w:szCs w:val="14"/>
              </w:rPr>
            </w:pPr>
          </w:p>
        </w:tc>
      </w:tr>
      <w:tr w:rsidR="00416D67" w:rsidRPr="00416D67" w14:paraId="454D702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43D3D5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A100014</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0C67F50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Pomoć za nabavu udžbenika učenika srednjih škola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B2FB1A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3FBF690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D2BFF3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2.036,59</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0BEAAF2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81,46%</w:t>
            </w:r>
          </w:p>
        </w:tc>
      </w:tr>
      <w:tr w:rsidR="00416D67" w:rsidRPr="00416D67" w14:paraId="114AEEB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6D3BED0"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44C121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55E149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5485C0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2.036,59</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3FECEA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81,46%</w:t>
            </w:r>
          </w:p>
        </w:tc>
      </w:tr>
      <w:tr w:rsidR="00416D67" w:rsidRPr="00416D67" w14:paraId="1794AE2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2B449F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986ECD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837BE1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D84FAC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2.036,59</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195B6D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81,46%</w:t>
            </w:r>
          </w:p>
        </w:tc>
      </w:tr>
      <w:tr w:rsidR="00416D67" w:rsidRPr="00416D67" w14:paraId="7D160CE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DE8CEE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37</w:t>
            </w:r>
          </w:p>
        </w:tc>
        <w:tc>
          <w:tcPr>
            <w:tcW w:w="8106" w:type="dxa"/>
            <w:tcBorders>
              <w:top w:val="single" w:sz="4" w:space="0" w:color="auto"/>
              <w:left w:val="nil"/>
              <w:bottom w:val="single" w:sz="4" w:space="0" w:color="auto"/>
              <w:right w:val="single" w:sz="4" w:space="0" w:color="auto"/>
            </w:tcBorders>
            <w:noWrap/>
            <w:vAlign w:val="bottom"/>
            <w:hideMark/>
          </w:tcPr>
          <w:p w14:paraId="27554BA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Naknade građanima i kućanstvima na temelju osiguranja i druge naknade</w:t>
            </w:r>
          </w:p>
        </w:tc>
        <w:tc>
          <w:tcPr>
            <w:tcW w:w="1095" w:type="dxa"/>
            <w:tcBorders>
              <w:top w:val="single" w:sz="4" w:space="0" w:color="auto"/>
              <w:left w:val="nil"/>
              <w:bottom w:val="single" w:sz="4" w:space="0" w:color="auto"/>
              <w:right w:val="single" w:sz="4" w:space="0" w:color="auto"/>
            </w:tcBorders>
            <w:noWrap/>
            <w:vAlign w:val="bottom"/>
            <w:hideMark/>
          </w:tcPr>
          <w:p w14:paraId="0E433AA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w:t>
            </w:r>
          </w:p>
        </w:tc>
        <w:tc>
          <w:tcPr>
            <w:tcW w:w="1070" w:type="dxa"/>
            <w:tcBorders>
              <w:top w:val="single" w:sz="4" w:space="0" w:color="auto"/>
              <w:left w:val="nil"/>
              <w:bottom w:val="single" w:sz="4" w:space="0" w:color="auto"/>
              <w:right w:val="single" w:sz="4" w:space="0" w:color="auto"/>
            </w:tcBorders>
            <w:noWrap/>
            <w:vAlign w:val="bottom"/>
            <w:hideMark/>
          </w:tcPr>
          <w:p w14:paraId="442EDAD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w:t>
            </w:r>
          </w:p>
        </w:tc>
        <w:tc>
          <w:tcPr>
            <w:tcW w:w="1095" w:type="dxa"/>
            <w:tcBorders>
              <w:top w:val="single" w:sz="4" w:space="0" w:color="auto"/>
              <w:left w:val="nil"/>
              <w:bottom w:val="single" w:sz="4" w:space="0" w:color="auto"/>
              <w:right w:val="single" w:sz="4" w:space="0" w:color="auto"/>
            </w:tcBorders>
            <w:noWrap/>
            <w:vAlign w:val="bottom"/>
            <w:hideMark/>
          </w:tcPr>
          <w:p w14:paraId="548F05D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2.036,59</w:t>
            </w:r>
          </w:p>
        </w:tc>
        <w:tc>
          <w:tcPr>
            <w:tcW w:w="918" w:type="dxa"/>
            <w:tcBorders>
              <w:top w:val="single" w:sz="4" w:space="0" w:color="auto"/>
              <w:left w:val="nil"/>
              <w:bottom w:val="single" w:sz="4" w:space="0" w:color="auto"/>
              <w:right w:val="single" w:sz="4" w:space="0" w:color="auto"/>
            </w:tcBorders>
            <w:noWrap/>
            <w:vAlign w:val="bottom"/>
            <w:hideMark/>
          </w:tcPr>
          <w:p w14:paraId="0DE09DE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81,46%</w:t>
            </w:r>
          </w:p>
        </w:tc>
      </w:tr>
      <w:tr w:rsidR="00416D67" w:rsidRPr="00416D67" w14:paraId="34DA503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1FA6C16" w14:textId="77777777" w:rsidR="00416D67" w:rsidRPr="00416D67" w:rsidRDefault="00416D67" w:rsidP="00416D67">
            <w:pPr>
              <w:rPr>
                <w:rFonts w:ascii="Arial" w:hAnsi="Arial" w:cs="Arial"/>
                <w:sz w:val="14"/>
                <w:szCs w:val="14"/>
              </w:rPr>
            </w:pPr>
            <w:r w:rsidRPr="00416D67">
              <w:rPr>
                <w:rFonts w:ascii="Arial" w:hAnsi="Arial" w:cs="Arial"/>
                <w:sz w:val="14"/>
                <w:szCs w:val="14"/>
              </w:rPr>
              <w:t>3721</w:t>
            </w:r>
          </w:p>
        </w:tc>
        <w:tc>
          <w:tcPr>
            <w:tcW w:w="8106" w:type="dxa"/>
            <w:tcBorders>
              <w:top w:val="single" w:sz="4" w:space="0" w:color="auto"/>
              <w:left w:val="nil"/>
              <w:bottom w:val="single" w:sz="4" w:space="0" w:color="auto"/>
              <w:right w:val="single" w:sz="4" w:space="0" w:color="auto"/>
            </w:tcBorders>
            <w:noWrap/>
            <w:vAlign w:val="bottom"/>
            <w:hideMark/>
          </w:tcPr>
          <w:p w14:paraId="0F11643B" w14:textId="77777777" w:rsidR="00416D67" w:rsidRPr="00416D67" w:rsidRDefault="00416D67" w:rsidP="00416D67">
            <w:pPr>
              <w:rPr>
                <w:rFonts w:ascii="Arial" w:hAnsi="Arial" w:cs="Arial"/>
                <w:sz w:val="14"/>
                <w:szCs w:val="14"/>
              </w:rPr>
            </w:pPr>
            <w:r w:rsidRPr="00416D67">
              <w:rPr>
                <w:rFonts w:ascii="Arial" w:hAnsi="Arial" w:cs="Arial"/>
                <w:sz w:val="14"/>
                <w:szCs w:val="14"/>
              </w:rPr>
              <w:t>Naknade građanima i kućanstvima u novcu</w:t>
            </w:r>
          </w:p>
        </w:tc>
        <w:tc>
          <w:tcPr>
            <w:tcW w:w="1095" w:type="dxa"/>
            <w:tcBorders>
              <w:top w:val="single" w:sz="4" w:space="0" w:color="auto"/>
              <w:left w:val="nil"/>
              <w:bottom w:val="single" w:sz="4" w:space="0" w:color="auto"/>
              <w:right w:val="single" w:sz="4" w:space="0" w:color="auto"/>
            </w:tcBorders>
            <w:noWrap/>
            <w:vAlign w:val="bottom"/>
            <w:hideMark/>
          </w:tcPr>
          <w:p w14:paraId="293EF5E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F6CDA9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E0B934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2.036,59</w:t>
            </w:r>
          </w:p>
        </w:tc>
        <w:tc>
          <w:tcPr>
            <w:tcW w:w="918" w:type="dxa"/>
            <w:tcBorders>
              <w:top w:val="single" w:sz="4" w:space="0" w:color="auto"/>
              <w:left w:val="nil"/>
              <w:bottom w:val="single" w:sz="4" w:space="0" w:color="auto"/>
              <w:right w:val="single" w:sz="4" w:space="0" w:color="auto"/>
            </w:tcBorders>
            <w:noWrap/>
            <w:vAlign w:val="bottom"/>
            <w:hideMark/>
          </w:tcPr>
          <w:p w14:paraId="5D1CCC6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071DE3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643AAF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A100015</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5D038C6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Aktivnost: Tekuće pomoći Škola za odgoj i obrazovanje - </w:t>
            </w:r>
            <w:proofErr w:type="spellStart"/>
            <w:r w:rsidRPr="00416D67">
              <w:rPr>
                <w:rFonts w:ascii="Arial" w:hAnsi="Arial" w:cs="Arial"/>
                <w:b/>
                <w:bCs/>
                <w:sz w:val="14"/>
                <w:szCs w:val="14"/>
              </w:rPr>
              <w:t>financ.pratitelja</w:t>
            </w:r>
            <w:proofErr w:type="spellEnd"/>
            <w:r w:rsidRPr="00416D67">
              <w:rPr>
                <w:rFonts w:ascii="Arial" w:hAnsi="Arial" w:cs="Arial"/>
                <w:b/>
                <w:bCs/>
                <w:sz w:val="14"/>
                <w:szCs w:val="14"/>
              </w:rPr>
              <w:t xml:space="preserve"> u vozilu za učenike s </w:t>
            </w:r>
            <w:proofErr w:type="spellStart"/>
            <w:r w:rsidRPr="00416D67">
              <w:rPr>
                <w:rFonts w:ascii="Arial" w:hAnsi="Arial" w:cs="Arial"/>
                <w:b/>
                <w:bCs/>
                <w:sz w:val="14"/>
                <w:szCs w:val="14"/>
              </w:rPr>
              <w:t>tešk.u</w:t>
            </w:r>
            <w:proofErr w:type="spellEnd"/>
            <w:r w:rsidRPr="00416D67">
              <w:rPr>
                <w:rFonts w:ascii="Arial" w:hAnsi="Arial" w:cs="Arial"/>
                <w:b/>
                <w:bCs/>
                <w:sz w:val="14"/>
                <w:szCs w:val="14"/>
              </w:rPr>
              <w:t xml:space="preserve"> razvoju</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C2EBCE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3.900,00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581220E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3.900,00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A84BA8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3.899,20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60F5600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99,98%</w:t>
            </w:r>
          </w:p>
        </w:tc>
      </w:tr>
      <w:tr w:rsidR="00416D67" w:rsidRPr="00416D67" w14:paraId="781C093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66862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735330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3.900,00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EF44C1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3.900,00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D1719E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3.899,20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A4A1BD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99,98%</w:t>
            </w:r>
          </w:p>
        </w:tc>
      </w:tr>
      <w:tr w:rsidR="00416D67" w:rsidRPr="00416D67" w14:paraId="7971829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69A363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51F589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3.900,00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E95721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3.900,00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645C34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3.899,20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D61511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99,98%</w:t>
            </w:r>
          </w:p>
        </w:tc>
      </w:tr>
      <w:tr w:rsidR="00416D67" w:rsidRPr="00416D67" w14:paraId="7052A40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2AC293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36</w:t>
            </w:r>
          </w:p>
        </w:tc>
        <w:tc>
          <w:tcPr>
            <w:tcW w:w="8106" w:type="dxa"/>
            <w:tcBorders>
              <w:top w:val="single" w:sz="4" w:space="0" w:color="auto"/>
              <w:left w:val="nil"/>
              <w:bottom w:val="single" w:sz="4" w:space="0" w:color="auto"/>
              <w:right w:val="single" w:sz="4" w:space="0" w:color="auto"/>
            </w:tcBorders>
            <w:noWrap/>
            <w:vAlign w:val="bottom"/>
            <w:hideMark/>
          </w:tcPr>
          <w:p w14:paraId="71B5B96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Pomoći dane u inozemstvo i unutar općeg proračuna</w:t>
            </w:r>
          </w:p>
        </w:tc>
        <w:tc>
          <w:tcPr>
            <w:tcW w:w="1095" w:type="dxa"/>
            <w:tcBorders>
              <w:top w:val="single" w:sz="4" w:space="0" w:color="auto"/>
              <w:left w:val="nil"/>
              <w:bottom w:val="single" w:sz="4" w:space="0" w:color="auto"/>
              <w:right w:val="single" w:sz="4" w:space="0" w:color="auto"/>
            </w:tcBorders>
            <w:noWrap/>
            <w:vAlign w:val="bottom"/>
            <w:hideMark/>
          </w:tcPr>
          <w:p w14:paraId="6395CA5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3.900,00</w:t>
            </w:r>
          </w:p>
        </w:tc>
        <w:tc>
          <w:tcPr>
            <w:tcW w:w="1070" w:type="dxa"/>
            <w:tcBorders>
              <w:top w:val="single" w:sz="4" w:space="0" w:color="auto"/>
              <w:left w:val="nil"/>
              <w:bottom w:val="single" w:sz="4" w:space="0" w:color="auto"/>
              <w:right w:val="single" w:sz="4" w:space="0" w:color="auto"/>
            </w:tcBorders>
            <w:noWrap/>
            <w:vAlign w:val="bottom"/>
            <w:hideMark/>
          </w:tcPr>
          <w:p w14:paraId="0480D25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3.900,00</w:t>
            </w:r>
          </w:p>
        </w:tc>
        <w:tc>
          <w:tcPr>
            <w:tcW w:w="1095" w:type="dxa"/>
            <w:tcBorders>
              <w:top w:val="single" w:sz="4" w:space="0" w:color="auto"/>
              <w:left w:val="nil"/>
              <w:bottom w:val="single" w:sz="4" w:space="0" w:color="auto"/>
              <w:right w:val="single" w:sz="4" w:space="0" w:color="auto"/>
            </w:tcBorders>
            <w:noWrap/>
            <w:vAlign w:val="bottom"/>
            <w:hideMark/>
          </w:tcPr>
          <w:p w14:paraId="5D1104F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3.899,20</w:t>
            </w:r>
          </w:p>
        </w:tc>
        <w:tc>
          <w:tcPr>
            <w:tcW w:w="918" w:type="dxa"/>
            <w:tcBorders>
              <w:top w:val="single" w:sz="4" w:space="0" w:color="auto"/>
              <w:left w:val="nil"/>
              <w:bottom w:val="single" w:sz="4" w:space="0" w:color="auto"/>
              <w:right w:val="single" w:sz="4" w:space="0" w:color="auto"/>
            </w:tcBorders>
            <w:noWrap/>
            <w:vAlign w:val="bottom"/>
            <w:hideMark/>
          </w:tcPr>
          <w:p w14:paraId="70F7DFD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99,98%</w:t>
            </w:r>
          </w:p>
        </w:tc>
      </w:tr>
      <w:tr w:rsidR="00416D67" w:rsidRPr="00416D67" w14:paraId="5A56E30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D6B7C7B" w14:textId="77777777" w:rsidR="00416D67" w:rsidRPr="00416D67" w:rsidRDefault="00416D67" w:rsidP="00416D67">
            <w:pPr>
              <w:rPr>
                <w:rFonts w:ascii="Arial" w:hAnsi="Arial" w:cs="Arial"/>
                <w:sz w:val="14"/>
                <w:szCs w:val="14"/>
              </w:rPr>
            </w:pPr>
            <w:r w:rsidRPr="00416D67">
              <w:rPr>
                <w:rFonts w:ascii="Arial" w:hAnsi="Arial" w:cs="Arial"/>
                <w:sz w:val="14"/>
                <w:szCs w:val="14"/>
              </w:rPr>
              <w:t>3661</w:t>
            </w:r>
          </w:p>
        </w:tc>
        <w:tc>
          <w:tcPr>
            <w:tcW w:w="8106" w:type="dxa"/>
            <w:tcBorders>
              <w:top w:val="single" w:sz="4" w:space="0" w:color="auto"/>
              <w:left w:val="nil"/>
              <w:bottom w:val="single" w:sz="4" w:space="0" w:color="auto"/>
              <w:right w:val="single" w:sz="4" w:space="0" w:color="auto"/>
            </w:tcBorders>
            <w:noWrap/>
            <w:vAlign w:val="bottom"/>
            <w:hideMark/>
          </w:tcPr>
          <w:p w14:paraId="0F934FBB" w14:textId="77777777" w:rsidR="00416D67" w:rsidRPr="00416D67" w:rsidRDefault="00416D67" w:rsidP="00416D67">
            <w:pPr>
              <w:rPr>
                <w:rFonts w:ascii="Arial" w:hAnsi="Arial" w:cs="Arial"/>
                <w:sz w:val="14"/>
                <w:szCs w:val="14"/>
              </w:rPr>
            </w:pPr>
            <w:r w:rsidRPr="00416D67">
              <w:rPr>
                <w:rFonts w:ascii="Arial" w:hAnsi="Arial" w:cs="Arial"/>
                <w:sz w:val="14"/>
                <w:szCs w:val="14"/>
              </w:rPr>
              <w:t>Tekuće pomoći proračunskim korisnicima drugih proračuna</w:t>
            </w:r>
          </w:p>
        </w:tc>
        <w:tc>
          <w:tcPr>
            <w:tcW w:w="1095" w:type="dxa"/>
            <w:tcBorders>
              <w:top w:val="single" w:sz="4" w:space="0" w:color="auto"/>
              <w:left w:val="nil"/>
              <w:bottom w:val="single" w:sz="4" w:space="0" w:color="auto"/>
              <w:right w:val="single" w:sz="4" w:space="0" w:color="auto"/>
            </w:tcBorders>
            <w:noWrap/>
            <w:vAlign w:val="bottom"/>
            <w:hideMark/>
          </w:tcPr>
          <w:p w14:paraId="216672A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2485F1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D74853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3.899,20</w:t>
            </w:r>
          </w:p>
        </w:tc>
        <w:tc>
          <w:tcPr>
            <w:tcW w:w="918" w:type="dxa"/>
            <w:tcBorders>
              <w:top w:val="single" w:sz="4" w:space="0" w:color="auto"/>
              <w:left w:val="nil"/>
              <w:bottom w:val="single" w:sz="4" w:space="0" w:color="auto"/>
              <w:right w:val="single" w:sz="4" w:space="0" w:color="auto"/>
            </w:tcBorders>
            <w:noWrap/>
            <w:vAlign w:val="bottom"/>
            <w:hideMark/>
          </w:tcPr>
          <w:p w14:paraId="5A28627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965D6D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2511F7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A200001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0D303B5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Dnevni centar za rehabilitaciju Veruda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E6089A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288D0BA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605E76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6B8B486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7C5ACC0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F0935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251F74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D893EB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5386C2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099839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45B0FA4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25289B4"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lastRenderedPageBreak/>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37991C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9DAAC3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50E0F9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7795B5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5B8D0D7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17E7D6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36</w:t>
            </w:r>
          </w:p>
        </w:tc>
        <w:tc>
          <w:tcPr>
            <w:tcW w:w="8106" w:type="dxa"/>
            <w:tcBorders>
              <w:top w:val="single" w:sz="4" w:space="0" w:color="auto"/>
              <w:left w:val="nil"/>
              <w:bottom w:val="single" w:sz="4" w:space="0" w:color="auto"/>
              <w:right w:val="single" w:sz="4" w:space="0" w:color="auto"/>
            </w:tcBorders>
            <w:noWrap/>
            <w:vAlign w:val="bottom"/>
            <w:hideMark/>
          </w:tcPr>
          <w:p w14:paraId="5C9E1C8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Pomoći dane u inozemstvo i unutar općeg proračuna</w:t>
            </w:r>
          </w:p>
        </w:tc>
        <w:tc>
          <w:tcPr>
            <w:tcW w:w="1095" w:type="dxa"/>
            <w:tcBorders>
              <w:top w:val="single" w:sz="4" w:space="0" w:color="auto"/>
              <w:left w:val="nil"/>
              <w:bottom w:val="single" w:sz="4" w:space="0" w:color="auto"/>
              <w:right w:val="single" w:sz="4" w:space="0" w:color="auto"/>
            </w:tcBorders>
            <w:noWrap/>
            <w:vAlign w:val="bottom"/>
            <w:hideMark/>
          </w:tcPr>
          <w:p w14:paraId="38B8684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5.000,00</w:t>
            </w:r>
          </w:p>
        </w:tc>
        <w:tc>
          <w:tcPr>
            <w:tcW w:w="1070" w:type="dxa"/>
            <w:tcBorders>
              <w:top w:val="single" w:sz="4" w:space="0" w:color="auto"/>
              <w:left w:val="nil"/>
              <w:bottom w:val="single" w:sz="4" w:space="0" w:color="auto"/>
              <w:right w:val="single" w:sz="4" w:space="0" w:color="auto"/>
            </w:tcBorders>
            <w:noWrap/>
            <w:vAlign w:val="bottom"/>
            <w:hideMark/>
          </w:tcPr>
          <w:p w14:paraId="1584C5A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5.000,00</w:t>
            </w:r>
          </w:p>
        </w:tc>
        <w:tc>
          <w:tcPr>
            <w:tcW w:w="1095" w:type="dxa"/>
            <w:tcBorders>
              <w:top w:val="single" w:sz="4" w:space="0" w:color="auto"/>
              <w:left w:val="nil"/>
              <w:bottom w:val="single" w:sz="4" w:space="0" w:color="auto"/>
              <w:right w:val="single" w:sz="4" w:space="0" w:color="auto"/>
            </w:tcBorders>
            <w:noWrap/>
            <w:vAlign w:val="bottom"/>
            <w:hideMark/>
          </w:tcPr>
          <w:p w14:paraId="219F866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7FF455D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4CFFC9C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D496BB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A200002</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14B5FFC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Centar za rehabilitaciju Pula (</w:t>
            </w:r>
            <w:proofErr w:type="spellStart"/>
            <w:r w:rsidRPr="00416D67">
              <w:rPr>
                <w:rFonts w:ascii="Arial" w:hAnsi="Arial" w:cs="Arial"/>
                <w:b/>
                <w:bCs/>
                <w:sz w:val="14"/>
                <w:szCs w:val="14"/>
              </w:rPr>
              <w:t>Santoriova</w:t>
            </w:r>
            <w:proofErr w:type="spellEnd"/>
            <w:r w:rsidRPr="00416D67">
              <w:rPr>
                <w:rFonts w:ascii="Arial" w:hAnsi="Arial" w:cs="Arial"/>
                <w:b/>
                <w:bCs/>
                <w:sz w:val="14"/>
                <w:szCs w:val="14"/>
              </w:rPr>
              <w:t xml:space="preserve"> 11)</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5226D4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266,00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34C6290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266,00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121109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5C8748C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01A4CA4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BED3FE0"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7B820A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266,00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DC9B44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266,00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E16138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FF83F6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32937CB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9EFDAC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1A9FDB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266,00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176EB2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266,00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A28D41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B5E7AA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7C21B89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F24F0A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2730B43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127DBC3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266,00</w:t>
            </w:r>
          </w:p>
        </w:tc>
        <w:tc>
          <w:tcPr>
            <w:tcW w:w="1070" w:type="dxa"/>
            <w:tcBorders>
              <w:top w:val="single" w:sz="4" w:space="0" w:color="auto"/>
              <w:left w:val="nil"/>
              <w:bottom w:val="single" w:sz="4" w:space="0" w:color="auto"/>
              <w:right w:val="single" w:sz="4" w:space="0" w:color="auto"/>
            </w:tcBorders>
            <w:noWrap/>
            <w:vAlign w:val="bottom"/>
            <w:hideMark/>
          </w:tcPr>
          <w:p w14:paraId="7CAAE3A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266,00</w:t>
            </w:r>
          </w:p>
        </w:tc>
        <w:tc>
          <w:tcPr>
            <w:tcW w:w="1095" w:type="dxa"/>
            <w:tcBorders>
              <w:top w:val="single" w:sz="4" w:space="0" w:color="auto"/>
              <w:left w:val="nil"/>
              <w:bottom w:val="single" w:sz="4" w:space="0" w:color="auto"/>
              <w:right w:val="single" w:sz="4" w:space="0" w:color="auto"/>
            </w:tcBorders>
            <w:noWrap/>
            <w:vAlign w:val="bottom"/>
            <w:hideMark/>
          </w:tcPr>
          <w:p w14:paraId="42EC245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783AA03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18B579A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4B486C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A200003</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0CA434A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Dnevni centar za radnu terapiju i rehabilitaciju Pula (Gajeva 3)</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283A2E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266,00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5F0D94B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266,00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7101D8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3049C27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4094816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50937F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DB4C3F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266,00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ACEAE4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266,00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600A19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1435EB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3DEA180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C35CCE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702640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266,00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1C43D8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266,00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0794DD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8AC1D3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6CB3B11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8A8BC3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5C48F3C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75BDE24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266,00</w:t>
            </w:r>
          </w:p>
        </w:tc>
        <w:tc>
          <w:tcPr>
            <w:tcW w:w="1070" w:type="dxa"/>
            <w:tcBorders>
              <w:top w:val="single" w:sz="4" w:space="0" w:color="auto"/>
              <w:left w:val="nil"/>
              <w:bottom w:val="single" w:sz="4" w:space="0" w:color="auto"/>
              <w:right w:val="single" w:sz="4" w:space="0" w:color="auto"/>
            </w:tcBorders>
            <w:noWrap/>
            <w:vAlign w:val="bottom"/>
            <w:hideMark/>
          </w:tcPr>
          <w:p w14:paraId="109F943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266,00</w:t>
            </w:r>
          </w:p>
        </w:tc>
        <w:tc>
          <w:tcPr>
            <w:tcW w:w="1095" w:type="dxa"/>
            <w:tcBorders>
              <w:top w:val="single" w:sz="4" w:space="0" w:color="auto"/>
              <w:left w:val="nil"/>
              <w:bottom w:val="single" w:sz="4" w:space="0" w:color="auto"/>
              <w:right w:val="single" w:sz="4" w:space="0" w:color="auto"/>
            </w:tcBorders>
            <w:noWrap/>
            <w:vAlign w:val="bottom"/>
            <w:hideMark/>
          </w:tcPr>
          <w:p w14:paraId="5505DFB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5D64523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06AAE30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49CE13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A200004</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517A025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Domovi za starije i nemoćne</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0B8458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530,00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485127C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530,00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C7023A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266,00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2513E0F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50,19%</w:t>
            </w:r>
          </w:p>
        </w:tc>
      </w:tr>
      <w:tr w:rsidR="00416D67" w:rsidRPr="00416D67" w14:paraId="0C4D0C0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4D3BE2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A32FD1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530,00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1243F2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530,00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697DFA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266,00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B6B3E9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50,19%</w:t>
            </w:r>
          </w:p>
        </w:tc>
      </w:tr>
      <w:tr w:rsidR="00416D67" w:rsidRPr="00416D67" w14:paraId="0CE0731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2D28AF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229B7D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530,00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57F717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530,00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5313E2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266,00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D29EFC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50,19%</w:t>
            </w:r>
          </w:p>
        </w:tc>
      </w:tr>
      <w:tr w:rsidR="00416D67" w:rsidRPr="00416D67" w14:paraId="7DBD387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9AB41D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5A09E02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47E9D69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530,00</w:t>
            </w:r>
          </w:p>
        </w:tc>
        <w:tc>
          <w:tcPr>
            <w:tcW w:w="1070" w:type="dxa"/>
            <w:tcBorders>
              <w:top w:val="single" w:sz="4" w:space="0" w:color="auto"/>
              <w:left w:val="nil"/>
              <w:bottom w:val="single" w:sz="4" w:space="0" w:color="auto"/>
              <w:right w:val="single" w:sz="4" w:space="0" w:color="auto"/>
            </w:tcBorders>
            <w:noWrap/>
            <w:vAlign w:val="bottom"/>
            <w:hideMark/>
          </w:tcPr>
          <w:p w14:paraId="70DB550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530,00</w:t>
            </w:r>
          </w:p>
        </w:tc>
        <w:tc>
          <w:tcPr>
            <w:tcW w:w="1095" w:type="dxa"/>
            <w:tcBorders>
              <w:top w:val="single" w:sz="4" w:space="0" w:color="auto"/>
              <w:left w:val="nil"/>
              <w:bottom w:val="single" w:sz="4" w:space="0" w:color="auto"/>
              <w:right w:val="single" w:sz="4" w:space="0" w:color="auto"/>
            </w:tcBorders>
            <w:noWrap/>
            <w:vAlign w:val="bottom"/>
            <w:hideMark/>
          </w:tcPr>
          <w:p w14:paraId="295A8B8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266,00</w:t>
            </w:r>
          </w:p>
        </w:tc>
        <w:tc>
          <w:tcPr>
            <w:tcW w:w="918" w:type="dxa"/>
            <w:tcBorders>
              <w:top w:val="single" w:sz="4" w:space="0" w:color="auto"/>
              <w:left w:val="nil"/>
              <w:bottom w:val="single" w:sz="4" w:space="0" w:color="auto"/>
              <w:right w:val="single" w:sz="4" w:space="0" w:color="auto"/>
            </w:tcBorders>
            <w:noWrap/>
            <w:vAlign w:val="bottom"/>
            <w:hideMark/>
          </w:tcPr>
          <w:p w14:paraId="11A839C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50,19%</w:t>
            </w:r>
          </w:p>
        </w:tc>
      </w:tr>
      <w:tr w:rsidR="00416D67" w:rsidRPr="00416D67" w14:paraId="30991CE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F2B4D3F" w14:textId="77777777" w:rsidR="00416D67" w:rsidRPr="00416D67" w:rsidRDefault="00416D67" w:rsidP="00416D67">
            <w:pPr>
              <w:rPr>
                <w:rFonts w:ascii="Arial" w:hAnsi="Arial" w:cs="Arial"/>
                <w:sz w:val="14"/>
                <w:szCs w:val="14"/>
              </w:rPr>
            </w:pPr>
            <w:r w:rsidRPr="00416D67">
              <w:rPr>
                <w:rFonts w:ascii="Arial" w:hAnsi="Arial" w:cs="Arial"/>
                <w:sz w:val="14"/>
                <w:szCs w:val="14"/>
              </w:rPr>
              <w:t>3811</w:t>
            </w:r>
          </w:p>
        </w:tc>
        <w:tc>
          <w:tcPr>
            <w:tcW w:w="8106" w:type="dxa"/>
            <w:tcBorders>
              <w:top w:val="single" w:sz="4" w:space="0" w:color="auto"/>
              <w:left w:val="nil"/>
              <w:bottom w:val="single" w:sz="4" w:space="0" w:color="auto"/>
              <w:right w:val="single" w:sz="4" w:space="0" w:color="auto"/>
            </w:tcBorders>
            <w:noWrap/>
            <w:vAlign w:val="bottom"/>
            <w:hideMark/>
          </w:tcPr>
          <w:p w14:paraId="1B3F5004" w14:textId="77777777" w:rsidR="00416D67" w:rsidRPr="00416D67" w:rsidRDefault="00416D67" w:rsidP="00416D67">
            <w:pPr>
              <w:rPr>
                <w:rFonts w:ascii="Arial" w:hAnsi="Arial" w:cs="Arial"/>
                <w:sz w:val="14"/>
                <w:szCs w:val="14"/>
              </w:rPr>
            </w:pPr>
            <w:r w:rsidRPr="00416D67">
              <w:rPr>
                <w:rFonts w:ascii="Arial" w:hAnsi="Arial" w:cs="Arial"/>
                <w:sz w:val="14"/>
                <w:szCs w:val="14"/>
              </w:rPr>
              <w:t>Tekuće donacije u novcu</w:t>
            </w:r>
          </w:p>
        </w:tc>
        <w:tc>
          <w:tcPr>
            <w:tcW w:w="1095" w:type="dxa"/>
            <w:tcBorders>
              <w:top w:val="single" w:sz="4" w:space="0" w:color="auto"/>
              <w:left w:val="nil"/>
              <w:bottom w:val="single" w:sz="4" w:space="0" w:color="auto"/>
              <w:right w:val="single" w:sz="4" w:space="0" w:color="auto"/>
            </w:tcBorders>
            <w:noWrap/>
            <w:vAlign w:val="bottom"/>
            <w:hideMark/>
          </w:tcPr>
          <w:p w14:paraId="66ED730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E62E1F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2843F7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266,00</w:t>
            </w:r>
          </w:p>
        </w:tc>
        <w:tc>
          <w:tcPr>
            <w:tcW w:w="918" w:type="dxa"/>
            <w:tcBorders>
              <w:top w:val="single" w:sz="4" w:space="0" w:color="auto"/>
              <w:left w:val="nil"/>
              <w:bottom w:val="single" w:sz="4" w:space="0" w:color="auto"/>
              <w:right w:val="single" w:sz="4" w:space="0" w:color="auto"/>
            </w:tcBorders>
            <w:noWrap/>
            <w:vAlign w:val="bottom"/>
            <w:hideMark/>
          </w:tcPr>
          <w:p w14:paraId="5684681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E5F04A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CF7BE9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A200006</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475852F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Društvo osoba s tjelesnim invaliditetom  - podružnica Marčana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272D38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3.200,00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2A298BB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3.200,00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6E151E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3.193,00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5D10F39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99,78%</w:t>
            </w:r>
          </w:p>
        </w:tc>
      </w:tr>
      <w:tr w:rsidR="00416D67" w:rsidRPr="00416D67" w14:paraId="4930AC5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E41ADF1"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8BAD06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3.200,00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1D95E0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3.200,00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AF7FF6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3.193,00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70D6D8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99,78%</w:t>
            </w:r>
          </w:p>
        </w:tc>
      </w:tr>
      <w:tr w:rsidR="00416D67" w:rsidRPr="00416D67" w14:paraId="3FBE000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50519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356A20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3.200,00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D9221A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3.200,00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A23132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3.193,00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EA3DF6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99,78%</w:t>
            </w:r>
          </w:p>
        </w:tc>
      </w:tr>
      <w:tr w:rsidR="00416D67" w:rsidRPr="00416D67" w14:paraId="531B263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714F52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7A0E7BE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18B3AAA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3.200,00</w:t>
            </w:r>
          </w:p>
        </w:tc>
        <w:tc>
          <w:tcPr>
            <w:tcW w:w="1070" w:type="dxa"/>
            <w:tcBorders>
              <w:top w:val="single" w:sz="4" w:space="0" w:color="auto"/>
              <w:left w:val="nil"/>
              <w:bottom w:val="single" w:sz="4" w:space="0" w:color="auto"/>
              <w:right w:val="single" w:sz="4" w:space="0" w:color="auto"/>
            </w:tcBorders>
            <w:noWrap/>
            <w:vAlign w:val="bottom"/>
            <w:hideMark/>
          </w:tcPr>
          <w:p w14:paraId="3FA7886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3.200,00</w:t>
            </w:r>
          </w:p>
        </w:tc>
        <w:tc>
          <w:tcPr>
            <w:tcW w:w="1095" w:type="dxa"/>
            <w:tcBorders>
              <w:top w:val="single" w:sz="4" w:space="0" w:color="auto"/>
              <w:left w:val="nil"/>
              <w:bottom w:val="single" w:sz="4" w:space="0" w:color="auto"/>
              <w:right w:val="single" w:sz="4" w:space="0" w:color="auto"/>
            </w:tcBorders>
            <w:noWrap/>
            <w:vAlign w:val="bottom"/>
            <w:hideMark/>
          </w:tcPr>
          <w:p w14:paraId="19281A2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3.193,00</w:t>
            </w:r>
          </w:p>
        </w:tc>
        <w:tc>
          <w:tcPr>
            <w:tcW w:w="918" w:type="dxa"/>
            <w:tcBorders>
              <w:top w:val="single" w:sz="4" w:space="0" w:color="auto"/>
              <w:left w:val="nil"/>
              <w:bottom w:val="single" w:sz="4" w:space="0" w:color="auto"/>
              <w:right w:val="single" w:sz="4" w:space="0" w:color="auto"/>
            </w:tcBorders>
            <w:noWrap/>
            <w:vAlign w:val="bottom"/>
            <w:hideMark/>
          </w:tcPr>
          <w:p w14:paraId="327F278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99,78%</w:t>
            </w:r>
          </w:p>
        </w:tc>
      </w:tr>
      <w:tr w:rsidR="00416D67" w:rsidRPr="00416D67" w14:paraId="5ACC070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39658E9" w14:textId="77777777" w:rsidR="00416D67" w:rsidRPr="00416D67" w:rsidRDefault="00416D67" w:rsidP="00416D67">
            <w:pPr>
              <w:rPr>
                <w:rFonts w:ascii="Arial" w:hAnsi="Arial" w:cs="Arial"/>
                <w:sz w:val="14"/>
                <w:szCs w:val="14"/>
              </w:rPr>
            </w:pPr>
            <w:r w:rsidRPr="00416D67">
              <w:rPr>
                <w:rFonts w:ascii="Arial" w:hAnsi="Arial" w:cs="Arial"/>
                <w:sz w:val="14"/>
                <w:szCs w:val="14"/>
              </w:rPr>
              <w:t>3811</w:t>
            </w:r>
          </w:p>
        </w:tc>
        <w:tc>
          <w:tcPr>
            <w:tcW w:w="8106" w:type="dxa"/>
            <w:tcBorders>
              <w:top w:val="single" w:sz="4" w:space="0" w:color="auto"/>
              <w:left w:val="nil"/>
              <w:bottom w:val="single" w:sz="4" w:space="0" w:color="auto"/>
              <w:right w:val="single" w:sz="4" w:space="0" w:color="auto"/>
            </w:tcBorders>
            <w:noWrap/>
            <w:vAlign w:val="bottom"/>
            <w:hideMark/>
          </w:tcPr>
          <w:p w14:paraId="49DDB451" w14:textId="77777777" w:rsidR="00416D67" w:rsidRPr="00416D67" w:rsidRDefault="00416D67" w:rsidP="00416D67">
            <w:pPr>
              <w:rPr>
                <w:rFonts w:ascii="Arial" w:hAnsi="Arial" w:cs="Arial"/>
                <w:sz w:val="14"/>
                <w:szCs w:val="14"/>
              </w:rPr>
            </w:pPr>
            <w:r w:rsidRPr="00416D67">
              <w:rPr>
                <w:rFonts w:ascii="Arial" w:hAnsi="Arial" w:cs="Arial"/>
                <w:sz w:val="14"/>
                <w:szCs w:val="14"/>
              </w:rPr>
              <w:t>Tekuće donacije u novcu</w:t>
            </w:r>
          </w:p>
        </w:tc>
        <w:tc>
          <w:tcPr>
            <w:tcW w:w="1095" w:type="dxa"/>
            <w:tcBorders>
              <w:top w:val="single" w:sz="4" w:space="0" w:color="auto"/>
              <w:left w:val="nil"/>
              <w:bottom w:val="single" w:sz="4" w:space="0" w:color="auto"/>
              <w:right w:val="single" w:sz="4" w:space="0" w:color="auto"/>
            </w:tcBorders>
            <w:noWrap/>
            <w:vAlign w:val="bottom"/>
            <w:hideMark/>
          </w:tcPr>
          <w:p w14:paraId="595B60D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219E002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578A3E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3.193,00</w:t>
            </w:r>
          </w:p>
        </w:tc>
        <w:tc>
          <w:tcPr>
            <w:tcW w:w="918" w:type="dxa"/>
            <w:tcBorders>
              <w:top w:val="single" w:sz="4" w:space="0" w:color="auto"/>
              <w:left w:val="nil"/>
              <w:bottom w:val="single" w:sz="4" w:space="0" w:color="auto"/>
              <w:right w:val="single" w:sz="4" w:space="0" w:color="auto"/>
            </w:tcBorders>
            <w:noWrap/>
            <w:vAlign w:val="bottom"/>
            <w:hideMark/>
          </w:tcPr>
          <w:p w14:paraId="403560B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E82E6C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0355F8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A200007</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7A9E46F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Aktivnost: Crveni križ -GD Pula - Pomoć u kući na </w:t>
            </w:r>
            <w:proofErr w:type="spellStart"/>
            <w:r w:rsidRPr="00416D67">
              <w:rPr>
                <w:rFonts w:ascii="Arial" w:hAnsi="Arial" w:cs="Arial"/>
                <w:b/>
                <w:bCs/>
                <w:sz w:val="14"/>
                <w:szCs w:val="14"/>
              </w:rPr>
              <w:t>Puljštini</w:t>
            </w:r>
            <w:proofErr w:type="spellEnd"/>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515167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17.300,00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350AED8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17.300,00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F4827C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16.828,54</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0E2A797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97,27%</w:t>
            </w:r>
          </w:p>
        </w:tc>
      </w:tr>
      <w:tr w:rsidR="00416D67" w:rsidRPr="00416D67" w14:paraId="3761B77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EDB651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1C2CBB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17.300,00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90D546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17.300,00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F6C3DC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16.828,54</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68BAC6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97,27%</w:t>
            </w:r>
          </w:p>
        </w:tc>
      </w:tr>
      <w:tr w:rsidR="00416D67" w:rsidRPr="00416D67" w14:paraId="2104CF4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AC85E7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3DC0BD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17.300,00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BBE009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17.300,00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3291BA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16.828,54</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B17F45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97,27%</w:t>
            </w:r>
          </w:p>
        </w:tc>
      </w:tr>
      <w:tr w:rsidR="00416D67" w:rsidRPr="00416D67" w14:paraId="0AAE39C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0906FF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5024582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1D55DE6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17.300,00</w:t>
            </w:r>
          </w:p>
        </w:tc>
        <w:tc>
          <w:tcPr>
            <w:tcW w:w="1070" w:type="dxa"/>
            <w:tcBorders>
              <w:top w:val="single" w:sz="4" w:space="0" w:color="auto"/>
              <w:left w:val="nil"/>
              <w:bottom w:val="single" w:sz="4" w:space="0" w:color="auto"/>
              <w:right w:val="single" w:sz="4" w:space="0" w:color="auto"/>
            </w:tcBorders>
            <w:noWrap/>
            <w:vAlign w:val="bottom"/>
            <w:hideMark/>
          </w:tcPr>
          <w:p w14:paraId="0242DFC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17.300,00</w:t>
            </w:r>
          </w:p>
        </w:tc>
        <w:tc>
          <w:tcPr>
            <w:tcW w:w="1095" w:type="dxa"/>
            <w:tcBorders>
              <w:top w:val="single" w:sz="4" w:space="0" w:color="auto"/>
              <w:left w:val="nil"/>
              <w:bottom w:val="single" w:sz="4" w:space="0" w:color="auto"/>
              <w:right w:val="single" w:sz="4" w:space="0" w:color="auto"/>
            </w:tcBorders>
            <w:noWrap/>
            <w:vAlign w:val="bottom"/>
            <w:hideMark/>
          </w:tcPr>
          <w:p w14:paraId="5A8FA98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16.828,54</w:t>
            </w:r>
          </w:p>
        </w:tc>
        <w:tc>
          <w:tcPr>
            <w:tcW w:w="918" w:type="dxa"/>
            <w:tcBorders>
              <w:top w:val="single" w:sz="4" w:space="0" w:color="auto"/>
              <w:left w:val="nil"/>
              <w:bottom w:val="single" w:sz="4" w:space="0" w:color="auto"/>
              <w:right w:val="single" w:sz="4" w:space="0" w:color="auto"/>
            </w:tcBorders>
            <w:noWrap/>
            <w:vAlign w:val="bottom"/>
            <w:hideMark/>
          </w:tcPr>
          <w:p w14:paraId="5466E6B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97,27%</w:t>
            </w:r>
          </w:p>
        </w:tc>
      </w:tr>
      <w:tr w:rsidR="00416D67" w:rsidRPr="00416D67" w14:paraId="2AA0801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8EB305A" w14:textId="77777777" w:rsidR="00416D67" w:rsidRPr="00416D67" w:rsidRDefault="00416D67" w:rsidP="00416D67">
            <w:pPr>
              <w:rPr>
                <w:rFonts w:ascii="Arial" w:hAnsi="Arial" w:cs="Arial"/>
                <w:sz w:val="14"/>
                <w:szCs w:val="14"/>
              </w:rPr>
            </w:pPr>
            <w:r w:rsidRPr="00416D67">
              <w:rPr>
                <w:rFonts w:ascii="Arial" w:hAnsi="Arial" w:cs="Arial"/>
                <w:sz w:val="14"/>
                <w:szCs w:val="14"/>
              </w:rPr>
              <w:t>3811</w:t>
            </w:r>
          </w:p>
        </w:tc>
        <w:tc>
          <w:tcPr>
            <w:tcW w:w="8106" w:type="dxa"/>
            <w:tcBorders>
              <w:top w:val="single" w:sz="4" w:space="0" w:color="auto"/>
              <w:left w:val="nil"/>
              <w:bottom w:val="single" w:sz="4" w:space="0" w:color="auto"/>
              <w:right w:val="single" w:sz="4" w:space="0" w:color="auto"/>
            </w:tcBorders>
            <w:noWrap/>
            <w:vAlign w:val="bottom"/>
            <w:hideMark/>
          </w:tcPr>
          <w:p w14:paraId="51AADB37" w14:textId="77777777" w:rsidR="00416D67" w:rsidRPr="00416D67" w:rsidRDefault="00416D67" w:rsidP="00416D67">
            <w:pPr>
              <w:rPr>
                <w:rFonts w:ascii="Arial" w:hAnsi="Arial" w:cs="Arial"/>
                <w:sz w:val="14"/>
                <w:szCs w:val="14"/>
              </w:rPr>
            </w:pPr>
            <w:r w:rsidRPr="00416D67">
              <w:rPr>
                <w:rFonts w:ascii="Arial" w:hAnsi="Arial" w:cs="Arial"/>
                <w:sz w:val="14"/>
                <w:szCs w:val="14"/>
              </w:rPr>
              <w:t>Tekuće donacije u novcu</w:t>
            </w:r>
          </w:p>
        </w:tc>
        <w:tc>
          <w:tcPr>
            <w:tcW w:w="1095" w:type="dxa"/>
            <w:tcBorders>
              <w:top w:val="single" w:sz="4" w:space="0" w:color="auto"/>
              <w:left w:val="nil"/>
              <w:bottom w:val="single" w:sz="4" w:space="0" w:color="auto"/>
              <w:right w:val="single" w:sz="4" w:space="0" w:color="auto"/>
            </w:tcBorders>
            <w:noWrap/>
            <w:vAlign w:val="bottom"/>
            <w:hideMark/>
          </w:tcPr>
          <w:p w14:paraId="22A8A3C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A9EBD4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6CF9C3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16.828,54</w:t>
            </w:r>
          </w:p>
        </w:tc>
        <w:tc>
          <w:tcPr>
            <w:tcW w:w="918" w:type="dxa"/>
            <w:tcBorders>
              <w:top w:val="single" w:sz="4" w:space="0" w:color="auto"/>
              <w:left w:val="nil"/>
              <w:bottom w:val="single" w:sz="4" w:space="0" w:color="auto"/>
              <w:right w:val="single" w:sz="4" w:space="0" w:color="auto"/>
            </w:tcBorders>
            <w:noWrap/>
            <w:vAlign w:val="bottom"/>
            <w:hideMark/>
          </w:tcPr>
          <w:p w14:paraId="15A9B56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8B48BE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6A5EC61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Organizacijska klasifikacija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0E39650"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07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60A48FD"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39EE828"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9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23CFCA1"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2025/2024.           (3/2)</w:t>
            </w:r>
          </w:p>
        </w:tc>
      </w:tr>
      <w:tr w:rsidR="00416D67" w:rsidRPr="00416D67" w14:paraId="003BF1E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1166CC9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Izvori</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2FC4A4BD"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25F0AA3F"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1CC00696"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0DC957DA" w14:textId="77777777" w:rsidR="00416D67" w:rsidRPr="00416D67" w:rsidRDefault="00416D67" w:rsidP="00416D67">
            <w:pPr>
              <w:rPr>
                <w:rFonts w:ascii="Arial" w:hAnsi="Arial" w:cs="Arial"/>
                <w:sz w:val="14"/>
                <w:szCs w:val="14"/>
              </w:rPr>
            </w:pPr>
          </w:p>
        </w:tc>
      </w:tr>
      <w:tr w:rsidR="00416D67" w:rsidRPr="00416D67" w14:paraId="2672C76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000000"/>
            </w:tcBorders>
            <w:shd w:val="clear" w:color="000000" w:fill="D9D9D9"/>
            <w:hideMark/>
          </w:tcPr>
          <w:p w14:paraId="16BB1A9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Projekt/Aktivnost</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22F88C4C"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342AF53E"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6F0F08F6"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2ED7C379" w14:textId="77777777" w:rsidR="00416D67" w:rsidRPr="00416D67" w:rsidRDefault="00416D67" w:rsidP="00416D67">
            <w:pPr>
              <w:rPr>
                <w:rFonts w:ascii="Arial" w:hAnsi="Arial" w:cs="Arial"/>
                <w:sz w:val="14"/>
                <w:szCs w:val="14"/>
              </w:rPr>
            </w:pPr>
          </w:p>
        </w:tc>
      </w:tr>
      <w:tr w:rsidR="00416D67" w:rsidRPr="00416D67" w14:paraId="7119BFD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C58C17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A200008</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1401CBA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Centar podrške 521 u okviru ITU aglomeracije Pula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3EF1AC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3.200,00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26E29B2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3.200,00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E67321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3.200,00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37F946B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29AEE3A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3E1057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A9AFA1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3.200,00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6796B7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3.200,00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B1BD08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3.200,00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51AA16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4F0A413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55F70F4"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97D15D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3.200,00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EBB7A6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3.200,00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952813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3.200,00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D346B6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63BBE68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77598A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36</w:t>
            </w:r>
          </w:p>
        </w:tc>
        <w:tc>
          <w:tcPr>
            <w:tcW w:w="8106" w:type="dxa"/>
            <w:tcBorders>
              <w:top w:val="single" w:sz="4" w:space="0" w:color="auto"/>
              <w:left w:val="nil"/>
              <w:bottom w:val="single" w:sz="4" w:space="0" w:color="auto"/>
              <w:right w:val="single" w:sz="4" w:space="0" w:color="auto"/>
            </w:tcBorders>
            <w:noWrap/>
            <w:vAlign w:val="bottom"/>
            <w:hideMark/>
          </w:tcPr>
          <w:p w14:paraId="556F04A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Pomoći dane u inozemstvo i unutar općeg proračuna</w:t>
            </w:r>
          </w:p>
        </w:tc>
        <w:tc>
          <w:tcPr>
            <w:tcW w:w="1095" w:type="dxa"/>
            <w:tcBorders>
              <w:top w:val="single" w:sz="4" w:space="0" w:color="auto"/>
              <w:left w:val="nil"/>
              <w:bottom w:val="single" w:sz="4" w:space="0" w:color="auto"/>
              <w:right w:val="single" w:sz="4" w:space="0" w:color="auto"/>
            </w:tcBorders>
            <w:noWrap/>
            <w:vAlign w:val="bottom"/>
            <w:hideMark/>
          </w:tcPr>
          <w:p w14:paraId="1F136D4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3.200,00</w:t>
            </w:r>
          </w:p>
        </w:tc>
        <w:tc>
          <w:tcPr>
            <w:tcW w:w="1070" w:type="dxa"/>
            <w:tcBorders>
              <w:top w:val="single" w:sz="4" w:space="0" w:color="auto"/>
              <w:left w:val="nil"/>
              <w:bottom w:val="single" w:sz="4" w:space="0" w:color="auto"/>
              <w:right w:val="single" w:sz="4" w:space="0" w:color="auto"/>
            </w:tcBorders>
            <w:noWrap/>
            <w:vAlign w:val="bottom"/>
            <w:hideMark/>
          </w:tcPr>
          <w:p w14:paraId="47538C5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3.200,00</w:t>
            </w:r>
          </w:p>
        </w:tc>
        <w:tc>
          <w:tcPr>
            <w:tcW w:w="1095" w:type="dxa"/>
            <w:tcBorders>
              <w:top w:val="single" w:sz="4" w:space="0" w:color="auto"/>
              <w:left w:val="nil"/>
              <w:bottom w:val="single" w:sz="4" w:space="0" w:color="auto"/>
              <w:right w:val="single" w:sz="4" w:space="0" w:color="auto"/>
            </w:tcBorders>
            <w:noWrap/>
            <w:vAlign w:val="bottom"/>
            <w:hideMark/>
          </w:tcPr>
          <w:p w14:paraId="6B3AC54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3.200,00</w:t>
            </w:r>
          </w:p>
        </w:tc>
        <w:tc>
          <w:tcPr>
            <w:tcW w:w="918" w:type="dxa"/>
            <w:tcBorders>
              <w:top w:val="single" w:sz="4" w:space="0" w:color="auto"/>
              <w:left w:val="nil"/>
              <w:bottom w:val="single" w:sz="4" w:space="0" w:color="auto"/>
              <w:right w:val="single" w:sz="4" w:space="0" w:color="auto"/>
            </w:tcBorders>
            <w:noWrap/>
            <w:vAlign w:val="bottom"/>
            <w:hideMark/>
          </w:tcPr>
          <w:p w14:paraId="48AE59E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4C9834D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A87D3A9" w14:textId="77777777" w:rsidR="00416D67" w:rsidRPr="00416D67" w:rsidRDefault="00416D67" w:rsidP="00416D67">
            <w:pPr>
              <w:rPr>
                <w:rFonts w:ascii="Arial" w:hAnsi="Arial" w:cs="Arial"/>
                <w:sz w:val="14"/>
                <w:szCs w:val="14"/>
              </w:rPr>
            </w:pPr>
            <w:r w:rsidRPr="00416D67">
              <w:rPr>
                <w:rFonts w:ascii="Arial" w:hAnsi="Arial" w:cs="Arial"/>
                <w:sz w:val="14"/>
                <w:szCs w:val="14"/>
              </w:rPr>
              <w:t>3661</w:t>
            </w:r>
          </w:p>
        </w:tc>
        <w:tc>
          <w:tcPr>
            <w:tcW w:w="8106" w:type="dxa"/>
            <w:tcBorders>
              <w:top w:val="single" w:sz="4" w:space="0" w:color="auto"/>
              <w:left w:val="nil"/>
              <w:bottom w:val="single" w:sz="4" w:space="0" w:color="auto"/>
              <w:right w:val="single" w:sz="4" w:space="0" w:color="auto"/>
            </w:tcBorders>
            <w:noWrap/>
            <w:vAlign w:val="bottom"/>
            <w:hideMark/>
          </w:tcPr>
          <w:p w14:paraId="07CFD596" w14:textId="77777777" w:rsidR="00416D67" w:rsidRPr="00416D67" w:rsidRDefault="00416D67" w:rsidP="00416D67">
            <w:pPr>
              <w:rPr>
                <w:rFonts w:ascii="Arial" w:hAnsi="Arial" w:cs="Arial"/>
                <w:sz w:val="14"/>
                <w:szCs w:val="14"/>
              </w:rPr>
            </w:pPr>
            <w:r w:rsidRPr="00416D67">
              <w:rPr>
                <w:rFonts w:ascii="Arial" w:hAnsi="Arial" w:cs="Arial"/>
                <w:sz w:val="14"/>
                <w:szCs w:val="14"/>
              </w:rPr>
              <w:t>Tekuće pomoći proračunskim korisnicima drugih proračuna</w:t>
            </w:r>
          </w:p>
        </w:tc>
        <w:tc>
          <w:tcPr>
            <w:tcW w:w="1095" w:type="dxa"/>
            <w:tcBorders>
              <w:top w:val="single" w:sz="4" w:space="0" w:color="auto"/>
              <w:left w:val="nil"/>
              <w:bottom w:val="single" w:sz="4" w:space="0" w:color="auto"/>
              <w:right w:val="single" w:sz="4" w:space="0" w:color="auto"/>
            </w:tcBorders>
            <w:noWrap/>
            <w:vAlign w:val="bottom"/>
            <w:hideMark/>
          </w:tcPr>
          <w:p w14:paraId="4B41912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2D69EE0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3DCE46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3.200,00</w:t>
            </w:r>
          </w:p>
        </w:tc>
        <w:tc>
          <w:tcPr>
            <w:tcW w:w="918" w:type="dxa"/>
            <w:tcBorders>
              <w:top w:val="single" w:sz="4" w:space="0" w:color="auto"/>
              <w:left w:val="nil"/>
              <w:bottom w:val="single" w:sz="4" w:space="0" w:color="auto"/>
              <w:right w:val="single" w:sz="4" w:space="0" w:color="auto"/>
            </w:tcBorders>
            <w:noWrap/>
            <w:vAlign w:val="bottom"/>
            <w:hideMark/>
          </w:tcPr>
          <w:p w14:paraId="5C33DC5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22ADB6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63104E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A200009</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219542F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Aktivnost: Potpora Društvu distrofičara Istre za kupnju </w:t>
            </w:r>
            <w:proofErr w:type="spellStart"/>
            <w:r w:rsidRPr="00416D67">
              <w:rPr>
                <w:rFonts w:ascii="Arial" w:hAnsi="Arial" w:cs="Arial"/>
                <w:b/>
                <w:bCs/>
                <w:sz w:val="14"/>
                <w:szCs w:val="14"/>
              </w:rPr>
              <w:t>službnog</w:t>
            </w:r>
            <w:proofErr w:type="spellEnd"/>
            <w:r w:rsidRPr="00416D67">
              <w:rPr>
                <w:rFonts w:ascii="Arial" w:hAnsi="Arial" w:cs="Arial"/>
                <w:b/>
                <w:bCs/>
                <w:sz w:val="14"/>
                <w:szCs w:val="14"/>
              </w:rPr>
              <w:t xml:space="preserve"> vozila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636068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11A4F68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0928D9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600,00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114D6BB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70D5F70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12F9DB4"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AC1C2A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656613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ADBF97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3FECB9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3975E85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730C8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7B4856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36EFC5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3D35E5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ED7D79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5FCCE6E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B5E0AA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61CC388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72A0ACC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600,00</w:t>
            </w:r>
          </w:p>
        </w:tc>
        <w:tc>
          <w:tcPr>
            <w:tcW w:w="1070" w:type="dxa"/>
            <w:tcBorders>
              <w:top w:val="single" w:sz="4" w:space="0" w:color="auto"/>
              <w:left w:val="nil"/>
              <w:bottom w:val="single" w:sz="4" w:space="0" w:color="auto"/>
              <w:right w:val="single" w:sz="4" w:space="0" w:color="auto"/>
            </w:tcBorders>
            <w:noWrap/>
            <w:vAlign w:val="bottom"/>
            <w:hideMark/>
          </w:tcPr>
          <w:p w14:paraId="1910B75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600,00</w:t>
            </w:r>
          </w:p>
        </w:tc>
        <w:tc>
          <w:tcPr>
            <w:tcW w:w="1095" w:type="dxa"/>
            <w:tcBorders>
              <w:top w:val="single" w:sz="4" w:space="0" w:color="auto"/>
              <w:left w:val="nil"/>
              <w:bottom w:val="single" w:sz="4" w:space="0" w:color="auto"/>
              <w:right w:val="single" w:sz="4" w:space="0" w:color="auto"/>
            </w:tcBorders>
            <w:noWrap/>
            <w:vAlign w:val="bottom"/>
            <w:hideMark/>
          </w:tcPr>
          <w:p w14:paraId="315754C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600,00</w:t>
            </w:r>
          </w:p>
        </w:tc>
        <w:tc>
          <w:tcPr>
            <w:tcW w:w="918" w:type="dxa"/>
            <w:tcBorders>
              <w:top w:val="single" w:sz="4" w:space="0" w:color="auto"/>
              <w:left w:val="nil"/>
              <w:bottom w:val="single" w:sz="4" w:space="0" w:color="auto"/>
              <w:right w:val="single" w:sz="4" w:space="0" w:color="auto"/>
            </w:tcBorders>
            <w:noWrap/>
            <w:vAlign w:val="bottom"/>
            <w:hideMark/>
          </w:tcPr>
          <w:p w14:paraId="7E5D63D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343ED0C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2C23E99" w14:textId="77777777" w:rsidR="00416D67" w:rsidRPr="00416D67" w:rsidRDefault="00416D67" w:rsidP="00416D67">
            <w:pPr>
              <w:rPr>
                <w:rFonts w:ascii="Arial" w:hAnsi="Arial" w:cs="Arial"/>
                <w:sz w:val="14"/>
                <w:szCs w:val="14"/>
              </w:rPr>
            </w:pPr>
            <w:r w:rsidRPr="00416D67">
              <w:rPr>
                <w:rFonts w:ascii="Arial" w:hAnsi="Arial" w:cs="Arial"/>
                <w:sz w:val="14"/>
                <w:szCs w:val="14"/>
              </w:rPr>
              <w:t>3811</w:t>
            </w:r>
          </w:p>
        </w:tc>
        <w:tc>
          <w:tcPr>
            <w:tcW w:w="8106" w:type="dxa"/>
            <w:tcBorders>
              <w:top w:val="single" w:sz="4" w:space="0" w:color="auto"/>
              <w:left w:val="nil"/>
              <w:bottom w:val="single" w:sz="4" w:space="0" w:color="auto"/>
              <w:right w:val="single" w:sz="4" w:space="0" w:color="auto"/>
            </w:tcBorders>
            <w:noWrap/>
            <w:vAlign w:val="bottom"/>
            <w:hideMark/>
          </w:tcPr>
          <w:p w14:paraId="00E84CE7" w14:textId="77777777" w:rsidR="00416D67" w:rsidRPr="00416D67" w:rsidRDefault="00416D67" w:rsidP="00416D67">
            <w:pPr>
              <w:rPr>
                <w:rFonts w:ascii="Arial" w:hAnsi="Arial" w:cs="Arial"/>
                <w:sz w:val="14"/>
                <w:szCs w:val="14"/>
              </w:rPr>
            </w:pPr>
            <w:r w:rsidRPr="00416D67">
              <w:rPr>
                <w:rFonts w:ascii="Arial" w:hAnsi="Arial" w:cs="Arial"/>
                <w:sz w:val="14"/>
                <w:szCs w:val="14"/>
              </w:rPr>
              <w:t>Tekuće donacije u novcu</w:t>
            </w:r>
          </w:p>
        </w:tc>
        <w:tc>
          <w:tcPr>
            <w:tcW w:w="1095" w:type="dxa"/>
            <w:tcBorders>
              <w:top w:val="single" w:sz="4" w:space="0" w:color="auto"/>
              <w:left w:val="nil"/>
              <w:bottom w:val="single" w:sz="4" w:space="0" w:color="auto"/>
              <w:right w:val="single" w:sz="4" w:space="0" w:color="auto"/>
            </w:tcBorders>
            <w:noWrap/>
            <w:vAlign w:val="bottom"/>
            <w:hideMark/>
          </w:tcPr>
          <w:p w14:paraId="6ADADAC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9092D6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020F8D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600,00</w:t>
            </w:r>
          </w:p>
        </w:tc>
        <w:tc>
          <w:tcPr>
            <w:tcW w:w="918" w:type="dxa"/>
            <w:tcBorders>
              <w:top w:val="single" w:sz="4" w:space="0" w:color="auto"/>
              <w:left w:val="nil"/>
              <w:bottom w:val="single" w:sz="4" w:space="0" w:color="auto"/>
              <w:right w:val="single" w:sz="4" w:space="0" w:color="auto"/>
            </w:tcBorders>
            <w:noWrap/>
            <w:vAlign w:val="bottom"/>
            <w:hideMark/>
          </w:tcPr>
          <w:p w14:paraId="2BF6C05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BB58C8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8DD55E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A300001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0E36AFA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Hrvatski crveni križ - Gradsko društvo crvenog križa Pula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2FC8C5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0DA142D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E8F273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15.000,00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54E18B9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30FAE81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DDF5D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42DBD7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9CAF93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AC8860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9CAB7D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2E51F7F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4A70E1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7D4E16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CD8CE3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46CEA7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16C2EF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6B9F3D4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9A1C65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6E42211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79FCB47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15.000,00</w:t>
            </w:r>
          </w:p>
        </w:tc>
        <w:tc>
          <w:tcPr>
            <w:tcW w:w="1070" w:type="dxa"/>
            <w:tcBorders>
              <w:top w:val="single" w:sz="4" w:space="0" w:color="auto"/>
              <w:left w:val="nil"/>
              <w:bottom w:val="single" w:sz="4" w:space="0" w:color="auto"/>
              <w:right w:val="single" w:sz="4" w:space="0" w:color="auto"/>
            </w:tcBorders>
            <w:noWrap/>
            <w:vAlign w:val="bottom"/>
            <w:hideMark/>
          </w:tcPr>
          <w:p w14:paraId="6EA3ABD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15.000,00</w:t>
            </w:r>
          </w:p>
        </w:tc>
        <w:tc>
          <w:tcPr>
            <w:tcW w:w="1095" w:type="dxa"/>
            <w:tcBorders>
              <w:top w:val="single" w:sz="4" w:space="0" w:color="auto"/>
              <w:left w:val="nil"/>
              <w:bottom w:val="single" w:sz="4" w:space="0" w:color="auto"/>
              <w:right w:val="single" w:sz="4" w:space="0" w:color="auto"/>
            </w:tcBorders>
            <w:noWrap/>
            <w:vAlign w:val="bottom"/>
            <w:hideMark/>
          </w:tcPr>
          <w:p w14:paraId="18035D8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15.000,00</w:t>
            </w:r>
          </w:p>
        </w:tc>
        <w:tc>
          <w:tcPr>
            <w:tcW w:w="918" w:type="dxa"/>
            <w:tcBorders>
              <w:top w:val="single" w:sz="4" w:space="0" w:color="auto"/>
              <w:left w:val="nil"/>
              <w:bottom w:val="single" w:sz="4" w:space="0" w:color="auto"/>
              <w:right w:val="single" w:sz="4" w:space="0" w:color="auto"/>
            </w:tcBorders>
            <w:noWrap/>
            <w:vAlign w:val="bottom"/>
            <w:hideMark/>
          </w:tcPr>
          <w:p w14:paraId="5426B29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2EF30DF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6FF8E02" w14:textId="77777777" w:rsidR="00416D67" w:rsidRPr="00416D67" w:rsidRDefault="00416D67" w:rsidP="00416D67">
            <w:pPr>
              <w:rPr>
                <w:rFonts w:ascii="Arial" w:hAnsi="Arial" w:cs="Arial"/>
                <w:sz w:val="14"/>
                <w:szCs w:val="14"/>
              </w:rPr>
            </w:pPr>
            <w:r w:rsidRPr="00416D67">
              <w:rPr>
                <w:rFonts w:ascii="Arial" w:hAnsi="Arial" w:cs="Arial"/>
                <w:sz w:val="14"/>
                <w:szCs w:val="14"/>
              </w:rPr>
              <w:t>3811</w:t>
            </w:r>
          </w:p>
        </w:tc>
        <w:tc>
          <w:tcPr>
            <w:tcW w:w="8106" w:type="dxa"/>
            <w:tcBorders>
              <w:top w:val="single" w:sz="4" w:space="0" w:color="auto"/>
              <w:left w:val="nil"/>
              <w:bottom w:val="single" w:sz="4" w:space="0" w:color="auto"/>
              <w:right w:val="single" w:sz="4" w:space="0" w:color="auto"/>
            </w:tcBorders>
            <w:noWrap/>
            <w:vAlign w:val="bottom"/>
            <w:hideMark/>
          </w:tcPr>
          <w:p w14:paraId="24F7D73E" w14:textId="77777777" w:rsidR="00416D67" w:rsidRPr="00416D67" w:rsidRDefault="00416D67" w:rsidP="00416D67">
            <w:pPr>
              <w:rPr>
                <w:rFonts w:ascii="Arial" w:hAnsi="Arial" w:cs="Arial"/>
                <w:sz w:val="14"/>
                <w:szCs w:val="14"/>
              </w:rPr>
            </w:pPr>
            <w:r w:rsidRPr="00416D67">
              <w:rPr>
                <w:rFonts w:ascii="Arial" w:hAnsi="Arial" w:cs="Arial"/>
                <w:sz w:val="14"/>
                <w:szCs w:val="14"/>
              </w:rPr>
              <w:t>Tekuće donacije u novcu</w:t>
            </w:r>
          </w:p>
        </w:tc>
        <w:tc>
          <w:tcPr>
            <w:tcW w:w="1095" w:type="dxa"/>
            <w:tcBorders>
              <w:top w:val="single" w:sz="4" w:space="0" w:color="auto"/>
              <w:left w:val="nil"/>
              <w:bottom w:val="single" w:sz="4" w:space="0" w:color="auto"/>
              <w:right w:val="single" w:sz="4" w:space="0" w:color="auto"/>
            </w:tcBorders>
            <w:noWrap/>
            <w:vAlign w:val="bottom"/>
            <w:hideMark/>
          </w:tcPr>
          <w:p w14:paraId="53092A4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21A8E8C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7F7BA9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15.000,00</w:t>
            </w:r>
          </w:p>
        </w:tc>
        <w:tc>
          <w:tcPr>
            <w:tcW w:w="918" w:type="dxa"/>
            <w:tcBorders>
              <w:top w:val="single" w:sz="4" w:space="0" w:color="auto"/>
              <w:left w:val="nil"/>
              <w:bottom w:val="single" w:sz="4" w:space="0" w:color="auto"/>
              <w:right w:val="single" w:sz="4" w:space="0" w:color="auto"/>
            </w:tcBorders>
            <w:noWrap/>
            <w:vAlign w:val="bottom"/>
            <w:hideMark/>
          </w:tcPr>
          <w:p w14:paraId="25BF177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9049C1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D6A796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A300002</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38BFDCE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Financiranje programa udruga u zdravstvu i socijalnoj skrbi</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38B43A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00AED8B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EBD0B7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7.000,00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456EDC4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6101116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E5804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lastRenderedPageBreak/>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F767CF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FA57F9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B1C14C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F56D39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0A136A2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104FDA0"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782A3D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9D52CB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221BFE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3CBBCB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59E62D1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5DC6AC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13F943D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5CAD3A8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7.000,00</w:t>
            </w:r>
          </w:p>
        </w:tc>
        <w:tc>
          <w:tcPr>
            <w:tcW w:w="1070" w:type="dxa"/>
            <w:tcBorders>
              <w:top w:val="single" w:sz="4" w:space="0" w:color="auto"/>
              <w:left w:val="nil"/>
              <w:bottom w:val="single" w:sz="4" w:space="0" w:color="auto"/>
              <w:right w:val="single" w:sz="4" w:space="0" w:color="auto"/>
            </w:tcBorders>
            <w:noWrap/>
            <w:vAlign w:val="bottom"/>
            <w:hideMark/>
          </w:tcPr>
          <w:p w14:paraId="7CAAD3D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7.000,00</w:t>
            </w:r>
          </w:p>
        </w:tc>
        <w:tc>
          <w:tcPr>
            <w:tcW w:w="1095" w:type="dxa"/>
            <w:tcBorders>
              <w:top w:val="single" w:sz="4" w:space="0" w:color="auto"/>
              <w:left w:val="nil"/>
              <w:bottom w:val="single" w:sz="4" w:space="0" w:color="auto"/>
              <w:right w:val="single" w:sz="4" w:space="0" w:color="auto"/>
            </w:tcBorders>
            <w:noWrap/>
            <w:vAlign w:val="bottom"/>
            <w:hideMark/>
          </w:tcPr>
          <w:p w14:paraId="408E8D1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7.000,00</w:t>
            </w:r>
          </w:p>
        </w:tc>
        <w:tc>
          <w:tcPr>
            <w:tcW w:w="918" w:type="dxa"/>
            <w:tcBorders>
              <w:top w:val="single" w:sz="4" w:space="0" w:color="auto"/>
              <w:left w:val="nil"/>
              <w:bottom w:val="single" w:sz="4" w:space="0" w:color="auto"/>
              <w:right w:val="single" w:sz="4" w:space="0" w:color="auto"/>
            </w:tcBorders>
            <w:noWrap/>
            <w:vAlign w:val="bottom"/>
            <w:hideMark/>
          </w:tcPr>
          <w:p w14:paraId="37C69F9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22B7A48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E5CAA23" w14:textId="77777777" w:rsidR="00416D67" w:rsidRPr="00416D67" w:rsidRDefault="00416D67" w:rsidP="00416D67">
            <w:pPr>
              <w:rPr>
                <w:rFonts w:ascii="Arial" w:hAnsi="Arial" w:cs="Arial"/>
                <w:sz w:val="14"/>
                <w:szCs w:val="14"/>
              </w:rPr>
            </w:pPr>
            <w:r w:rsidRPr="00416D67">
              <w:rPr>
                <w:rFonts w:ascii="Arial" w:hAnsi="Arial" w:cs="Arial"/>
                <w:sz w:val="14"/>
                <w:szCs w:val="14"/>
              </w:rPr>
              <w:t>3299</w:t>
            </w:r>
          </w:p>
        </w:tc>
        <w:tc>
          <w:tcPr>
            <w:tcW w:w="8106" w:type="dxa"/>
            <w:tcBorders>
              <w:top w:val="single" w:sz="4" w:space="0" w:color="auto"/>
              <w:left w:val="nil"/>
              <w:bottom w:val="single" w:sz="4" w:space="0" w:color="auto"/>
              <w:right w:val="single" w:sz="4" w:space="0" w:color="auto"/>
            </w:tcBorders>
            <w:noWrap/>
            <w:vAlign w:val="bottom"/>
            <w:hideMark/>
          </w:tcPr>
          <w:p w14:paraId="73F7F84C" w14:textId="77777777" w:rsidR="00416D67" w:rsidRPr="00416D67" w:rsidRDefault="00416D67" w:rsidP="00416D67">
            <w:pPr>
              <w:rPr>
                <w:rFonts w:ascii="Arial" w:hAnsi="Arial" w:cs="Arial"/>
                <w:sz w:val="14"/>
                <w:szCs w:val="14"/>
              </w:rPr>
            </w:pPr>
            <w:r w:rsidRPr="00416D67">
              <w:rPr>
                <w:rFonts w:ascii="Arial" w:hAnsi="Arial" w:cs="Arial"/>
                <w:sz w:val="14"/>
                <w:szCs w:val="14"/>
              </w:rPr>
              <w:t>Ostali nespomenuti rashodi poslovanja</w:t>
            </w:r>
          </w:p>
        </w:tc>
        <w:tc>
          <w:tcPr>
            <w:tcW w:w="1095" w:type="dxa"/>
            <w:tcBorders>
              <w:top w:val="single" w:sz="4" w:space="0" w:color="auto"/>
              <w:left w:val="nil"/>
              <w:bottom w:val="single" w:sz="4" w:space="0" w:color="auto"/>
              <w:right w:val="single" w:sz="4" w:space="0" w:color="auto"/>
            </w:tcBorders>
            <w:noWrap/>
            <w:vAlign w:val="bottom"/>
            <w:hideMark/>
          </w:tcPr>
          <w:p w14:paraId="0AFD77E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8EE330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528B0B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7.000,00</w:t>
            </w:r>
          </w:p>
        </w:tc>
        <w:tc>
          <w:tcPr>
            <w:tcW w:w="918" w:type="dxa"/>
            <w:tcBorders>
              <w:top w:val="single" w:sz="4" w:space="0" w:color="auto"/>
              <w:left w:val="nil"/>
              <w:bottom w:val="single" w:sz="4" w:space="0" w:color="auto"/>
              <w:right w:val="single" w:sz="4" w:space="0" w:color="auto"/>
            </w:tcBorders>
            <w:noWrap/>
            <w:vAlign w:val="bottom"/>
            <w:hideMark/>
          </w:tcPr>
          <w:p w14:paraId="2511460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9317F7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A2F94C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A400002</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0E6C5A7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Nastavni zavod za hitnu medicinu IŽ - dodatno  zapošljavanje radnika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DD625C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23.774,00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4B73E16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23.774,00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79B7A3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23.774,00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62AD9B7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3083D2D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AF2E4C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33F47C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23.774,00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DB1CB4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23.774,00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8D033C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23.774,00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65FB3D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0EB9572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C3C6CB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4.3.1 Turistička  pristojba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524079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23.774,00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2450F6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23.774,00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E6C44B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23.774,00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A962FE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5A93DAC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751A55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36</w:t>
            </w:r>
          </w:p>
        </w:tc>
        <w:tc>
          <w:tcPr>
            <w:tcW w:w="8106" w:type="dxa"/>
            <w:tcBorders>
              <w:top w:val="single" w:sz="4" w:space="0" w:color="auto"/>
              <w:left w:val="nil"/>
              <w:bottom w:val="single" w:sz="4" w:space="0" w:color="auto"/>
              <w:right w:val="single" w:sz="4" w:space="0" w:color="auto"/>
            </w:tcBorders>
            <w:noWrap/>
            <w:vAlign w:val="bottom"/>
            <w:hideMark/>
          </w:tcPr>
          <w:p w14:paraId="12411EE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Pomoći dane u inozemstvo i unutar općeg proračuna</w:t>
            </w:r>
          </w:p>
        </w:tc>
        <w:tc>
          <w:tcPr>
            <w:tcW w:w="1095" w:type="dxa"/>
            <w:tcBorders>
              <w:top w:val="single" w:sz="4" w:space="0" w:color="auto"/>
              <w:left w:val="nil"/>
              <w:bottom w:val="single" w:sz="4" w:space="0" w:color="auto"/>
              <w:right w:val="single" w:sz="4" w:space="0" w:color="auto"/>
            </w:tcBorders>
            <w:noWrap/>
            <w:vAlign w:val="bottom"/>
            <w:hideMark/>
          </w:tcPr>
          <w:p w14:paraId="674C2A9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23.774,00</w:t>
            </w:r>
          </w:p>
        </w:tc>
        <w:tc>
          <w:tcPr>
            <w:tcW w:w="1070" w:type="dxa"/>
            <w:tcBorders>
              <w:top w:val="single" w:sz="4" w:space="0" w:color="auto"/>
              <w:left w:val="nil"/>
              <w:bottom w:val="single" w:sz="4" w:space="0" w:color="auto"/>
              <w:right w:val="single" w:sz="4" w:space="0" w:color="auto"/>
            </w:tcBorders>
            <w:noWrap/>
            <w:vAlign w:val="bottom"/>
            <w:hideMark/>
          </w:tcPr>
          <w:p w14:paraId="700B8B9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23.774,00</w:t>
            </w:r>
          </w:p>
        </w:tc>
        <w:tc>
          <w:tcPr>
            <w:tcW w:w="1095" w:type="dxa"/>
            <w:tcBorders>
              <w:top w:val="single" w:sz="4" w:space="0" w:color="auto"/>
              <w:left w:val="nil"/>
              <w:bottom w:val="single" w:sz="4" w:space="0" w:color="auto"/>
              <w:right w:val="single" w:sz="4" w:space="0" w:color="auto"/>
            </w:tcBorders>
            <w:noWrap/>
            <w:vAlign w:val="bottom"/>
            <w:hideMark/>
          </w:tcPr>
          <w:p w14:paraId="05F6454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23.774,00</w:t>
            </w:r>
          </w:p>
        </w:tc>
        <w:tc>
          <w:tcPr>
            <w:tcW w:w="918" w:type="dxa"/>
            <w:tcBorders>
              <w:top w:val="single" w:sz="4" w:space="0" w:color="auto"/>
              <w:left w:val="nil"/>
              <w:bottom w:val="single" w:sz="4" w:space="0" w:color="auto"/>
              <w:right w:val="single" w:sz="4" w:space="0" w:color="auto"/>
            </w:tcBorders>
            <w:noWrap/>
            <w:vAlign w:val="bottom"/>
            <w:hideMark/>
          </w:tcPr>
          <w:p w14:paraId="53CC2AD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2AFF7D9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53D2DB4" w14:textId="77777777" w:rsidR="00416D67" w:rsidRPr="00416D67" w:rsidRDefault="00416D67" w:rsidP="00416D67">
            <w:pPr>
              <w:rPr>
                <w:rFonts w:ascii="Arial" w:hAnsi="Arial" w:cs="Arial"/>
                <w:sz w:val="14"/>
                <w:szCs w:val="14"/>
              </w:rPr>
            </w:pPr>
            <w:r w:rsidRPr="00416D67">
              <w:rPr>
                <w:rFonts w:ascii="Arial" w:hAnsi="Arial" w:cs="Arial"/>
                <w:sz w:val="14"/>
                <w:szCs w:val="14"/>
              </w:rPr>
              <w:t>3661</w:t>
            </w:r>
          </w:p>
        </w:tc>
        <w:tc>
          <w:tcPr>
            <w:tcW w:w="8106" w:type="dxa"/>
            <w:tcBorders>
              <w:top w:val="single" w:sz="4" w:space="0" w:color="auto"/>
              <w:left w:val="nil"/>
              <w:bottom w:val="single" w:sz="4" w:space="0" w:color="auto"/>
              <w:right w:val="single" w:sz="4" w:space="0" w:color="auto"/>
            </w:tcBorders>
            <w:noWrap/>
            <w:vAlign w:val="bottom"/>
            <w:hideMark/>
          </w:tcPr>
          <w:p w14:paraId="470F46AE" w14:textId="77777777" w:rsidR="00416D67" w:rsidRPr="00416D67" w:rsidRDefault="00416D67" w:rsidP="00416D67">
            <w:pPr>
              <w:rPr>
                <w:rFonts w:ascii="Arial" w:hAnsi="Arial" w:cs="Arial"/>
                <w:sz w:val="14"/>
                <w:szCs w:val="14"/>
              </w:rPr>
            </w:pPr>
            <w:r w:rsidRPr="00416D67">
              <w:rPr>
                <w:rFonts w:ascii="Arial" w:hAnsi="Arial" w:cs="Arial"/>
                <w:sz w:val="14"/>
                <w:szCs w:val="14"/>
              </w:rPr>
              <w:t>Tekuće pomoći proračunskim korisnicima drugih proračuna</w:t>
            </w:r>
          </w:p>
        </w:tc>
        <w:tc>
          <w:tcPr>
            <w:tcW w:w="1095" w:type="dxa"/>
            <w:tcBorders>
              <w:top w:val="single" w:sz="4" w:space="0" w:color="auto"/>
              <w:left w:val="nil"/>
              <w:bottom w:val="single" w:sz="4" w:space="0" w:color="auto"/>
              <w:right w:val="single" w:sz="4" w:space="0" w:color="auto"/>
            </w:tcBorders>
            <w:noWrap/>
            <w:vAlign w:val="bottom"/>
            <w:hideMark/>
          </w:tcPr>
          <w:p w14:paraId="3017577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A82D99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8E2C85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23.774,00</w:t>
            </w:r>
          </w:p>
        </w:tc>
        <w:tc>
          <w:tcPr>
            <w:tcW w:w="918" w:type="dxa"/>
            <w:tcBorders>
              <w:top w:val="single" w:sz="4" w:space="0" w:color="auto"/>
              <w:left w:val="nil"/>
              <w:bottom w:val="single" w:sz="4" w:space="0" w:color="auto"/>
              <w:right w:val="single" w:sz="4" w:space="0" w:color="auto"/>
            </w:tcBorders>
            <w:noWrap/>
            <w:vAlign w:val="bottom"/>
            <w:hideMark/>
          </w:tcPr>
          <w:p w14:paraId="0F2C212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C6AE40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682408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A400003</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6DF2751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Organizacija povremenog prijevoza pacijenata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9833C2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0AA7E94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6AE2B3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15.363,51</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42BC49E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90,37%</w:t>
            </w:r>
          </w:p>
        </w:tc>
      </w:tr>
      <w:tr w:rsidR="00416D67" w:rsidRPr="00416D67" w14:paraId="47CDD47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B9B4B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E5756E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17.000,00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7ACD39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17.000,00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C3F6B7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15.363,51</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80A222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90,37%</w:t>
            </w:r>
          </w:p>
        </w:tc>
      </w:tr>
      <w:tr w:rsidR="00416D67" w:rsidRPr="00416D67" w14:paraId="3778B19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E5BC074"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0F2EDF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17.000,00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2A0160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17.000,00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27A5A6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15.363,51</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AEAA99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90,37%</w:t>
            </w:r>
          </w:p>
        </w:tc>
      </w:tr>
      <w:tr w:rsidR="00416D67" w:rsidRPr="00416D67" w14:paraId="3C3A094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C42B0D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37</w:t>
            </w:r>
          </w:p>
        </w:tc>
        <w:tc>
          <w:tcPr>
            <w:tcW w:w="8106" w:type="dxa"/>
            <w:tcBorders>
              <w:top w:val="single" w:sz="4" w:space="0" w:color="auto"/>
              <w:left w:val="nil"/>
              <w:bottom w:val="single" w:sz="4" w:space="0" w:color="auto"/>
              <w:right w:val="single" w:sz="4" w:space="0" w:color="auto"/>
            </w:tcBorders>
            <w:noWrap/>
            <w:vAlign w:val="bottom"/>
            <w:hideMark/>
          </w:tcPr>
          <w:p w14:paraId="158836E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Naknade građanima i kućanstvima na temelju osiguranja i druge naknade</w:t>
            </w:r>
          </w:p>
        </w:tc>
        <w:tc>
          <w:tcPr>
            <w:tcW w:w="1095" w:type="dxa"/>
            <w:tcBorders>
              <w:top w:val="single" w:sz="4" w:space="0" w:color="auto"/>
              <w:left w:val="nil"/>
              <w:bottom w:val="single" w:sz="4" w:space="0" w:color="auto"/>
              <w:right w:val="single" w:sz="4" w:space="0" w:color="auto"/>
            </w:tcBorders>
            <w:noWrap/>
            <w:vAlign w:val="bottom"/>
            <w:hideMark/>
          </w:tcPr>
          <w:p w14:paraId="25ADFD6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17.000,00</w:t>
            </w:r>
          </w:p>
        </w:tc>
        <w:tc>
          <w:tcPr>
            <w:tcW w:w="1070" w:type="dxa"/>
            <w:tcBorders>
              <w:top w:val="single" w:sz="4" w:space="0" w:color="auto"/>
              <w:left w:val="nil"/>
              <w:bottom w:val="single" w:sz="4" w:space="0" w:color="auto"/>
              <w:right w:val="single" w:sz="4" w:space="0" w:color="auto"/>
            </w:tcBorders>
            <w:noWrap/>
            <w:vAlign w:val="bottom"/>
            <w:hideMark/>
          </w:tcPr>
          <w:p w14:paraId="1EDE291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17.000,00</w:t>
            </w:r>
          </w:p>
        </w:tc>
        <w:tc>
          <w:tcPr>
            <w:tcW w:w="1095" w:type="dxa"/>
            <w:tcBorders>
              <w:top w:val="single" w:sz="4" w:space="0" w:color="auto"/>
              <w:left w:val="nil"/>
              <w:bottom w:val="single" w:sz="4" w:space="0" w:color="auto"/>
              <w:right w:val="single" w:sz="4" w:space="0" w:color="auto"/>
            </w:tcBorders>
            <w:noWrap/>
            <w:vAlign w:val="bottom"/>
            <w:hideMark/>
          </w:tcPr>
          <w:p w14:paraId="4BDB095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15.363,51</w:t>
            </w:r>
          </w:p>
        </w:tc>
        <w:tc>
          <w:tcPr>
            <w:tcW w:w="918" w:type="dxa"/>
            <w:tcBorders>
              <w:top w:val="single" w:sz="4" w:space="0" w:color="auto"/>
              <w:left w:val="nil"/>
              <w:bottom w:val="single" w:sz="4" w:space="0" w:color="auto"/>
              <w:right w:val="single" w:sz="4" w:space="0" w:color="auto"/>
            </w:tcBorders>
            <w:noWrap/>
            <w:vAlign w:val="bottom"/>
            <w:hideMark/>
          </w:tcPr>
          <w:p w14:paraId="2D01E1A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90,37%</w:t>
            </w:r>
          </w:p>
        </w:tc>
      </w:tr>
      <w:tr w:rsidR="00416D67" w:rsidRPr="00416D67" w14:paraId="7D3C1D2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98395B5" w14:textId="77777777" w:rsidR="00416D67" w:rsidRPr="00416D67" w:rsidRDefault="00416D67" w:rsidP="00416D67">
            <w:pPr>
              <w:rPr>
                <w:rFonts w:ascii="Arial" w:hAnsi="Arial" w:cs="Arial"/>
                <w:sz w:val="14"/>
                <w:szCs w:val="14"/>
              </w:rPr>
            </w:pPr>
            <w:r w:rsidRPr="00416D67">
              <w:rPr>
                <w:rFonts w:ascii="Arial" w:hAnsi="Arial" w:cs="Arial"/>
                <w:sz w:val="14"/>
                <w:szCs w:val="14"/>
              </w:rPr>
              <w:t>3722</w:t>
            </w:r>
          </w:p>
        </w:tc>
        <w:tc>
          <w:tcPr>
            <w:tcW w:w="8106" w:type="dxa"/>
            <w:tcBorders>
              <w:top w:val="single" w:sz="4" w:space="0" w:color="auto"/>
              <w:left w:val="nil"/>
              <w:bottom w:val="single" w:sz="4" w:space="0" w:color="auto"/>
              <w:right w:val="single" w:sz="4" w:space="0" w:color="auto"/>
            </w:tcBorders>
            <w:noWrap/>
            <w:vAlign w:val="bottom"/>
            <w:hideMark/>
          </w:tcPr>
          <w:p w14:paraId="68130636" w14:textId="77777777" w:rsidR="00416D67" w:rsidRPr="00416D67" w:rsidRDefault="00416D67" w:rsidP="00416D67">
            <w:pPr>
              <w:rPr>
                <w:rFonts w:ascii="Arial" w:hAnsi="Arial" w:cs="Arial"/>
                <w:sz w:val="14"/>
                <w:szCs w:val="14"/>
              </w:rPr>
            </w:pPr>
            <w:r w:rsidRPr="00416D67">
              <w:rPr>
                <w:rFonts w:ascii="Arial" w:hAnsi="Arial" w:cs="Arial"/>
                <w:sz w:val="14"/>
                <w:szCs w:val="14"/>
              </w:rPr>
              <w:t>Naknade građanima i kućanstvima u naravi</w:t>
            </w:r>
          </w:p>
        </w:tc>
        <w:tc>
          <w:tcPr>
            <w:tcW w:w="1095" w:type="dxa"/>
            <w:tcBorders>
              <w:top w:val="single" w:sz="4" w:space="0" w:color="auto"/>
              <w:left w:val="nil"/>
              <w:bottom w:val="single" w:sz="4" w:space="0" w:color="auto"/>
              <w:right w:val="single" w:sz="4" w:space="0" w:color="auto"/>
            </w:tcBorders>
            <w:noWrap/>
            <w:vAlign w:val="bottom"/>
            <w:hideMark/>
          </w:tcPr>
          <w:p w14:paraId="3CE22E1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C0E23F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586496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15.363,51</w:t>
            </w:r>
          </w:p>
        </w:tc>
        <w:tc>
          <w:tcPr>
            <w:tcW w:w="918" w:type="dxa"/>
            <w:tcBorders>
              <w:top w:val="single" w:sz="4" w:space="0" w:color="auto"/>
              <w:left w:val="nil"/>
              <w:bottom w:val="single" w:sz="4" w:space="0" w:color="auto"/>
              <w:right w:val="single" w:sz="4" w:space="0" w:color="auto"/>
            </w:tcBorders>
            <w:noWrap/>
            <w:vAlign w:val="bottom"/>
            <w:hideMark/>
          </w:tcPr>
          <w:p w14:paraId="1BBB586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50DB21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637F71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A400024</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2C0E88D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Donacije Opća bolnica Pula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4A574E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1A81B97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DB539B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600,00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2C73E46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575D06B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976B79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A6DC00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F6D5BE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16CB5E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28BC6F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0B17C36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6D66BA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AED883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590756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1F6050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62BD85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172A406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9AEE2D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36</w:t>
            </w:r>
          </w:p>
        </w:tc>
        <w:tc>
          <w:tcPr>
            <w:tcW w:w="8106" w:type="dxa"/>
            <w:tcBorders>
              <w:top w:val="single" w:sz="4" w:space="0" w:color="auto"/>
              <w:left w:val="nil"/>
              <w:bottom w:val="single" w:sz="4" w:space="0" w:color="auto"/>
              <w:right w:val="single" w:sz="4" w:space="0" w:color="auto"/>
            </w:tcBorders>
            <w:noWrap/>
            <w:vAlign w:val="bottom"/>
            <w:hideMark/>
          </w:tcPr>
          <w:p w14:paraId="3541F97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Pomoći dane u inozemstvo i unutar općeg proračuna</w:t>
            </w:r>
          </w:p>
        </w:tc>
        <w:tc>
          <w:tcPr>
            <w:tcW w:w="1095" w:type="dxa"/>
            <w:tcBorders>
              <w:top w:val="single" w:sz="4" w:space="0" w:color="auto"/>
              <w:left w:val="nil"/>
              <w:bottom w:val="single" w:sz="4" w:space="0" w:color="auto"/>
              <w:right w:val="single" w:sz="4" w:space="0" w:color="auto"/>
            </w:tcBorders>
            <w:noWrap/>
            <w:vAlign w:val="bottom"/>
            <w:hideMark/>
          </w:tcPr>
          <w:p w14:paraId="3F0C71D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600,00</w:t>
            </w:r>
          </w:p>
        </w:tc>
        <w:tc>
          <w:tcPr>
            <w:tcW w:w="1070" w:type="dxa"/>
            <w:tcBorders>
              <w:top w:val="single" w:sz="4" w:space="0" w:color="auto"/>
              <w:left w:val="nil"/>
              <w:bottom w:val="single" w:sz="4" w:space="0" w:color="auto"/>
              <w:right w:val="single" w:sz="4" w:space="0" w:color="auto"/>
            </w:tcBorders>
            <w:noWrap/>
            <w:vAlign w:val="bottom"/>
            <w:hideMark/>
          </w:tcPr>
          <w:p w14:paraId="5B7851F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600,00</w:t>
            </w:r>
          </w:p>
        </w:tc>
        <w:tc>
          <w:tcPr>
            <w:tcW w:w="1095" w:type="dxa"/>
            <w:tcBorders>
              <w:top w:val="single" w:sz="4" w:space="0" w:color="auto"/>
              <w:left w:val="nil"/>
              <w:bottom w:val="single" w:sz="4" w:space="0" w:color="auto"/>
              <w:right w:val="single" w:sz="4" w:space="0" w:color="auto"/>
            </w:tcBorders>
            <w:noWrap/>
            <w:vAlign w:val="bottom"/>
            <w:hideMark/>
          </w:tcPr>
          <w:p w14:paraId="31ED838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600,00</w:t>
            </w:r>
          </w:p>
        </w:tc>
        <w:tc>
          <w:tcPr>
            <w:tcW w:w="918" w:type="dxa"/>
            <w:tcBorders>
              <w:top w:val="single" w:sz="4" w:space="0" w:color="auto"/>
              <w:left w:val="nil"/>
              <w:bottom w:val="single" w:sz="4" w:space="0" w:color="auto"/>
              <w:right w:val="single" w:sz="4" w:space="0" w:color="auto"/>
            </w:tcBorders>
            <w:noWrap/>
            <w:vAlign w:val="bottom"/>
            <w:hideMark/>
          </w:tcPr>
          <w:p w14:paraId="7FDB326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63310B3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AF5DAA1" w14:textId="77777777" w:rsidR="00416D67" w:rsidRPr="00416D67" w:rsidRDefault="00416D67" w:rsidP="00416D67">
            <w:pPr>
              <w:rPr>
                <w:rFonts w:ascii="Arial" w:hAnsi="Arial" w:cs="Arial"/>
                <w:sz w:val="14"/>
                <w:szCs w:val="14"/>
              </w:rPr>
            </w:pPr>
            <w:r w:rsidRPr="00416D67">
              <w:rPr>
                <w:rFonts w:ascii="Arial" w:hAnsi="Arial" w:cs="Arial"/>
                <w:sz w:val="14"/>
                <w:szCs w:val="14"/>
              </w:rPr>
              <w:t>3631</w:t>
            </w:r>
          </w:p>
        </w:tc>
        <w:tc>
          <w:tcPr>
            <w:tcW w:w="8106" w:type="dxa"/>
            <w:tcBorders>
              <w:top w:val="single" w:sz="4" w:space="0" w:color="auto"/>
              <w:left w:val="nil"/>
              <w:bottom w:val="single" w:sz="4" w:space="0" w:color="auto"/>
              <w:right w:val="single" w:sz="4" w:space="0" w:color="auto"/>
            </w:tcBorders>
            <w:noWrap/>
            <w:vAlign w:val="bottom"/>
            <w:hideMark/>
          </w:tcPr>
          <w:p w14:paraId="54D12E33" w14:textId="77777777" w:rsidR="00416D67" w:rsidRPr="00416D67" w:rsidRDefault="00416D67" w:rsidP="00416D67">
            <w:pPr>
              <w:rPr>
                <w:rFonts w:ascii="Arial" w:hAnsi="Arial" w:cs="Arial"/>
                <w:sz w:val="14"/>
                <w:szCs w:val="14"/>
              </w:rPr>
            </w:pPr>
            <w:r w:rsidRPr="00416D67">
              <w:rPr>
                <w:rFonts w:ascii="Arial" w:hAnsi="Arial" w:cs="Arial"/>
                <w:sz w:val="14"/>
                <w:szCs w:val="14"/>
              </w:rPr>
              <w:t>Tekuće pomoći drugom proračunu i izvanproračunskim korisnicima</w:t>
            </w:r>
          </w:p>
        </w:tc>
        <w:tc>
          <w:tcPr>
            <w:tcW w:w="1095" w:type="dxa"/>
            <w:tcBorders>
              <w:top w:val="single" w:sz="4" w:space="0" w:color="auto"/>
              <w:left w:val="nil"/>
              <w:bottom w:val="single" w:sz="4" w:space="0" w:color="auto"/>
              <w:right w:val="single" w:sz="4" w:space="0" w:color="auto"/>
            </w:tcBorders>
            <w:noWrap/>
            <w:vAlign w:val="bottom"/>
            <w:hideMark/>
          </w:tcPr>
          <w:p w14:paraId="77E640F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756B61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4948E7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600,00</w:t>
            </w:r>
          </w:p>
        </w:tc>
        <w:tc>
          <w:tcPr>
            <w:tcW w:w="918" w:type="dxa"/>
            <w:tcBorders>
              <w:top w:val="single" w:sz="4" w:space="0" w:color="auto"/>
              <w:left w:val="nil"/>
              <w:bottom w:val="single" w:sz="4" w:space="0" w:color="auto"/>
              <w:right w:val="single" w:sz="4" w:space="0" w:color="auto"/>
            </w:tcBorders>
            <w:noWrap/>
            <w:vAlign w:val="bottom"/>
            <w:hideMark/>
          </w:tcPr>
          <w:p w14:paraId="422A133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3794C8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B8800B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A400025</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5B904E1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Aktivnost: Sufinanciranje nabave opreme IDZ ordinacija Marčana </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A117C1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1BD231C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9CBAA2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454C843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61AEA56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F7AD93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6EC404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06B35F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C0231D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B3E577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2776612C"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40C6891"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B1437B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1AAA52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A8D8C4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34B367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1828E0F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37AA4C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36</w:t>
            </w:r>
          </w:p>
        </w:tc>
        <w:tc>
          <w:tcPr>
            <w:tcW w:w="8106" w:type="dxa"/>
            <w:tcBorders>
              <w:top w:val="single" w:sz="4" w:space="0" w:color="auto"/>
              <w:left w:val="nil"/>
              <w:bottom w:val="single" w:sz="4" w:space="0" w:color="auto"/>
              <w:right w:val="single" w:sz="4" w:space="0" w:color="auto"/>
            </w:tcBorders>
            <w:noWrap/>
            <w:vAlign w:val="bottom"/>
            <w:hideMark/>
          </w:tcPr>
          <w:p w14:paraId="131077A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Pomoći dane u inozemstvo i unutar općeg proračuna</w:t>
            </w:r>
          </w:p>
        </w:tc>
        <w:tc>
          <w:tcPr>
            <w:tcW w:w="1095" w:type="dxa"/>
            <w:tcBorders>
              <w:top w:val="single" w:sz="4" w:space="0" w:color="auto"/>
              <w:left w:val="nil"/>
              <w:bottom w:val="single" w:sz="4" w:space="0" w:color="auto"/>
              <w:right w:val="single" w:sz="4" w:space="0" w:color="auto"/>
            </w:tcBorders>
            <w:noWrap/>
            <w:vAlign w:val="bottom"/>
            <w:hideMark/>
          </w:tcPr>
          <w:p w14:paraId="79CB2A3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8.000,00</w:t>
            </w:r>
          </w:p>
        </w:tc>
        <w:tc>
          <w:tcPr>
            <w:tcW w:w="1070" w:type="dxa"/>
            <w:tcBorders>
              <w:top w:val="single" w:sz="4" w:space="0" w:color="auto"/>
              <w:left w:val="nil"/>
              <w:bottom w:val="single" w:sz="4" w:space="0" w:color="auto"/>
              <w:right w:val="single" w:sz="4" w:space="0" w:color="auto"/>
            </w:tcBorders>
            <w:noWrap/>
            <w:vAlign w:val="bottom"/>
            <w:hideMark/>
          </w:tcPr>
          <w:p w14:paraId="021E828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8.000,00</w:t>
            </w:r>
          </w:p>
        </w:tc>
        <w:tc>
          <w:tcPr>
            <w:tcW w:w="1095" w:type="dxa"/>
            <w:tcBorders>
              <w:top w:val="single" w:sz="4" w:space="0" w:color="auto"/>
              <w:left w:val="nil"/>
              <w:bottom w:val="single" w:sz="4" w:space="0" w:color="auto"/>
              <w:right w:val="single" w:sz="4" w:space="0" w:color="auto"/>
            </w:tcBorders>
            <w:noWrap/>
            <w:vAlign w:val="bottom"/>
            <w:hideMark/>
          </w:tcPr>
          <w:p w14:paraId="678332A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2F3B7CA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357C35F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734A36B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Organizacijska klasifikacija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1222164"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07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567A637"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46037E4"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9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A4CF5BD"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2025/2024.           (3/2)</w:t>
            </w:r>
          </w:p>
        </w:tc>
      </w:tr>
      <w:tr w:rsidR="00416D67" w:rsidRPr="00416D67" w14:paraId="482CEB9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792F2A8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Izvori</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21808405"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5A558629"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1E08C4A3"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516C70B7" w14:textId="77777777" w:rsidR="00416D67" w:rsidRPr="00416D67" w:rsidRDefault="00416D67" w:rsidP="00416D67">
            <w:pPr>
              <w:rPr>
                <w:rFonts w:ascii="Arial" w:hAnsi="Arial" w:cs="Arial"/>
                <w:sz w:val="14"/>
                <w:szCs w:val="14"/>
              </w:rPr>
            </w:pPr>
          </w:p>
        </w:tc>
      </w:tr>
      <w:tr w:rsidR="00416D67" w:rsidRPr="00416D67" w14:paraId="453B6A7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000000"/>
            </w:tcBorders>
            <w:shd w:val="clear" w:color="000000" w:fill="D9D9D9"/>
            <w:hideMark/>
          </w:tcPr>
          <w:p w14:paraId="7E576BF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Projekt/Aktivnost</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7AD556E3"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65734E5B"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1391D7B2"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5D0C8AF3" w14:textId="77777777" w:rsidR="00416D67" w:rsidRPr="00416D67" w:rsidRDefault="00416D67" w:rsidP="00416D67">
            <w:pPr>
              <w:rPr>
                <w:rFonts w:ascii="Arial" w:hAnsi="Arial" w:cs="Arial"/>
                <w:sz w:val="14"/>
                <w:szCs w:val="14"/>
              </w:rPr>
            </w:pPr>
          </w:p>
        </w:tc>
      </w:tr>
      <w:tr w:rsidR="00416D67" w:rsidRPr="00416D67" w14:paraId="3ADFFD6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370171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K400002</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4E31DE1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Kapitalni projekt: Potpora Specijalnoj bolnici </w:t>
            </w:r>
            <w:proofErr w:type="spellStart"/>
            <w:r w:rsidRPr="00416D67">
              <w:rPr>
                <w:rFonts w:ascii="Arial" w:hAnsi="Arial" w:cs="Arial"/>
                <w:b/>
                <w:bCs/>
                <w:sz w:val="14"/>
                <w:szCs w:val="14"/>
              </w:rPr>
              <w:t>dr</w:t>
            </w:r>
            <w:proofErr w:type="spellEnd"/>
            <w:r w:rsidRPr="00416D67">
              <w:rPr>
                <w:rFonts w:ascii="Arial" w:hAnsi="Arial" w:cs="Arial"/>
                <w:b/>
                <w:bCs/>
                <w:sz w:val="14"/>
                <w:szCs w:val="14"/>
              </w:rPr>
              <w:t xml:space="preserve"> "Martina Horvat" Rovinj </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A21D5F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3.770,00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2F198A9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3.770,00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1E6AF5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3.766,09</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09E1EA2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99,90%</w:t>
            </w:r>
          </w:p>
        </w:tc>
      </w:tr>
      <w:tr w:rsidR="00416D67" w:rsidRPr="00416D67" w14:paraId="75A0272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E09748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BC9713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3.770,00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A07ECB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3.770,00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D12189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3.766,09</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A46B52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99,90%</w:t>
            </w:r>
          </w:p>
        </w:tc>
      </w:tr>
      <w:tr w:rsidR="00416D67" w:rsidRPr="00416D67" w14:paraId="5D33F5D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C0BE84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FDABA3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3.770,00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527BD2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3.770,00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09173B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3.766,09</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71008F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99,90%</w:t>
            </w:r>
          </w:p>
        </w:tc>
      </w:tr>
      <w:tr w:rsidR="00416D67" w:rsidRPr="00416D67" w14:paraId="2D80018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D6C2A3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36</w:t>
            </w:r>
          </w:p>
        </w:tc>
        <w:tc>
          <w:tcPr>
            <w:tcW w:w="8106" w:type="dxa"/>
            <w:tcBorders>
              <w:top w:val="single" w:sz="4" w:space="0" w:color="auto"/>
              <w:left w:val="nil"/>
              <w:bottom w:val="single" w:sz="4" w:space="0" w:color="auto"/>
              <w:right w:val="single" w:sz="4" w:space="0" w:color="auto"/>
            </w:tcBorders>
            <w:noWrap/>
            <w:vAlign w:val="bottom"/>
            <w:hideMark/>
          </w:tcPr>
          <w:p w14:paraId="299BDD9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Pomoći dane u inozemstvo i unutar općeg proračuna</w:t>
            </w:r>
          </w:p>
        </w:tc>
        <w:tc>
          <w:tcPr>
            <w:tcW w:w="1095" w:type="dxa"/>
            <w:tcBorders>
              <w:top w:val="single" w:sz="4" w:space="0" w:color="auto"/>
              <w:left w:val="nil"/>
              <w:bottom w:val="single" w:sz="4" w:space="0" w:color="auto"/>
              <w:right w:val="single" w:sz="4" w:space="0" w:color="auto"/>
            </w:tcBorders>
            <w:noWrap/>
            <w:vAlign w:val="bottom"/>
            <w:hideMark/>
          </w:tcPr>
          <w:p w14:paraId="5B90B56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3.770,00</w:t>
            </w:r>
          </w:p>
        </w:tc>
        <w:tc>
          <w:tcPr>
            <w:tcW w:w="1070" w:type="dxa"/>
            <w:tcBorders>
              <w:top w:val="single" w:sz="4" w:space="0" w:color="auto"/>
              <w:left w:val="nil"/>
              <w:bottom w:val="single" w:sz="4" w:space="0" w:color="auto"/>
              <w:right w:val="single" w:sz="4" w:space="0" w:color="auto"/>
            </w:tcBorders>
            <w:noWrap/>
            <w:vAlign w:val="bottom"/>
            <w:hideMark/>
          </w:tcPr>
          <w:p w14:paraId="598B4E0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3.770,00</w:t>
            </w:r>
          </w:p>
        </w:tc>
        <w:tc>
          <w:tcPr>
            <w:tcW w:w="1095" w:type="dxa"/>
            <w:tcBorders>
              <w:top w:val="single" w:sz="4" w:space="0" w:color="auto"/>
              <w:left w:val="nil"/>
              <w:bottom w:val="single" w:sz="4" w:space="0" w:color="auto"/>
              <w:right w:val="single" w:sz="4" w:space="0" w:color="auto"/>
            </w:tcBorders>
            <w:noWrap/>
            <w:vAlign w:val="bottom"/>
            <w:hideMark/>
          </w:tcPr>
          <w:p w14:paraId="503D9C8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3.766,09</w:t>
            </w:r>
          </w:p>
        </w:tc>
        <w:tc>
          <w:tcPr>
            <w:tcW w:w="918" w:type="dxa"/>
            <w:tcBorders>
              <w:top w:val="single" w:sz="4" w:space="0" w:color="auto"/>
              <w:left w:val="nil"/>
              <w:bottom w:val="single" w:sz="4" w:space="0" w:color="auto"/>
              <w:right w:val="single" w:sz="4" w:space="0" w:color="auto"/>
            </w:tcBorders>
            <w:noWrap/>
            <w:vAlign w:val="bottom"/>
            <w:hideMark/>
          </w:tcPr>
          <w:p w14:paraId="66AA475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99,90%</w:t>
            </w:r>
          </w:p>
        </w:tc>
      </w:tr>
      <w:tr w:rsidR="00416D67" w:rsidRPr="00416D67" w14:paraId="257316A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2C7EDAA" w14:textId="77777777" w:rsidR="00416D67" w:rsidRPr="00416D67" w:rsidRDefault="00416D67" w:rsidP="00416D67">
            <w:pPr>
              <w:rPr>
                <w:rFonts w:ascii="Arial" w:hAnsi="Arial" w:cs="Arial"/>
                <w:sz w:val="14"/>
                <w:szCs w:val="14"/>
              </w:rPr>
            </w:pPr>
            <w:r w:rsidRPr="00416D67">
              <w:rPr>
                <w:rFonts w:ascii="Arial" w:hAnsi="Arial" w:cs="Arial"/>
                <w:sz w:val="14"/>
                <w:szCs w:val="14"/>
              </w:rPr>
              <w:t>3631</w:t>
            </w:r>
          </w:p>
        </w:tc>
        <w:tc>
          <w:tcPr>
            <w:tcW w:w="8106" w:type="dxa"/>
            <w:tcBorders>
              <w:top w:val="single" w:sz="4" w:space="0" w:color="auto"/>
              <w:left w:val="nil"/>
              <w:bottom w:val="single" w:sz="4" w:space="0" w:color="auto"/>
              <w:right w:val="single" w:sz="4" w:space="0" w:color="auto"/>
            </w:tcBorders>
            <w:noWrap/>
            <w:vAlign w:val="bottom"/>
            <w:hideMark/>
          </w:tcPr>
          <w:p w14:paraId="6AF56720" w14:textId="77777777" w:rsidR="00416D67" w:rsidRPr="00416D67" w:rsidRDefault="00416D67" w:rsidP="00416D67">
            <w:pPr>
              <w:rPr>
                <w:rFonts w:ascii="Arial" w:hAnsi="Arial" w:cs="Arial"/>
                <w:sz w:val="14"/>
                <w:szCs w:val="14"/>
              </w:rPr>
            </w:pPr>
            <w:r w:rsidRPr="00416D67">
              <w:rPr>
                <w:rFonts w:ascii="Arial" w:hAnsi="Arial" w:cs="Arial"/>
                <w:sz w:val="14"/>
                <w:szCs w:val="14"/>
              </w:rPr>
              <w:t>Tekuće pomoći drugom proračunu i izvanproračunskim korisnicima</w:t>
            </w:r>
          </w:p>
        </w:tc>
        <w:tc>
          <w:tcPr>
            <w:tcW w:w="1095" w:type="dxa"/>
            <w:tcBorders>
              <w:top w:val="single" w:sz="4" w:space="0" w:color="auto"/>
              <w:left w:val="nil"/>
              <w:bottom w:val="single" w:sz="4" w:space="0" w:color="auto"/>
              <w:right w:val="single" w:sz="4" w:space="0" w:color="auto"/>
            </w:tcBorders>
            <w:noWrap/>
            <w:vAlign w:val="bottom"/>
            <w:hideMark/>
          </w:tcPr>
          <w:p w14:paraId="638224B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2C6941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72AE3A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3.766,09</w:t>
            </w:r>
          </w:p>
        </w:tc>
        <w:tc>
          <w:tcPr>
            <w:tcW w:w="918" w:type="dxa"/>
            <w:tcBorders>
              <w:top w:val="single" w:sz="4" w:space="0" w:color="auto"/>
              <w:left w:val="nil"/>
              <w:bottom w:val="single" w:sz="4" w:space="0" w:color="auto"/>
              <w:right w:val="single" w:sz="4" w:space="0" w:color="auto"/>
            </w:tcBorders>
            <w:noWrap/>
            <w:vAlign w:val="bottom"/>
            <w:hideMark/>
          </w:tcPr>
          <w:p w14:paraId="736C868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342B68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4B39FF6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3027</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0B09003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Program: Program mjera poticanja razvoja malog i srednjeg poduzetništva</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735A355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25.000,00</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66BD320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25.000,00</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033443A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25.000,00</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0715329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3226E02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1614A8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A100010</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4C75D4E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Aktivnost: Potpora za sufinanciranje nabave opreme, inventara i ulaganja u </w:t>
            </w:r>
            <w:proofErr w:type="spellStart"/>
            <w:r w:rsidRPr="00416D67">
              <w:rPr>
                <w:rFonts w:ascii="Arial" w:hAnsi="Arial" w:cs="Arial"/>
                <w:b/>
                <w:bCs/>
                <w:sz w:val="14"/>
                <w:szCs w:val="14"/>
              </w:rPr>
              <w:t>standade</w:t>
            </w:r>
            <w:proofErr w:type="spellEnd"/>
            <w:r w:rsidRPr="00416D67">
              <w:rPr>
                <w:rFonts w:ascii="Arial" w:hAnsi="Arial" w:cs="Arial"/>
                <w:b/>
                <w:bCs/>
                <w:sz w:val="14"/>
                <w:szCs w:val="14"/>
              </w:rPr>
              <w:t xml:space="preserve"> </w:t>
            </w:r>
            <w:proofErr w:type="spellStart"/>
            <w:r w:rsidRPr="00416D67">
              <w:rPr>
                <w:rFonts w:ascii="Arial" w:hAnsi="Arial" w:cs="Arial"/>
                <w:b/>
                <w:bCs/>
                <w:sz w:val="14"/>
                <w:szCs w:val="14"/>
              </w:rPr>
              <w:t>kvalitet</w:t>
            </w:r>
            <w:proofErr w:type="spellEnd"/>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F752E9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16.500,00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2D88D85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16.500,00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5E0E6C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16.500,00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5003858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6F0D976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8728DB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DB372E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84B13E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348646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16.500,00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B40C68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0A145C8C"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75A97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7F27D9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CC9CBF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4A2E48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16.500,00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824E29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3080405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A2F1D1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35</w:t>
            </w:r>
          </w:p>
        </w:tc>
        <w:tc>
          <w:tcPr>
            <w:tcW w:w="8106" w:type="dxa"/>
            <w:tcBorders>
              <w:top w:val="single" w:sz="4" w:space="0" w:color="auto"/>
              <w:left w:val="nil"/>
              <w:bottom w:val="single" w:sz="4" w:space="0" w:color="auto"/>
              <w:right w:val="single" w:sz="4" w:space="0" w:color="auto"/>
            </w:tcBorders>
            <w:noWrap/>
            <w:vAlign w:val="bottom"/>
            <w:hideMark/>
          </w:tcPr>
          <w:p w14:paraId="0C7C822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Subvencije</w:t>
            </w:r>
          </w:p>
        </w:tc>
        <w:tc>
          <w:tcPr>
            <w:tcW w:w="1095" w:type="dxa"/>
            <w:tcBorders>
              <w:top w:val="single" w:sz="4" w:space="0" w:color="auto"/>
              <w:left w:val="nil"/>
              <w:bottom w:val="single" w:sz="4" w:space="0" w:color="auto"/>
              <w:right w:val="single" w:sz="4" w:space="0" w:color="auto"/>
            </w:tcBorders>
            <w:noWrap/>
            <w:vAlign w:val="bottom"/>
            <w:hideMark/>
          </w:tcPr>
          <w:p w14:paraId="1F99065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16.500,00</w:t>
            </w:r>
          </w:p>
        </w:tc>
        <w:tc>
          <w:tcPr>
            <w:tcW w:w="1070" w:type="dxa"/>
            <w:tcBorders>
              <w:top w:val="single" w:sz="4" w:space="0" w:color="auto"/>
              <w:left w:val="nil"/>
              <w:bottom w:val="single" w:sz="4" w:space="0" w:color="auto"/>
              <w:right w:val="single" w:sz="4" w:space="0" w:color="auto"/>
            </w:tcBorders>
            <w:noWrap/>
            <w:vAlign w:val="bottom"/>
            <w:hideMark/>
          </w:tcPr>
          <w:p w14:paraId="4C9586C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16.500,00</w:t>
            </w:r>
          </w:p>
        </w:tc>
        <w:tc>
          <w:tcPr>
            <w:tcW w:w="1095" w:type="dxa"/>
            <w:tcBorders>
              <w:top w:val="single" w:sz="4" w:space="0" w:color="auto"/>
              <w:left w:val="nil"/>
              <w:bottom w:val="single" w:sz="4" w:space="0" w:color="auto"/>
              <w:right w:val="single" w:sz="4" w:space="0" w:color="auto"/>
            </w:tcBorders>
            <w:noWrap/>
            <w:vAlign w:val="bottom"/>
            <w:hideMark/>
          </w:tcPr>
          <w:p w14:paraId="1F60899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16.500,00</w:t>
            </w:r>
          </w:p>
        </w:tc>
        <w:tc>
          <w:tcPr>
            <w:tcW w:w="918" w:type="dxa"/>
            <w:tcBorders>
              <w:top w:val="single" w:sz="4" w:space="0" w:color="auto"/>
              <w:left w:val="nil"/>
              <w:bottom w:val="single" w:sz="4" w:space="0" w:color="auto"/>
              <w:right w:val="single" w:sz="4" w:space="0" w:color="auto"/>
            </w:tcBorders>
            <w:noWrap/>
            <w:vAlign w:val="bottom"/>
            <w:hideMark/>
          </w:tcPr>
          <w:p w14:paraId="558A2A2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6E6D706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331DE9E" w14:textId="77777777" w:rsidR="00416D67" w:rsidRPr="00416D67" w:rsidRDefault="00416D67" w:rsidP="00416D67">
            <w:pPr>
              <w:rPr>
                <w:rFonts w:ascii="Arial" w:hAnsi="Arial" w:cs="Arial"/>
                <w:sz w:val="14"/>
                <w:szCs w:val="14"/>
              </w:rPr>
            </w:pPr>
            <w:r w:rsidRPr="00416D67">
              <w:rPr>
                <w:rFonts w:ascii="Arial" w:hAnsi="Arial" w:cs="Arial"/>
                <w:sz w:val="14"/>
                <w:szCs w:val="14"/>
              </w:rPr>
              <w:t>3522</w:t>
            </w:r>
          </w:p>
        </w:tc>
        <w:tc>
          <w:tcPr>
            <w:tcW w:w="8106" w:type="dxa"/>
            <w:tcBorders>
              <w:top w:val="single" w:sz="4" w:space="0" w:color="auto"/>
              <w:left w:val="nil"/>
              <w:bottom w:val="single" w:sz="4" w:space="0" w:color="auto"/>
              <w:right w:val="single" w:sz="4" w:space="0" w:color="auto"/>
            </w:tcBorders>
            <w:noWrap/>
            <w:vAlign w:val="bottom"/>
            <w:hideMark/>
          </w:tcPr>
          <w:p w14:paraId="6B361B07" w14:textId="77777777" w:rsidR="00416D67" w:rsidRPr="00416D67" w:rsidRDefault="00416D67" w:rsidP="00416D67">
            <w:pPr>
              <w:rPr>
                <w:rFonts w:ascii="Arial" w:hAnsi="Arial" w:cs="Arial"/>
                <w:sz w:val="14"/>
                <w:szCs w:val="14"/>
              </w:rPr>
            </w:pPr>
            <w:r w:rsidRPr="00416D67">
              <w:rPr>
                <w:rFonts w:ascii="Arial" w:hAnsi="Arial" w:cs="Arial"/>
                <w:sz w:val="14"/>
                <w:szCs w:val="14"/>
              </w:rPr>
              <w:t>Subvencije trgovačkim društvima i zadrugama izvan javnog sektora</w:t>
            </w:r>
          </w:p>
        </w:tc>
        <w:tc>
          <w:tcPr>
            <w:tcW w:w="1095" w:type="dxa"/>
            <w:tcBorders>
              <w:top w:val="single" w:sz="4" w:space="0" w:color="auto"/>
              <w:left w:val="nil"/>
              <w:bottom w:val="single" w:sz="4" w:space="0" w:color="auto"/>
              <w:right w:val="single" w:sz="4" w:space="0" w:color="auto"/>
            </w:tcBorders>
            <w:noWrap/>
            <w:vAlign w:val="bottom"/>
            <w:hideMark/>
          </w:tcPr>
          <w:p w14:paraId="15B7CE4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770976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56D846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8.700,00</w:t>
            </w:r>
          </w:p>
        </w:tc>
        <w:tc>
          <w:tcPr>
            <w:tcW w:w="918" w:type="dxa"/>
            <w:tcBorders>
              <w:top w:val="single" w:sz="4" w:space="0" w:color="auto"/>
              <w:left w:val="nil"/>
              <w:bottom w:val="single" w:sz="4" w:space="0" w:color="auto"/>
              <w:right w:val="single" w:sz="4" w:space="0" w:color="auto"/>
            </w:tcBorders>
            <w:noWrap/>
            <w:vAlign w:val="bottom"/>
            <w:hideMark/>
          </w:tcPr>
          <w:p w14:paraId="157CC3B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9DF192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77E7509" w14:textId="77777777" w:rsidR="00416D67" w:rsidRPr="00416D67" w:rsidRDefault="00416D67" w:rsidP="00416D67">
            <w:pPr>
              <w:rPr>
                <w:rFonts w:ascii="Arial" w:hAnsi="Arial" w:cs="Arial"/>
                <w:sz w:val="14"/>
                <w:szCs w:val="14"/>
              </w:rPr>
            </w:pPr>
            <w:r w:rsidRPr="00416D67">
              <w:rPr>
                <w:rFonts w:ascii="Arial" w:hAnsi="Arial" w:cs="Arial"/>
                <w:sz w:val="14"/>
                <w:szCs w:val="14"/>
              </w:rPr>
              <w:t>3523</w:t>
            </w:r>
          </w:p>
        </w:tc>
        <w:tc>
          <w:tcPr>
            <w:tcW w:w="8106" w:type="dxa"/>
            <w:tcBorders>
              <w:top w:val="single" w:sz="4" w:space="0" w:color="auto"/>
              <w:left w:val="nil"/>
              <w:bottom w:val="single" w:sz="4" w:space="0" w:color="auto"/>
              <w:right w:val="single" w:sz="4" w:space="0" w:color="auto"/>
            </w:tcBorders>
            <w:noWrap/>
            <w:vAlign w:val="bottom"/>
            <w:hideMark/>
          </w:tcPr>
          <w:p w14:paraId="495CD514" w14:textId="77777777" w:rsidR="00416D67" w:rsidRPr="00416D67" w:rsidRDefault="00416D67" w:rsidP="00416D67">
            <w:pPr>
              <w:rPr>
                <w:rFonts w:ascii="Arial" w:hAnsi="Arial" w:cs="Arial"/>
                <w:sz w:val="14"/>
                <w:szCs w:val="14"/>
              </w:rPr>
            </w:pPr>
            <w:r w:rsidRPr="00416D67">
              <w:rPr>
                <w:rFonts w:ascii="Arial" w:hAnsi="Arial" w:cs="Arial"/>
                <w:sz w:val="14"/>
                <w:szCs w:val="14"/>
              </w:rPr>
              <w:t>Subvencije poljoprivrednicima i obrtnicima</w:t>
            </w:r>
          </w:p>
        </w:tc>
        <w:tc>
          <w:tcPr>
            <w:tcW w:w="1095" w:type="dxa"/>
            <w:tcBorders>
              <w:top w:val="single" w:sz="4" w:space="0" w:color="auto"/>
              <w:left w:val="nil"/>
              <w:bottom w:val="single" w:sz="4" w:space="0" w:color="auto"/>
              <w:right w:val="single" w:sz="4" w:space="0" w:color="auto"/>
            </w:tcBorders>
            <w:noWrap/>
            <w:vAlign w:val="bottom"/>
            <w:hideMark/>
          </w:tcPr>
          <w:p w14:paraId="09672F0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683829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E36E34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7.800,00</w:t>
            </w:r>
          </w:p>
        </w:tc>
        <w:tc>
          <w:tcPr>
            <w:tcW w:w="918" w:type="dxa"/>
            <w:tcBorders>
              <w:top w:val="single" w:sz="4" w:space="0" w:color="auto"/>
              <w:left w:val="nil"/>
              <w:bottom w:val="single" w:sz="4" w:space="0" w:color="auto"/>
              <w:right w:val="single" w:sz="4" w:space="0" w:color="auto"/>
            </w:tcBorders>
            <w:noWrap/>
            <w:vAlign w:val="bottom"/>
            <w:hideMark/>
          </w:tcPr>
          <w:p w14:paraId="6AB9181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83383B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ED3E5D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A100011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02258E0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Potpore za sufinanciranje nastupa poduzetnika na sajmovima, izložbama te izradu promotivnih materija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5C64E0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53AB3D5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B5C9C8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5.500,00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5AECC44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5B224C2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B517AE4"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FE4747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A55BC6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629589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5.500,00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B377F7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3B33E79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DCF5B8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6F796E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364C04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B30817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5.500,00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EE4664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5A4CFF0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149529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35</w:t>
            </w:r>
          </w:p>
        </w:tc>
        <w:tc>
          <w:tcPr>
            <w:tcW w:w="8106" w:type="dxa"/>
            <w:tcBorders>
              <w:top w:val="single" w:sz="4" w:space="0" w:color="auto"/>
              <w:left w:val="nil"/>
              <w:bottom w:val="single" w:sz="4" w:space="0" w:color="auto"/>
              <w:right w:val="single" w:sz="4" w:space="0" w:color="auto"/>
            </w:tcBorders>
            <w:noWrap/>
            <w:vAlign w:val="bottom"/>
            <w:hideMark/>
          </w:tcPr>
          <w:p w14:paraId="04F3566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Subvencije</w:t>
            </w:r>
          </w:p>
        </w:tc>
        <w:tc>
          <w:tcPr>
            <w:tcW w:w="1095" w:type="dxa"/>
            <w:tcBorders>
              <w:top w:val="single" w:sz="4" w:space="0" w:color="auto"/>
              <w:left w:val="nil"/>
              <w:bottom w:val="single" w:sz="4" w:space="0" w:color="auto"/>
              <w:right w:val="single" w:sz="4" w:space="0" w:color="auto"/>
            </w:tcBorders>
            <w:noWrap/>
            <w:vAlign w:val="bottom"/>
            <w:hideMark/>
          </w:tcPr>
          <w:p w14:paraId="0646B9E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5.500,00</w:t>
            </w:r>
          </w:p>
        </w:tc>
        <w:tc>
          <w:tcPr>
            <w:tcW w:w="1070" w:type="dxa"/>
            <w:tcBorders>
              <w:top w:val="single" w:sz="4" w:space="0" w:color="auto"/>
              <w:left w:val="nil"/>
              <w:bottom w:val="single" w:sz="4" w:space="0" w:color="auto"/>
              <w:right w:val="single" w:sz="4" w:space="0" w:color="auto"/>
            </w:tcBorders>
            <w:noWrap/>
            <w:vAlign w:val="bottom"/>
            <w:hideMark/>
          </w:tcPr>
          <w:p w14:paraId="6256E93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5.500,00</w:t>
            </w:r>
          </w:p>
        </w:tc>
        <w:tc>
          <w:tcPr>
            <w:tcW w:w="1095" w:type="dxa"/>
            <w:tcBorders>
              <w:top w:val="single" w:sz="4" w:space="0" w:color="auto"/>
              <w:left w:val="nil"/>
              <w:bottom w:val="single" w:sz="4" w:space="0" w:color="auto"/>
              <w:right w:val="single" w:sz="4" w:space="0" w:color="auto"/>
            </w:tcBorders>
            <w:noWrap/>
            <w:vAlign w:val="bottom"/>
            <w:hideMark/>
          </w:tcPr>
          <w:p w14:paraId="3B3E17C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5.500,00</w:t>
            </w:r>
          </w:p>
        </w:tc>
        <w:tc>
          <w:tcPr>
            <w:tcW w:w="918" w:type="dxa"/>
            <w:tcBorders>
              <w:top w:val="single" w:sz="4" w:space="0" w:color="auto"/>
              <w:left w:val="nil"/>
              <w:bottom w:val="single" w:sz="4" w:space="0" w:color="auto"/>
              <w:right w:val="single" w:sz="4" w:space="0" w:color="auto"/>
            </w:tcBorders>
            <w:noWrap/>
            <w:vAlign w:val="bottom"/>
            <w:hideMark/>
          </w:tcPr>
          <w:p w14:paraId="582338F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4C39E05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6E051DC" w14:textId="77777777" w:rsidR="00416D67" w:rsidRPr="00416D67" w:rsidRDefault="00416D67" w:rsidP="00416D67">
            <w:pPr>
              <w:rPr>
                <w:rFonts w:ascii="Arial" w:hAnsi="Arial" w:cs="Arial"/>
                <w:sz w:val="14"/>
                <w:szCs w:val="14"/>
              </w:rPr>
            </w:pPr>
            <w:r w:rsidRPr="00416D67">
              <w:rPr>
                <w:rFonts w:ascii="Arial" w:hAnsi="Arial" w:cs="Arial"/>
                <w:sz w:val="14"/>
                <w:szCs w:val="14"/>
              </w:rPr>
              <w:t>3522</w:t>
            </w:r>
          </w:p>
        </w:tc>
        <w:tc>
          <w:tcPr>
            <w:tcW w:w="8106" w:type="dxa"/>
            <w:tcBorders>
              <w:top w:val="single" w:sz="4" w:space="0" w:color="auto"/>
              <w:left w:val="nil"/>
              <w:bottom w:val="single" w:sz="4" w:space="0" w:color="auto"/>
              <w:right w:val="single" w:sz="4" w:space="0" w:color="auto"/>
            </w:tcBorders>
            <w:noWrap/>
            <w:vAlign w:val="bottom"/>
            <w:hideMark/>
          </w:tcPr>
          <w:p w14:paraId="76B1461A" w14:textId="77777777" w:rsidR="00416D67" w:rsidRPr="00416D67" w:rsidRDefault="00416D67" w:rsidP="00416D67">
            <w:pPr>
              <w:rPr>
                <w:rFonts w:ascii="Arial" w:hAnsi="Arial" w:cs="Arial"/>
                <w:sz w:val="14"/>
                <w:szCs w:val="14"/>
              </w:rPr>
            </w:pPr>
            <w:r w:rsidRPr="00416D67">
              <w:rPr>
                <w:rFonts w:ascii="Arial" w:hAnsi="Arial" w:cs="Arial"/>
                <w:sz w:val="14"/>
                <w:szCs w:val="14"/>
              </w:rPr>
              <w:t>Subvencije trgovačkim društvima i zadrugama izvan javnog sektora</w:t>
            </w:r>
          </w:p>
        </w:tc>
        <w:tc>
          <w:tcPr>
            <w:tcW w:w="1095" w:type="dxa"/>
            <w:tcBorders>
              <w:top w:val="single" w:sz="4" w:space="0" w:color="auto"/>
              <w:left w:val="nil"/>
              <w:bottom w:val="single" w:sz="4" w:space="0" w:color="auto"/>
              <w:right w:val="single" w:sz="4" w:space="0" w:color="auto"/>
            </w:tcBorders>
            <w:noWrap/>
            <w:vAlign w:val="bottom"/>
            <w:hideMark/>
          </w:tcPr>
          <w:p w14:paraId="09DB43D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BC6544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29B814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4.030,00</w:t>
            </w:r>
          </w:p>
        </w:tc>
        <w:tc>
          <w:tcPr>
            <w:tcW w:w="918" w:type="dxa"/>
            <w:tcBorders>
              <w:top w:val="single" w:sz="4" w:space="0" w:color="auto"/>
              <w:left w:val="nil"/>
              <w:bottom w:val="single" w:sz="4" w:space="0" w:color="auto"/>
              <w:right w:val="single" w:sz="4" w:space="0" w:color="auto"/>
            </w:tcBorders>
            <w:noWrap/>
            <w:vAlign w:val="bottom"/>
            <w:hideMark/>
          </w:tcPr>
          <w:p w14:paraId="62BB730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0F6168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361286C" w14:textId="77777777" w:rsidR="00416D67" w:rsidRPr="00416D67" w:rsidRDefault="00416D67" w:rsidP="00416D67">
            <w:pPr>
              <w:rPr>
                <w:rFonts w:ascii="Arial" w:hAnsi="Arial" w:cs="Arial"/>
                <w:sz w:val="14"/>
                <w:szCs w:val="14"/>
              </w:rPr>
            </w:pPr>
            <w:r w:rsidRPr="00416D67">
              <w:rPr>
                <w:rFonts w:ascii="Arial" w:hAnsi="Arial" w:cs="Arial"/>
                <w:sz w:val="14"/>
                <w:szCs w:val="14"/>
              </w:rPr>
              <w:t>3523</w:t>
            </w:r>
          </w:p>
        </w:tc>
        <w:tc>
          <w:tcPr>
            <w:tcW w:w="8106" w:type="dxa"/>
            <w:tcBorders>
              <w:top w:val="single" w:sz="4" w:space="0" w:color="auto"/>
              <w:left w:val="nil"/>
              <w:bottom w:val="single" w:sz="4" w:space="0" w:color="auto"/>
              <w:right w:val="single" w:sz="4" w:space="0" w:color="auto"/>
            </w:tcBorders>
            <w:noWrap/>
            <w:vAlign w:val="bottom"/>
            <w:hideMark/>
          </w:tcPr>
          <w:p w14:paraId="2158B2DE" w14:textId="77777777" w:rsidR="00416D67" w:rsidRPr="00416D67" w:rsidRDefault="00416D67" w:rsidP="00416D67">
            <w:pPr>
              <w:rPr>
                <w:rFonts w:ascii="Arial" w:hAnsi="Arial" w:cs="Arial"/>
                <w:sz w:val="14"/>
                <w:szCs w:val="14"/>
              </w:rPr>
            </w:pPr>
            <w:r w:rsidRPr="00416D67">
              <w:rPr>
                <w:rFonts w:ascii="Arial" w:hAnsi="Arial" w:cs="Arial"/>
                <w:sz w:val="14"/>
                <w:szCs w:val="14"/>
              </w:rPr>
              <w:t>Subvencije poljoprivrednicima i obrtnicima</w:t>
            </w:r>
          </w:p>
        </w:tc>
        <w:tc>
          <w:tcPr>
            <w:tcW w:w="1095" w:type="dxa"/>
            <w:tcBorders>
              <w:top w:val="single" w:sz="4" w:space="0" w:color="auto"/>
              <w:left w:val="nil"/>
              <w:bottom w:val="single" w:sz="4" w:space="0" w:color="auto"/>
              <w:right w:val="single" w:sz="4" w:space="0" w:color="auto"/>
            </w:tcBorders>
            <w:noWrap/>
            <w:vAlign w:val="bottom"/>
            <w:hideMark/>
          </w:tcPr>
          <w:p w14:paraId="62D2BD3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9B3087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459346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1.470,00</w:t>
            </w:r>
          </w:p>
        </w:tc>
        <w:tc>
          <w:tcPr>
            <w:tcW w:w="918" w:type="dxa"/>
            <w:tcBorders>
              <w:top w:val="single" w:sz="4" w:space="0" w:color="auto"/>
              <w:left w:val="nil"/>
              <w:bottom w:val="single" w:sz="4" w:space="0" w:color="auto"/>
              <w:right w:val="single" w:sz="4" w:space="0" w:color="auto"/>
            </w:tcBorders>
            <w:noWrap/>
            <w:vAlign w:val="bottom"/>
            <w:hideMark/>
          </w:tcPr>
          <w:p w14:paraId="1D3CCFA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18178C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BCBE88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lastRenderedPageBreak/>
              <w:t>A100012</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18A3691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Subvencioniranje kamata na poduzetničke kredite</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002809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0B0C5C1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436283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5CB1867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3382D7FC"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F022394"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01BF01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AD53CB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186834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0673C5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7F7187A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DA49F9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F8C7A6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B3FB4B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60432B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A1B2BF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0D2A10F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16D05A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35</w:t>
            </w:r>
          </w:p>
        </w:tc>
        <w:tc>
          <w:tcPr>
            <w:tcW w:w="8106" w:type="dxa"/>
            <w:tcBorders>
              <w:top w:val="single" w:sz="4" w:space="0" w:color="auto"/>
              <w:left w:val="nil"/>
              <w:bottom w:val="single" w:sz="4" w:space="0" w:color="auto"/>
              <w:right w:val="single" w:sz="4" w:space="0" w:color="auto"/>
            </w:tcBorders>
            <w:noWrap/>
            <w:vAlign w:val="bottom"/>
            <w:hideMark/>
          </w:tcPr>
          <w:p w14:paraId="0E7DB8C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Subvencije</w:t>
            </w:r>
          </w:p>
        </w:tc>
        <w:tc>
          <w:tcPr>
            <w:tcW w:w="1095" w:type="dxa"/>
            <w:tcBorders>
              <w:top w:val="single" w:sz="4" w:space="0" w:color="auto"/>
              <w:left w:val="nil"/>
              <w:bottom w:val="single" w:sz="4" w:space="0" w:color="auto"/>
              <w:right w:val="single" w:sz="4" w:space="0" w:color="auto"/>
            </w:tcBorders>
            <w:noWrap/>
            <w:vAlign w:val="bottom"/>
            <w:hideMark/>
          </w:tcPr>
          <w:p w14:paraId="0825474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3.000,00</w:t>
            </w:r>
          </w:p>
        </w:tc>
        <w:tc>
          <w:tcPr>
            <w:tcW w:w="1070" w:type="dxa"/>
            <w:tcBorders>
              <w:top w:val="single" w:sz="4" w:space="0" w:color="auto"/>
              <w:left w:val="nil"/>
              <w:bottom w:val="single" w:sz="4" w:space="0" w:color="auto"/>
              <w:right w:val="single" w:sz="4" w:space="0" w:color="auto"/>
            </w:tcBorders>
            <w:noWrap/>
            <w:vAlign w:val="bottom"/>
            <w:hideMark/>
          </w:tcPr>
          <w:p w14:paraId="192BA0F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3.000,00</w:t>
            </w:r>
          </w:p>
        </w:tc>
        <w:tc>
          <w:tcPr>
            <w:tcW w:w="1095" w:type="dxa"/>
            <w:tcBorders>
              <w:top w:val="single" w:sz="4" w:space="0" w:color="auto"/>
              <w:left w:val="nil"/>
              <w:bottom w:val="single" w:sz="4" w:space="0" w:color="auto"/>
              <w:right w:val="single" w:sz="4" w:space="0" w:color="auto"/>
            </w:tcBorders>
            <w:noWrap/>
            <w:vAlign w:val="bottom"/>
            <w:hideMark/>
          </w:tcPr>
          <w:p w14:paraId="39CA21F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3.000,00</w:t>
            </w:r>
          </w:p>
        </w:tc>
        <w:tc>
          <w:tcPr>
            <w:tcW w:w="918" w:type="dxa"/>
            <w:tcBorders>
              <w:top w:val="single" w:sz="4" w:space="0" w:color="auto"/>
              <w:left w:val="nil"/>
              <w:bottom w:val="single" w:sz="4" w:space="0" w:color="auto"/>
              <w:right w:val="single" w:sz="4" w:space="0" w:color="auto"/>
            </w:tcBorders>
            <w:noWrap/>
            <w:vAlign w:val="bottom"/>
            <w:hideMark/>
          </w:tcPr>
          <w:p w14:paraId="1A8576C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5097935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1D9FD25" w14:textId="77777777" w:rsidR="00416D67" w:rsidRPr="00416D67" w:rsidRDefault="00416D67" w:rsidP="00416D67">
            <w:pPr>
              <w:rPr>
                <w:rFonts w:ascii="Arial" w:hAnsi="Arial" w:cs="Arial"/>
                <w:sz w:val="14"/>
                <w:szCs w:val="14"/>
              </w:rPr>
            </w:pPr>
            <w:r w:rsidRPr="00416D67">
              <w:rPr>
                <w:rFonts w:ascii="Arial" w:hAnsi="Arial" w:cs="Arial"/>
                <w:sz w:val="14"/>
                <w:szCs w:val="14"/>
              </w:rPr>
              <w:t>3522</w:t>
            </w:r>
          </w:p>
        </w:tc>
        <w:tc>
          <w:tcPr>
            <w:tcW w:w="8106" w:type="dxa"/>
            <w:tcBorders>
              <w:top w:val="single" w:sz="4" w:space="0" w:color="auto"/>
              <w:left w:val="nil"/>
              <w:bottom w:val="single" w:sz="4" w:space="0" w:color="auto"/>
              <w:right w:val="single" w:sz="4" w:space="0" w:color="auto"/>
            </w:tcBorders>
            <w:noWrap/>
            <w:vAlign w:val="bottom"/>
            <w:hideMark/>
          </w:tcPr>
          <w:p w14:paraId="42D1425E" w14:textId="77777777" w:rsidR="00416D67" w:rsidRPr="00416D67" w:rsidRDefault="00416D67" w:rsidP="00416D67">
            <w:pPr>
              <w:rPr>
                <w:rFonts w:ascii="Arial" w:hAnsi="Arial" w:cs="Arial"/>
                <w:sz w:val="14"/>
                <w:szCs w:val="14"/>
              </w:rPr>
            </w:pPr>
            <w:r w:rsidRPr="00416D67">
              <w:rPr>
                <w:rFonts w:ascii="Arial" w:hAnsi="Arial" w:cs="Arial"/>
                <w:sz w:val="14"/>
                <w:szCs w:val="14"/>
              </w:rPr>
              <w:t>Subvencije trgovačkim društvima i zadrugama izvan javnog sektora</w:t>
            </w:r>
          </w:p>
        </w:tc>
        <w:tc>
          <w:tcPr>
            <w:tcW w:w="1095" w:type="dxa"/>
            <w:tcBorders>
              <w:top w:val="single" w:sz="4" w:space="0" w:color="auto"/>
              <w:left w:val="nil"/>
              <w:bottom w:val="single" w:sz="4" w:space="0" w:color="auto"/>
              <w:right w:val="single" w:sz="4" w:space="0" w:color="auto"/>
            </w:tcBorders>
            <w:noWrap/>
            <w:vAlign w:val="bottom"/>
            <w:hideMark/>
          </w:tcPr>
          <w:p w14:paraId="70EBE66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24F266C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25E32E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2.500,00</w:t>
            </w:r>
          </w:p>
        </w:tc>
        <w:tc>
          <w:tcPr>
            <w:tcW w:w="918" w:type="dxa"/>
            <w:tcBorders>
              <w:top w:val="single" w:sz="4" w:space="0" w:color="auto"/>
              <w:left w:val="nil"/>
              <w:bottom w:val="single" w:sz="4" w:space="0" w:color="auto"/>
              <w:right w:val="single" w:sz="4" w:space="0" w:color="auto"/>
            </w:tcBorders>
            <w:noWrap/>
            <w:vAlign w:val="bottom"/>
            <w:hideMark/>
          </w:tcPr>
          <w:p w14:paraId="72D42B8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D4A651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1FB8C20" w14:textId="77777777" w:rsidR="00416D67" w:rsidRPr="00416D67" w:rsidRDefault="00416D67" w:rsidP="00416D67">
            <w:pPr>
              <w:rPr>
                <w:rFonts w:ascii="Arial" w:hAnsi="Arial" w:cs="Arial"/>
                <w:sz w:val="14"/>
                <w:szCs w:val="14"/>
              </w:rPr>
            </w:pPr>
            <w:r w:rsidRPr="00416D67">
              <w:rPr>
                <w:rFonts w:ascii="Arial" w:hAnsi="Arial" w:cs="Arial"/>
                <w:sz w:val="14"/>
                <w:szCs w:val="14"/>
              </w:rPr>
              <w:t>3523</w:t>
            </w:r>
          </w:p>
        </w:tc>
        <w:tc>
          <w:tcPr>
            <w:tcW w:w="8106" w:type="dxa"/>
            <w:tcBorders>
              <w:top w:val="single" w:sz="4" w:space="0" w:color="auto"/>
              <w:left w:val="nil"/>
              <w:bottom w:val="single" w:sz="4" w:space="0" w:color="auto"/>
              <w:right w:val="single" w:sz="4" w:space="0" w:color="auto"/>
            </w:tcBorders>
            <w:noWrap/>
            <w:vAlign w:val="bottom"/>
            <w:hideMark/>
          </w:tcPr>
          <w:p w14:paraId="0A3B9194" w14:textId="77777777" w:rsidR="00416D67" w:rsidRPr="00416D67" w:rsidRDefault="00416D67" w:rsidP="00416D67">
            <w:pPr>
              <w:rPr>
                <w:rFonts w:ascii="Arial" w:hAnsi="Arial" w:cs="Arial"/>
                <w:sz w:val="14"/>
                <w:szCs w:val="14"/>
              </w:rPr>
            </w:pPr>
            <w:r w:rsidRPr="00416D67">
              <w:rPr>
                <w:rFonts w:ascii="Arial" w:hAnsi="Arial" w:cs="Arial"/>
                <w:sz w:val="14"/>
                <w:szCs w:val="14"/>
              </w:rPr>
              <w:t>Subvencije poljoprivrednicima i obrtnicima</w:t>
            </w:r>
          </w:p>
        </w:tc>
        <w:tc>
          <w:tcPr>
            <w:tcW w:w="1095" w:type="dxa"/>
            <w:tcBorders>
              <w:top w:val="single" w:sz="4" w:space="0" w:color="auto"/>
              <w:left w:val="nil"/>
              <w:bottom w:val="single" w:sz="4" w:space="0" w:color="auto"/>
              <w:right w:val="single" w:sz="4" w:space="0" w:color="auto"/>
            </w:tcBorders>
            <w:noWrap/>
            <w:vAlign w:val="bottom"/>
            <w:hideMark/>
          </w:tcPr>
          <w:p w14:paraId="2A4C881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50DFCC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4A8168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500,00</w:t>
            </w:r>
          </w:p>
        </w:tc>
        <w:tc>
          <w:tcPr>
            <w:tcW w:w="918" w:type="dxa"/>
            <w:tcBorders>
              <w:top w:val="single" w:sz="4" w:space="0" w:color="auto"/>
              <w:left w:val="nil"/>
              <w:bottom w:val="single" w:sz="4" w:space="0" w:color="auto"/>
              <w:right w:val="single" w:sz="4" w:space="0" w:color="auto"/>
            </w:tcBorders>
            <w:noWrap/>
            <w:vAlign w:val="bottom"/>
            <w:hideMark/>
          </w:tcPr>
          <w:p w14:paraId="0F74C23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1873B7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7A13BE1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3028</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626FBFA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Program: Potpore župnim uredima</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741796D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41.600,00</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4803CDD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41.600,00</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54FD840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38.706,50</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1CBE09B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93,04%</w:t>
            </w:r>
          </w:p>
        </w:tc>
      </w:tr>
      <w:tr w:rsidR="00416D67" w:rsidRPr="00416D67" w14:paraId="2CF4844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C00645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36158AD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Tekuće potpore župnim uredima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37B0C2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528D1B2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A57F7B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1.600,00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6BC62E8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62D2B96C"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8291E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B23E7B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B7C418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8EB864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E8C2E2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33D3955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92053C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83BCB1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8EA451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E6924D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2B77A1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707C80F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715851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6F9FDD0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62EF6AA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1.600,00</w:t>
            </w:r>
          </w:p>
        </w:tc>
        <w:tc>
          <w:tcPr>
            <w:tcW w:w="1070" w:type="dxa"/>
            <w:tcBorders>
              <w:top w:val="single" w:sz="4" w:space="0" w:color="auto"/>
              <w:left w:val="nil"/>
              <w:bottom w:val="single" w:sz="4" w:space="0" w:color="auto"/>
              <w:right w:val="single" w:sz="4" w:space="0" w:color="auto"/>
            </w:tcBorders>
            <w:noWrap/>
            <w:vAlign w:val="bottom"/>
            <w:hideMark/>
          </w:tcPr>
          <w:p w14:paraId="15DB4E2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1.600,00</w:t>
            </w:r>
          </w:p>
        </w:tc>
        <w:tc>
          <w:tcPr>
            <w:tcW w:w="1095" w:type="dxa"/>
            <w:tcBorders>
              <w:top w:val="single" w:sz="4" w:space="0" w:color="auto"/>
              <w:left w:val="nil"/>
              <w:bottom w:val="single" w:sz="4" w:space="0" w:color="auto"/>
              <w:right w:val="single" w:sz="4" w:space="0" w:color="auto"/>
            </w:tcBorders>
            <w:noWrap/>
            <w:vAlign w:val="bottom"/>
            <w:hideMark/>
          </w:tcPr>
          <w:p w14:paraId="19510A1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1.600,00</w:t>
            </w:r>
          </w:p>
        </w:tc>
        <w:tc>
          <w:tcPr>
            <w:tcW w:w="918" w:type="dxa"/>
            <w:tcBorders>
              <w:top w:val="single" w:sz="4" w:space="0" w:color="auto"/>
              <w:left w:val="nil"/>
              <w:bottom w:val="single" w:sz="4" w:space="0" w:color="auto"/>
              <w:right w:val="single" w:sz="4" w:space="0" w:color="auto"/>
            </w:tcBorders>
            <w:noWrap/>
            <w:vAlign w:val="bottom"/>
            <w:hideMark/>
          </w:tcPr>
          <w:p w14:paraId="54FC5CA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25C8A0C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36D3476" w14:textId="77777777" w:rsidR="00416D67" w:rsidRPr="00416D67" w:rsidRDefault="00416D67" w:rsidP="00416D67">
            <w:pPr>
              <w:rPr>
                <w:rFonts w:ascii="Arial" w:hAnsi="Arial" w:cs="Arial"/>
                <w:sz w:val="14"/>
                <w:szCs w:val="14"/>
              </w:rPr>
            </w:pPr>
            <w:r w:rsidRPr="00416D67">
              <w:rPr>
                <w:rFonts w:ascii="Arial" w:hAnsi="Arial" w:cs="Arial"/>
                <w:sz w:val="14"/>
                <w:szCs w:val="14"/>
              </w:rPr>
              <w:t>3811</w:t>
            </w:r>
          </w:p>
        </w:tc>
        <w:tc>
          <w:tcPr>
            <w:tcW w:w="8106" w:type="dxa"/>
            <w:tcBorders>
              <w:top w:val="single" w:sz="4" w:space="0" w:color="auto"/>
              <w:left w:val="nil"/>
              <w:bottom w:val="single" w:sz="4" w:space="0" w:color="auto"/>
              <w:right w:val="single" w:sz="4" w:space="0" w:color="auto"/>
            </w:tcBorders>
            <w:noWrap/>
            <w:vAlign w:val="bottom"/>
            <w:hideMark/>
          </w:tcPr>
          <w:p w14:paraId="3F8288E1" w14:textId="77777777" w:rsidR="00416D67" w:rsidRPr="00416D67" w:rsidRDefault="00416D67" w:rsidP="00416D67">
            <w:pPr>
              <w:rPr>
                <w:rFonts w:ascii="Arial" w:hAnsi="Arial" w:cs="Arial"/>
                <w:sz w:val="14"/>
                <w:szCs w:val="14"/>
              </w:rPr>
            </w:pPr>
            <w:r w:rsidRPr="00416D67">
              <w:rPr>
                <w:rFonts w:ascii="Arial" w:hAnsi="Arial" w:cs="Arial"/>
                <w:sz w:val="14"/>
                <w:szCs w:val="14"/>
              </w:rPr>
              <w:t>Tekuće donacije u novcu</w:t>
            </w:r>
          </w:p>
        </w:tc>
        <w:tc>
          <w:tcPr>
            <w:tcW w:w="1095" w:type="dxa"/>
            <w:tcBorders>
              <w:top w:val="single" w:sz="4" w:space="0" w:color="auto"/>
              <w:left w:val="nil"/>
              <w:bottom w:val="single" w:sz="4" w:space="0" w:color="auto"/>
              <w:right w:val="single" w:sz="4" w:space="0" w:color="auto"/>
            </w:tcBorders>
            <w:noWrap/>
            <w:vAlign w:val="bottom"/>
            <w:hideMark/>
          </w:tcPr>
          <w:p w14:paraId="0DC9FCE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8F6EEC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431F94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1.600,00</w:t>
            </w:r>
          </w:p>
        </w:tc>
        <w:tc>
          <w:tcPr>
            <w:tcW w:w="918" w:type="dxa"/>
            <w:tcBorders>
              <w:top w:val="single" w:sz="4" w:space="0" w:color="auto"/>
              <w:left w:val="nil"/>
              <w:bottom w:val="single" w:sz="4" w:space="0" w:color="auto"/>
              <w:right w:val="single" w:sz="4" w:space="0" w:color="auto"/>
            </w:tcBorders>
            <w:noWrap/>
            <w:vAlign w:val="bottom"/>
            <w:hideMark/>
          </w:tcPr>
          <w:p w14:paraId="1C34846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2959BB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CCC32E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60C9AE7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Kapitalni projekt: Kapitalne potpore župnim uredima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4380B2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6511199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C1036D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37.106,50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751570C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92,77%</w:t>
            </w:r>
          </w:p>
        </w:tc>
      </w:tr>
      <w:tr w:rsidR="00416D67" w:rsidRPr="00416D67" w14:paraId="498AFA6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830E7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ECE253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24.000,00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577C91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24.000,00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F69493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21.106,50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52AE47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87,94%</w:t>
            </w:r>
          </w:p>
        </w:tc>
      </w:tr>
      <w:tr w:rsidR="00416D67" w:rsidRPr="00416D67" w14:paraId="383123C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3B5071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2DE477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24.000,00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467692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24.000,00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E3AED3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21.106,50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5AB503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87,94%</w:t>
            </w:r>
          </w:p>
        </w:tc>
      </w:tr>
      <w:tr w:rsidR="00416D67" w:rsidRPr="00416D67" w14:paraId="56F3C5C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0363BF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4BA684A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4E3C27C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24.000,00</w:t>
            </w:r>
          </w:p>
        </w:tc>
        <w:tc>
          <w:tcPr>
            <w:tcW w:w="1070" w:type="dxa"/>
            <w:tcBorders>
              <w:top w:val="single" w:sz="4" w:space="0" w:color="auto"/>
              <w:left w:val="nil"/>
              <w:bottom w:val="single" w:sz="4" w:space="0" w:color="auto"/>
              <w:right w:val="single" w:sz="4" w:space="0" w:color="auto"/>
            </w:tcBorders>
            <w:noWrap/>
            <w:vAlign w:val="bottom"/>
            <w:hideMark/>
          </w:tcPr>
          <w:p w14:paraId="74CDE13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24.000,00</w:t>
            </w:r>
          </w:p>
        </w:tc>
        <w:tc>
          <w:tcPr>
            <w:tcW w:w="1095" w:type="dxa"/>
            <w:tcBorders>
              <w:top w:val="single" w:sz="4" w:space="0" w:color="auto"/>
              <w:left w:val="nil"/>
              <w:bottom w:val="single" w:sz="4" w:space="0" w:color="auto"/>
              <w:right w:val="single" w:sz="4" w:space="0" w:color="auto"/>
            </w:tcBorders>
            <w:noWrap/>
            <w:vAlign w:val="bottom"/>
            <w:hideMark/>
          </w:tcPr>
          <w:p w14:paraId="1945ED7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21.106,50</w:t>
            </w:r>
          </w:p>
        </w:tc>
        <w:tc>
          <w:tcPr>
            <w:tcW w:w="918" w:type="dxa"/>
            <w:tcBorders>
              <w:top w:val="single" w:sz="4" w:space="0" w:color="auto"/>
              <w:left w:val="nil"/>
              <w:bottom w:val="single" w:sz="4" w:space="0" w:color="auto"/>
              <w:right w:val="single" w:sz="4" w:space="0" w:color="auto"/>
            </w:tcBorders>
            <w:noWrap/>
            <w:vAlign w:val="bottom"/>
            <w:hideMark/>
          </w:tcPr>
          <w:p w14:paraId="2AB4036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87,94%</w:t>
            </w:r>
          </w:p>
        </w:tc>
      </w:tr>
      <w:tr w:rsidR="00416D67" w:rsidRPr="00416D67" w14:paraId="1596979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0F78669" w14:textId="77777777" w:rsidR="00416D67" w:rsidRPr="00416D67" w:rsidRDefault="00416D67" w:rsidP="00416D67">
            <w:pPr>
              <w:rPr>
                <w:rFonts w:ascii="Arial" w:hAnsi="Arial" w:cs="Arial"/>
                <w:sz w:val="14"/>
                <w:szCs w:val="14"/>
              </w:rPr>
            </w:pPr>
            <w:r w:rsidRPr="00416D67">
              <w:rPr>
                <w:rFonts w:ascii="Arial" w:hAnsi="Arial" w:cs="Arial"/>
                <w:sz w:val="14"/>
                <w:szCs w:val="14"/>
              </w:rPr>
              <w:t>3821</w:t>
            </w:r>
          </w:p>
        </w:tc>
        <w:tc>
          <w:tcPr>
            <w:tcW w:w="8106" w:type="dxa"/>
            <w:tcBorders>
              <w:top w:val="single" w:sz="4" w:space="0" w:color="auto"/>
              <w:left w:val="nil"/>
              <w:bottom w:val="single" w:sz="4" w:space="0" w:color="auto"/>
              <w:right w:val="single" w:sz="4" w:space="0" w:color="auto"/>
            </w:tcBorders>
            <w:noWrap/>
            <w:vAlign w:val="bottom"/>
            <w:hideMark/>
          </w:tcPr>
          <w:p w14:paraId="12EC548C" w14:textId="77777777" w:rsidR="00416D67" w:rsidRPr="00416D67" w:rsidRDefault="00416D67" w:rsidP="00416D67">
            <w:pPr>
              <w:rPr>
                <w:rFonts w:ascii="Arial" w:hAnsi="Arial" w:cs="Arial"/>
                <w:sz w:val="14"/>
                <w:szCs w:val="14"/>
              </w:rPr>
            </w:pPr>
            <w:r w:rsidRPr="00416D67">
              <w:rPr>
                <w:rFonts w:ascii="Arial" w:hAnsi="Arial" w:cs="Arial"/>
                <w:sz w:val="14"/>
                <w:szCs w:val="14"/>
              </w:rPr>
              <w:t>Kapitalne donacije neprofitnim organizacijama</w:t>
            </w:r>
          </w:p>
        </w:tc>
        <w:tc>
          <w:tcPr>
            <w:tcW w:w="1095" w:type="dxa"/>
            <w:tcBorders>
              <w:top w:val="single" w:sz="4" w:space="0" w:color="auto"/>
              <w:left w:val="nil"/>
              <w:bottom w:val="single" w:sz="4" w:space="0" w:color="auto"/>
              <w:right w:val="single" w:sz="4" w:space="0" w:color="auto"/>
            </w:tcBorders>
            <w:noWrap/>
            <w:vAlign w:val="bottom"/>
            <w:hideMark/>
          </w:tcPr>
          <w:p w14:paraId="0F742FA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754639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B7CAC5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21.106,50</w:t>
            </w:r>
          </w:p>
        </w:tc>
        <w:tc>
          <w:tcPr>
            <w:tcW w:w="918" w:type="dxa"/>
            <w:tcBorders>
              <w:top w:val="single" w:sz="4" w:space="0" w:color="auto"/>
              <w:left w:val="nil"/>
              <w:bottom w:val="single" w:sz="4" w:space="0" w:color="auto"/>
              <w:right w:val="single" w:sz="4" w:space="0" w:color="auto"/>
            </w:tcBorders>
            <w:noWrap/>
            <w:vAlign w:val="bottom"/>
            <w:hideMark/>
          </w:tcPr>
          <w:p w14:paraId="78EC200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775BDF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D4197D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 Višak prihoda ranijih godina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86A670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50018B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FC0164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72311F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114B763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B04DF1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9.1.1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4EFE1C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1B485E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580B76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60963E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1D3D5B3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702937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58DF14C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012C7E5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16.000,00</w:t>
            </w:r>
          </w:p>
        </w:tc>
        <w:tc>
          <w:tcPr>
            <w:tcW w:w="1070" w:type="dxa"/>
            <w:tcBorders>
              <w:top w:val="single" w:sz="4" w:space="0" w:color="auto"/>
              <w:left w:val="nil"/>
              <w:bottom w:val="single" w:sz="4" w:space="0" w:color="auto"/>
              <w:right w:val="single" w:sz="4" w:space="0" w:color="auto"/>
            </w:tcBorders>
            <w:noWrap/>
            <w:vAlign w:val="bottom"/>
            <w:hideMark/>
          </w:tcPr>
          <w:p w14:paraId="22F6BE7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16.000,00</w:t>
            </w:r>
          </w:p>
        </w:tc>
        <w:tc>
          <w:tcPr>
            <w:tcW w:w="1095" w:type="dxa"/>
            <w:tcBorders>
              <w:top w:val="single" w:sz="4" w:space="0" w:color="auto"/>
              <w:left w:val="nil"/>
              <w:bottom w:val="single" w:sz="4" w:space="0" w:color="auto"/>
              <w:right w:val="single" w:sz="4" w:space="0" w:color="auto"/>
            </w:tcBorders>
            <w:noWrap/>
            <w:vAlign w:val="bottom"/>
            <w:hideMark/>
          </w:tcPr>
          <w:p w14:paraId="6EF5E1A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16.000,00</w:t>
            </w:r>
          </w:p>
        </w:tc>
        <w:tc>
          <w:tcPr>
            <w:tcW w:w="918" w:type="dxa"/>
            <w:tcBorders>
              <w:top w:val="single" w:sz="4" w:space="0" w:color="auto"/>
              <w:left w:val="nil"/>
              <w:bottom w:val="single" w:sz="4" w:space="0" w:color="auto"/>
              <w:right w:val="single" w:sz="4" w:space="0" w:color="auto"/>
            </w:tcBorders>
            <w:noWrap/>
            <w:vAlign w:val="bottom"/>
            <w:hideMark/>
          </w:tcPr>
          <w:p w14:paraId="69DEA3C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7B07FAA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5E10B9F" w14:textId="77777777" w:rsidR="00416D67" w:rsidRPr="00416D67" w:rsidRDefault="00416D67" w:rsidP="00416D67">
            <w:pPr>
              <w:rPr>
                <w:rFonts w:ascii="Arial" w:hAnsi="Arial" w:cs="Arial"/>
                <w:sz w:val="14"/>
                <w:szCs w:val="14"/>
              </w:rPr>
            </w:pPr>
            <w:r w:rsidRPr="00416D67">
              <w:rPr>
                <w:rFonts w:ascii="Arial" w:hAnsi="Arial" w:cs="Arial"/>
                <w:sz w:val="14"/>
                <w:szCs w:val="14"/>
              </w:rPr>
              <w:t>3821</w:t>
            </w:r>
          </w:p>
        </w:tc>
        <w:tc>
          <w:tcPr>
            <w:tcW w:w="8106" w:type="dxa"/>
            <w:tcBorders>
              <w:top w:val="single" w:sz="4" w:space="0" w:color="auto"/>
              <w:left w:val="nil"/>
              <w:bottom w:val="single" w:sz="4" w:space="0" w:color="auto"/>
              <w:right w:val="single" w:sz="4" w:space="0" w:color="auto"/>
            </w:tcBorders>
            <w:noWrap/>
            <w:vAlign w:val="bottom"/>
            <w:hideMark/>
          </w:tcPr>
          <w:p w14:paraId="3587A6E8" w14:textId="77777777" w:rsidR="00416D67" w:rsidRPr="00416D67" w:rsidRDefault="00416D67" w:rsidP="00416D67">
            <w:pPr>
              <w:rPr>
                <w:rFonts w:ascii="Arial" w:hAnsi="Arial" w:cs="Arial"/>
                <w:sz w:val="14"/>
                <w:szCs w:val="14"/>
              </w:rPr>
            </w:pPr>
            <w:r w:rsidRPr="00416D67">
              <w:rPr>
                <w:rFonts w:ascii="Arial" w:hAnsi="Arial" w:cs="Arial"/>
                <w:sz w:val="14"/>
                <w:szCs w:val="14"/>
              </w:rPr>
              <w:t>Kapitalne donacije neprofitnim organizacijama</w:t>
            </w:r>
          </w:p>
        </w:tc>
        <w:tc>
          <w:tcPr>
            <w:tcW w:w="1095" w:type="dxa"/>
            <w:tcBorders>
              <w:top w:val="single" w:sz="4" w:space="0" w:color="auto"/>
              <w:left w:val="nil"/>
              <w:bottom w:val="single" w:sz="4" w:space="0" w:color="auto"/>
              <w:right w:val="single" w:sz="4" w:space="0" w:color="auto"/>
            </w:tcBorders>
            <w:noWrap/>
            <w:vAlign w:val="bottom"/>
            <w:hideMark/>
          </w:tcPr>
          <w:p w14:paraId="301AEB7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3C7541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0F21B3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16.000,00</w:t>
            </w:r>
          </w:p>
        </w:tc>
        <w:tc>
          <w:tcPr>
            <w:tcW w:w="918" w:type="dxa"/>
            <w:tcBorders>
              <w:top w:val="single" w:sz="4" w:space="0" w:color="auto"/>
              <w:left w:val="nil"/>
              <w:bottom w:val="single" w:sz="4" w:space="0" w:color="auto"/>
              <w:right w:val="single" w:sz="4" w:space="0" w:color="auto"/>
            </w:tcBorders>
            <w:noWrap/>
            <w:vAlign w:val="bottom"/>
            <w:hideMark/>
          </w:tcPr>
          <w:p w14:paraId="430A3E6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A56971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7C28F78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Organizacijska klasifikacija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AAD85F5"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07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DF8E895"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0FFA180"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9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9E391A0"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2025/2024.           (3/2)</w:t>
            </w:r>
          </w:p>
        </w:tc>
      </w:tr>
      <w:tr w:rsidR="00416D67" w:rsidRPr="00416D67" w14:paraId="511743D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56EE4F6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Izvori</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0F68EF4C"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47B0F806"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6B27C79B"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702185CF" w14:textId="77777777" w:rsidR="00416D67" w:rsidRPr="00416D67" w:rsidRDefault="00416D67" w:rsidP="00416D67">
            <w:pPr>
              <w:rPr>
                <w:rFonts w:ascii="Arial" w:hAnsi="Arial" w:cs="Arial"/>
                <w:sz w:val="14"/>
                <w:szCs w:val="14"/>
              </w:rPr>
            </w:pPr>
          </w:p>
        </w:tc>
      </w:tr>
      <w:tr w:rsidR="00416D67" w:rsidRPr="00416D67" w14:paraId="111D44FC"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000000"/>
            </w:tcBorders>
            <w:shd w:val="clear" w:color="000000" w:fill="D9D9D9"/>
            <w:hideMark/>
          </w:tcPr>
          <w:p w14:paraId="04919F3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Projekt/Aktivnost</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6196B9BB"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6E601B37"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7800F67A"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57FC9CEE" w14:textId="77777777" w:rsidR="00416D67" w:rsidRPr="00416D67" w:rsidRDefault="00416D67" w:rsidP="00416D67">
            <w:pPr>
              <w:rPr>
                <w:rFonts w:ascii="Arial" w:hAnsi="Arial" w:cs="Arial"/>
                <w:sz w:val="14"/>
                <w:szCs w:val="14"/>
              </w:rPr>
            </w:pPr>
          </w:p>
        </w:tc>
      </w:tr>
      <w:tr w:rsidR="00416D67" w:rsidRPr="00416D67" w14:paraId="19E9BF6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2AEC27F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3029</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40C57C2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Program: Subvencije i ulaganja za javni prijevoz</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7338CD1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184.274,00</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651FEA6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185.924,00</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14705A8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184.966,11</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354E5A4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99,48%</w:t>
            </w:r>
          </w:p>
        </w:tc>
      </w:tr>
      <w:tr w:rsidR="00416D67" w:rsidRPr="00416D67" w14:paraId="4EB7D54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7602D4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7FB4ECD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Subvencije trgovačkim društvima u javnom sektoru</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AEF6A0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64.500,00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2DC3215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64.500,00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1E343E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63.538,36</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76AFBB7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98,51%</w:t>
            </w:r>
          </w:p>
        </w:tc>
      </w:tr>
      <w:tr w:rsidR="00416D67" w:rsidRPr="00416D67" w14:paraId="4F29340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D7E6AE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5D7CC6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64.500,00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2CA478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64.500,00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527602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63.538,36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2A0D57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98,51%</w:t>
            </w:r>
          </w:p>
        </w:tc>
      </w:tr>
      <w:tr w:rsidR="00416D67" w:rsidRPr="00416D67" w14:paraId="344C741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ABCF00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D519C2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64.500,00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EDF786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64.500,00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E1BD0A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63.538,36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C20759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98,51%</w:t>
            </w:r>
          </w:p>
        </w:tc>
      </w:tr>
      <w:tr w:rsidR="00416D67" w:rsidRPr="00416D67" w14:paraId="27F5BFB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40EFDA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35</w:t>
            </w:r>
          </w:p>
        </w:tc>
        <w:tc>
          <w:tcPr>
            <w:tcW w:w="8106" w:type="dxa"/>
            <w:tcBorders>
              <w:top w:val="single" w:sz="4" w:space="0" w:color="auto"/>
              <w:left w:val="nil"/>
              <w:bottom w:val="single" w:sz="4" w:space="0" w:color="auto"/>
              <w:right w:val="single" w:sz="4" w:space="0" w:color="auto"/>
            </w:tcBorders>
            <w:noWrap/>
            <w:vAlign w:val="bottom"/>
            <w:hideMark/>
          </w:tcPr>
          <w:p w14:paraId="7E260BA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Subvencije</w:t>
            </w:r>
          </w:p>
        </w:tc>
        <w:tc>
          <w:tcPr>
            <w:tcW w:w="1095" w:type="dxa"/>
            <w:tcBorders>
              <w:top w:val="single" w:sz="4" w:space="0" w:color="auto"/>
              <w:left w:val="nil"/>
              <w:bottom w:val="single" w:sz="4" w:space="0" w:color="auto"/>
              <w:right w:val="single" w:sz="4" w:space="0" w:color="auto"/>
            </w:tcBorders>
            <w:noWrap/>
            <w:vAlign w:val="bottom"/>
            <w:hideMark/>
          </w:tcPr>
          <w:p w14:paraId="149A7FD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64.500,00</w:t>
            </w:r>
          </w:p>
        </w:tc>
        <w:tc>
          <w:tcPr>
            <w:tcW w:w="1070" w:type="dxa"/>
            <w:tcBorders>
              <w:top w:val="single" w:sz="4" w:space="0" w:color="auto"/>
              <w:left w:val="nil"/>
              <w:bottom w:val="single" w:sz="4" w:space="0" w:color="auto"/>
              <w:right w:val="single" w:sz="4" w:space="0" w:color="auto"/>
            </w:tcBorders>
            <w:noWrap/>
            <w:vAlign w:val="bottom"/>
            <w:hideMark/>
          </w:tcPr>
          <w:p w14:paraId="0627BB3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64.500,00</w:t>
            </w:r>
          </w:p>
        </w:tc>
        <w:tc>
          <w:tcPr>
            <w:tcW w:w="1095" w:type="dxa"/>
            <w:tcBorders>
              <w:top w:val="single" w:sz="4" w:space="0" w:color="auto"/>
              <w:left w:val="nil"/>
              <w:bottom w:val="single" w:sz="4" w:space="0" w:color="auto"/>
              <w:right w:val="single" w:sz="4" w:space="0" w:color="auto"/>
            </w:tcBorders>
            <w:noWrap/>
            <w:vAlign w:val="bottom"/>
            <w:hideMark/>
          </w:tcPr>
          <w:p w14:paraId="3D4611D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63.538,36</w:t>
            </w:r>
          </w:p>
        </w:tc>
        <w:tc>
          <w:tcPr>
            <w:tcW w:w="918" w:type="dxa"/>
            <w:tcBorders>
              <w:top w:val="single" w:sz="4" w:space="0" w:color="auto"/>
              <w:left w:val="nil"/>
              <w:bottom w:val="single" w:sz="4" w:space="0" w:color="auto"/>
              <w:right w:val="single" w:sz="4" w:space="0" w:color="auto"/>
            </w:tcBorders>
            <w:noWrap/>
            <w:vAlign w:val="bottom"/>
            <w:hideMark/>
          </w:tcPr>
          <w:p w14:paraId="442704F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98,51%</w:t>
            </w:r>
          </w:p>
        </w:tc>
      </w:tr>
      <w:tr w:rsidR="00416D67" w:rsidRPr="00416D67" w14:paraId="6F18C31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9C77B83" w14:textId="77777777" w:rsidR="00416D67" w:rsidRPr="00416D67" w:rsidRDefault="00416D67" w:rsidP="00416D67">
            <w:pPr>
              <w:rPr>
                <w:rFonts w:ascii="Arial" w:hAnsi="Arial" w:cs="Arial"/>
                <w:sz w:val="14"/>
                <w:szCs w:val="14"/>
              </w:rPr>
            </w:pPr>
            <w:r w:rsidRPr="00416D67">
              <w:rPr>
                <w:rFonts w:ascii="Arial" w:hAnsi="Arial" w:cs="Arial"/>
                <w:sz w:val="14"/>
                <w:szCs w:val="14"/>
              </w:rPr>
              <w:t>3512</w:t>
            </w:r>
          </w:p>
        </w:tc>
        <w:tc>
          <w:tcPr>
            <w:tcW w:w="8106" w:type="dxa"/>
            <w:tcBorders>
              <w:top w:val="single" w:sz="4" w:space="0" w:color="auto"/>
              <w:left w:val="nil"/>
              <w:bottom w:val="single" w:sz="4" w:space="0" w:color="auto"/>
              <w:right w:val="single" w:sz="4" w:space="0" w:color="auto"/>
            </w:tcBorders>
            <w:noWrap/>
            <w:vAlign w:val="bottom"/>
            <w:hideMark/>
          </w:tcPr>
          <w:p w14:paraId="14DA0963" w14:textId="77777777" w:rsidR="00416D67" w:rsidRPr="00416D67" w:rsidRDefault="00416D67" w:rsidP="00416D67">
            <w:pPr>
              <w:rPr>
                <w:rFonts w:ascii="Arial" w:hAnsi="Arial" w:cs="Arial"/>
                <w:sz w:val="14"/>
                <w:szCs w:val="14"/>
              </w:rPr>
            </w:pPr>
            <w:r w:rsidRPr="00416D67">
              <w:rPr>
                <w:rFonts w:ascii="Arial" w:hAnsi="Arial" w:cs="Arial"/>
                <w:sz w:val="14"/>
                <w:szCs w:val="14"/>
              </w:rPr>
              <w:t>Subvencije trgovačkim društvima u javnom sektoru</w:t>
            </w:r>
          </w:p>
        </w:tc>
        <w:tc>
          <w:tcPr>
            <w:tcW w:w="1095" w:type="dxa"/>
            <w:tcBorders>
              <w:top w:val="single" w:sz="4" w:space="0" w:color="auto"/>
              <w:left w:val="nil"/>
              <w:bottom w:val="single" w:sz="4" w:space="0" w:color="auto"/>
              <w:right w:val="single" w:sz="4" w:space="0" w:color="auto"/>
            </w:tcBorders>
            <w:noWrap/>
            <w:vAlign w:val="bottom"/>
            <w:hideMark/>
          </w:tcPr>
          <w:p w14:paraId="0BA6E8A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D38A97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1C9D65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63.538,36</w:t>
            </w:r>
          </w:p>
        </w:tc>
        <w:tc>
          <w:tcPr>
            <w:tcW w:w="918" w:type="dxa"/>
            <w:tcBorders>
              <w:top w:val="single" w:sz="4" w:space="0" w:color="auto"/>
              <w:left w:val="nil"/>
              <w:bottom w:val="single" w:sz="4" w:space="0" w:color="auto"/>
              <w:right w:val="single" w:sz="4" w:space="0" w:color="auto"/>
            </w:tcBorders>
            <w:noWrap/>
            <w:vAlign w:val="bottom"/>
            <w:hideMark/>
          </w:tcPr>
          <w:p w14:paraId="573032C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A80A9B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40188E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A100002</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69ECB75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Subvencije trgovačkim društvima izvan javnog sektora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94266C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10.500,00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436D1EB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12.150,00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C40C83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12.153,75</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6C4EEA5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100,03%</w:t>
            </w:r>
          </w:p>
        </w:tc>
      </w:tr>
      <w:tr w:rsidR="00416D67" w:rsidRPr="00416D67" w14:paraId="688BA4D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4FC1F4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749F24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ADFE90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12.150,00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AFA9E2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12.153,75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B9259C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100,03%</w:t>
            </w:r>
          </w:p>
        </w:tc>
      </w:tr>
      <w:tr w:rsidR="00416D67" w:rsidRPr="00416D67" w14:paraId="0517D60F"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400C7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42A55A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7255C5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12.150,00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F531EB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12.153,75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2CE080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100,03%</w:t>
            </w:r>
          </w:p>
        </w:tc>
      </w:tr>
      <w:tr w:rsidR="00416D67" w:rsidRPr="00416D67" w14:paraId="7DF95DD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E7BB02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35</w:t>
            </w:r>
          </w:p>
        </w:tc>
        <w:tc>
          <w:tcPr>
            <w:tcW w:w="8106" w:type="dxa"/>
            <w:tcBorders>
              <w:top w:val="single" w:sz="4" w:space="0" w:color="auto"/>
              <w:left w:val="nil"/>
              <w:bottom w:val="single" w:sz="4" w:space="0" w:color="auto"/>
              <w:right w:val="single" w:sz="4" w:space="0" w:color="auto"/>
            </w:tcBorders>
            <w:noWrap/>
            <w:vAlign w:val="bottom"/>
            <w:hideMark/>
          </w:tcPr>
          <w:p w14:paraId="6A22870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Subvencije</w:t>
            </w:r>
          </w:p>
        </w:tc>
        <w:tc>
          <w:tcPr>
            <w:tcW w:w="1095" w:type="dxa"/>
            <w:tcBorders>
              <w:top w:val="single" w:sz="4" w:space="0" w:color="auto"/>
              <w:left w:val="nil"/>
              <w:bottom w:val="single" w:sz="4" w:space="0" w:color="auto"/>
              <w:right w:val="single" w:sz="4" w:space="0" w:color="auto"/>
            </w:tcBorders>
            <w:noWrap/>
            <w:vAlign w:val="bottom"/>
            <w:hideMark/>
          </w:tcPr>
          <w:p w14:paraId="49A44D0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10.500,00</w:t>
            </w:r>
          </w:p>
        </w:tc>
        <w:tc>
          <w:tcPr>
            <w:tcW w:w="1070" w:type="dxa"/>
            <w:tcBorders>
              <w:top w:val="single" w:sz="4" w:space="0" w:color="auto"/>
              <w:left w:val="nil"/>
              <w:bottom w:val="single" w:sz="4" w:space="0" w:color="auto"/>
              <w:right w:val="single" w:sz="4" w:space="0" w:color="auto"/>
            </w:tcBorders>
            <w:noWrap/>
            <w:vAlign w:val="bottom"/>
            <w:hideMark/>
          </w:tcPr>
          <w:p w14:paraId="3F2CB63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12.150,00</w:t>
            </w:r>
          </w:p>
        </w:tc>
        <w:tc>
          <w:tcPr>
            <w:tcW w:w="1095" w:type="dxa"/>
            <w:tcBorders>
              <w:top w:val="single" w:sz="4" w:space="0" w:color="auto"/>
              <w:left w:val="nil"/>
              <w:bottom w:val="single" w:sz="4" w:space="0" w:color="auto"/>
              <w:right w:val="single" w:sz="4" w:space="0" w:color="auto"/>
            </w:tcBorders>
            <w:noWrap/>
            <w:vAlign w:val="bottom"/>
            <w:hideMark/>
          </w:tcPr>
          <w:p w14:paraId="3156B17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12.153,75</w:t>
            </w:r>
          </w:p>
        </w:tc>
        <w:tc>
          <w:tcPr>
            <w:tcW w:w="918" w:type="dxa"/>
            <w:tcBorders>
              <w:top w:val="single" w:sz="4" w:space="0" w:color="auto"/>
              <w:left w:val="nil"/>
              <w:bottom w:val="single" w:sz="4" w:space="0" w:color="auto"/>
              <w:right w:val="single" w:sz="4" w:space="0" w:color="auto"/>
            </w:tcBorders>
            <w:noWrap/>
            <w:vAlign w:val="bottom"/>
            <w:hideMark/>
          </w:tcPr>
          <w:p w14:paraId="65E42F5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100,03%</w:t>
            </w:r>
          </w:p>
        </w:tc>
      </w:tr>
      <w:tr w:rsidR="00416D67" w:rsidRPr="00416D67" w14:paraId="2FB6427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292129D" w14:textId="77777777" w:rsidR="00416D67" w:rsidRPr="00416D67" w:rsidRDefault="00416D67" w:rsidP="00416D67">
            <w:pPr>
              <w:rPr>
                <w:rFonts w:ascii="Arial" w:hAnsi="Arial" w:cs="Arial"/>
                <w:sz w:val="14"/>
                <w:szCs w:val="14"/>
              </w:rPr>
            </w:pPr>
            <w:r w:rsidRPr="00416D67">
              <w:rPr>
                <w:rFonts w:ascii="Arial" w:hAnsi="Arial" w:cs="Arial"/>
                <w:sz w:val="14"/>
                <w:szCs w:val="14"/>
              </w:rPr>
              <w:t>3522</w:t>
            </w:r>
          </w:p>
        </w:tc>
        <w:tc>
          <w:tcPr>
            <w:tcW w:w="8106" w:type="dxa"/>
            <w:tcBorders>
              <w:top w:val="single" w:sz="4" w:space="0" w:color="auto"/>
              <w:left w:val="nil"/>
              <w:bottom w:val="single" w:sz="4" w:space="0" w:color="auto"/>
              <w:right w:val="single" w:sz="4" w:space="0" w:color="auto"/>
            </w:tcBorders>
            <w:noWrap/>
            <w:vAlign w:val="bottom"/>
            <w:hideMark/>
          </w:tcPr>
          <w:p w14:paraId="18E107A6" w14:textId="77777777" w:rsidR="00416D67" w:rsidRPr="00416D67" w:rsidRDefault="00416D67" w:rsidP="00416D67">
            <w:pPr>
              <w:rPr>
                <w:rFonts w:ascii="Arial" w:hAnsi="Arial" w:cs="Arial"/>
                <w:sz w:val="14"/>
                <w:szCs w:val="14"/>
              </w:rPr>
            </w:pPr>
            <w:r w:rsidRPr="00416D67">
              <w:rPr>
                <w:rFonts w:ascii="Arial" w:hAnsi="Arial" w:cs="Arial"/>
                <w:sz w:val="14"/>
                <w:szCs w:val="14"/>
              </w:rPr>
              <w:t>Subvencije trgovačkim društvima i zadrugama izvan javnog sektora</w:t>
            </w:r>
          </w:p>
        </w:tc>
        <w:tc>
          <w:tcPr>
            <w:tcW w:w="1095" w:type="dxa"/>
            <w:tcBorders>
              <w:top w:val="single" w:sz="4" w:space="0" w:color="auto"/>
              <w:left w:val="nil"/>
              <w:bottom w:val="single" w:sz="4" w:space="0" w:color="auto"/>
              <w:right w:val="single" w:sz="4" w:space="0" w:color="auto"/>
            </w:tcBorders>
            <w:noWrap/>
            <w:vAlign w:val="bottom"/>
            <w:hideMark/>
          </w:tcPr>
          <w:p w14:paraId="0BEF336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2932CC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3291FD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12.153,75</w:t>
            </w:r>
          </w:p>
        </w:tc>
        <w:tc>
          <w:tcPr>
            <w:tcW w:w="918" w:type="dxa"/>
            <w:tcBorders>
              <w:top w:val="single" w:sz="4" w:space="0" w:color="auto"/>
              <w:left w:val="nil"/>
              <w:bottom w:val="single" w:sz="4" w:space="0" w:color="auto"/>
              <w:right w:val="single" w:sz="4" w:space="0" w:color="auto"/>
            </w:tcBorders>
            <w:noWrap/>
            <w:vAlign w:val="bottom"/>
            <w:hideMark/>
          </w:tcPr>
          <w:p w14:paraId="2BB73D4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F79B88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E20336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3461F44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Kapitalni projekt: Udio u glavnici trgovačkog društva </w:t>
            </w:r>
            <w:proofErr w:type="spellStart"/>
            <w:r w:rsidRPr="00416D67">
              <w:rPr>
                <w:rFonts w:ascii="Arial" w:hAnsi="Arial" w:cs="Arial"/>
                <w:b/>
                <w:bCs/>
                <w:sz w:val="14"/>
                <w:szCs w:val="14"/>
              </w:rPr>
              <w:t>Pulapromet</w:t>
            </w:r>
            <w:proofErr w:type="spellEnd"/>
            <w:r w:rsidRPr="00416D67">
              <w:rPr>
                <w:rFonts w:ascii="Arial" w:hAnsi="Arial" w:cs="Arial"/>
                <w:b/>
                <w:bCs/>
                <w:sz w:val="14"/>
                <w:szCs w:val="14"/>
              </w:rPr>
              <w:t xml:space="preserve"> </w:t>
            </w:r>
            <w:proofErr w:type="spellStart"/>
            <w:r w:rsidRPr="00416D67">
              <w:rPr>
                <w:rFonts w:ascii="Arial" w:hAnsi="Arial" w:cs="Arial"/>
                <w:b/>
                <w:bCs/>
                <w:sz w:val="14"/>
                <w:szCs w:val="14"/>
              </w:rPr>
              <w:t>doo</w:t>
            </w:r>
            <w:proofErr w:type="spellEnd"/>
            <w:r w:rsidRPr="00416D67">
              <w:rPr>
                <w:rFonts w:ascii="Arial" w:hAnsi="Arial" w:cs="Arial"/>
                <w:b/>
                <w:bCs/>
                <w:sz w:val="14"/>
                <w:szCs w:val="14"/>
              </w:rPr>
              <w:t xml:space="preserve"> Pula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CE42DA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109.274,00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48B8BA9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109.274,00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1DBC31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109.274,00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16D75F8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76A6D06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A8189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 Višak prihoda ranijih godina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AC4FA2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109.274,00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1BD901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109.274,00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04CDD9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109.274,00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FDD44D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5192118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97147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9.1.1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6F98AB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109.274,00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E4BC58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109.274,00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BE5C29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109.274,00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8668F3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5B7BF26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BB6E68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53</w:t>
            </w:r>
          </w:p>
        </w:tc>
        <w:tc>
          <w:tcPr>
            <w:tcW w:w="8106" w:type="dxa"/>
            <w:tcBorders>
              <w:top w:val="single" w:sz="4" w:space="0" w:color="auto"/>
              <w:left w:val="nil"/>
              <w:bottom w:val="single" w:sz="4" w:space="0" w:color="auto"/>
              <w:right w:val="single" w:sz="4" w:space="0" w:color="auto"/>
            </w:tcBorders>
            <w:noWrap/>
            <w:vAlign w:val="bottom"/>
            <w:hideMark/>
          </w:tcPr>
          <w:p w14:paraId="62B74A6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Izdaci za ulaganja u financijske instrumente - dionice i udjele u glavnici</w:t>
            </w:r>
          </w:p>
        </w:tc>
        <w:tc>
          <w:tcPr>
            <w:tcW w:w="1095" w:type="dxa"/>
            <w:tcBorders>
              <w:top w:val="single" w:sz="4" w:space="0" w:color="auto"/>
              <w:left w:val="nil"/>
              <w:bottom w:val="single" w:sz="4" w:space="0" w:color="auto"/>
              <w:right w:val="single" w:sz="4" w:space="0" w:color="auto"/>
            </w:tcBorders>
            <w:noWrap/>
            <w:vAlign w:val="bottom"/>
            <w:hideMark/>
          </w:tcPr>
          <w:p w14:paraId="2CAEE8A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109.274,00</w:t>
            </w:r>
          </w:p>
        </w:tc>
        <w:tc>
          <w:tcPr>
            <w:tcW w:w="1070" w:type="dxa"/>
            <w:tcBorders>
              <w:top w:val="single" w:sz="4" w:space="0" w:color="auto"/>
              <w:left w:val="nil"/>
              <w:bottom w:val="single" w:sz="4" w:space="0" w:color="auto"/>
              <w:right w:val="single" w:sz="4" w:space="0" w:color="auto"/>
            </w:tcBorders>
            <w:noWrap/>
            <w:vAlign w:val="bottom"/>
            <w:hideMark/>
          </w:tcPr>
          <w:p w14:paraId="4D210DB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109.274,00</w:t>
            </w:r>
          </w:p>
        </w:tc>
        <w:tc>
          <w:tcPr>
            <w:tcW w:w="1095" w:type="dxa"/>
            <w:tcBorders>
              <w:top w:val="single" w:sz="4" w:space="0" w:color="auto"/>
              <w:left w:val="nil"/>
              <w:bottom w:val="single" w:sz="4" w:space="0" w:color="auto"/>
              <w:right w:val="single" w:sz="4" w:space="0" w:color="auto"/>
            </w:tcBorders>
            <w:noWrap/>
            <w:vAlign w:val="bottom"/>
            <w:hideMark/>
          </w:tcPr>
          <w:p w14:paraId="0817E94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109.274,00</w:t>
            </w:r>
          </w:p>
        </w:tc>
        <w:tc>
          <w:tcPr>
            <w:tcW w:w="918" w:type="dxa"/>
            <w:tcBorders>
              <w:top w:val="single" w:sz="4" w:space="0" w:color="auto"/>
              <w:left w:val="nil"/>
              <w:bottom w:val="single" w:sz="4" w:space="0" w:color="auto"/>
              <w:right w:val="single" w:sz="4" w:space="0" w:color="auto"/>
            </w:tcBorders>
            <w:noWrap/>
            <w:vAlign w:val="bottom"/>
            <w:hideMark/>
          </w:tcPr>
          <w:p w14:paraId="185DA47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6B07DBF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D0F2C97" w14:textId="77777777" w:rsidR="00416D67" w:rsidRPr="00416D67" w:rsidRDefault="00416D67" w:rsidP="00416D67">
            <w:pPr>
              <w:rPr>
                <w:rFonts w:ascii="Arial" w:hAnsi="Arial" w:cs="Arial"/>
                <w:sz w:val="14"/>
                <w:szCs w:val="14"/>
              </w:rPr>
            </w:pPr>
            <w:r w:rsidRPr="00416D67">
              <w:rPr>
                <w:rFonts w:ascii="Arial" w:hAnsi="Arial" w:cs="Arial"/>
                <w:sz w:val="14"/>
                <w:szCs w:val="14"/>
              </w:rPr>
              <w:t>5321</w:t>
            </w:r>
          </w:p>
        </w:tc>
        <w:tc>
          <w:tcPr>
            <w:tcW w:w="8106" w:type="dxa"/>
            <w:tcBorders>
              <w:top w:val="single" w:sz="4" w:space="0" w:color="auto"/>
              <w:left w:val="nil"/>
              <w:bottom w:val="single" w:sz="4" w:space="0" w:color="auto"/>
              <w:right w:val="single" w:sz="4" w:space="0" w:color="auto"/>
            </w:tcBorders>
            <w:noWrap/>
            <w:vAlign w:val="bottom"/>
            <w:hideMark/>
          </w:tcPr>
          <w:p w14:paraId="0A2E6829" w14:textId="77777777" w:rsidR="00416D67" w:rsidRPr="00416D67" w:rsidRDefault="00416D67" w:rsidP="00416D67">
            <w:pPr>
              <w:rPr>
                <w:rFonts w:ascii="Arial" w:hAnsi="Arial" w:cs="Arial"/>
                <w:sz w:val="14"/>
                <w:szCs w:val="14"/>
              </w:rPr>
            </w:pPr>
            <w:r w:rsidRPr="00416D67">
              <w:rPr>
                <w:rFonts w:ascii="Arial" w:hAnsi="Arial" w:cs="Arial"/>
                <w:sz w:val="14"/>
                <w:szCs w:val="14"/>
              </w:rPr>
              <w:t>Dionice i udjeli u glavnici trgovačkih društava u javnom sektoru</w:t>
            </w:r>
          </w:p>
        </w:tc>
        <w:tc>
          <w:tcPr>
            <w:tcW w:w="1095" w:type="dxa"/>
            <w:tcBorders>
              <w:top w:val="single" w:sz="4" w:space="0" w:color="auto"/>
              <w:left w:val="nil"/>
              <w:bottom w:val="single" w:sz="4" w:space="0" w:color="auto"/>
              <w:right w:val="single" w:sz="4" w:space="0" w:color="auto"/>
            </w:tcBorders>
            <w:noWrap/>
            <w:vAlign w:val="bottom"/>
            <w:hideMark/>
          </w:tcPr>
          <w:p w14:paraId="315EB56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962E9D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2B1D5B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109.274,00</w:t>
            </w:r>
          </w:p>
        </w:tc>
        <w:tc>
          <w:tcPr>
            <w:tcW w:w="918" w:type="dxa"/>
            <w:tcBorders>
              <w:top w:val="single" w:sz="4" w:space="0" w:color="auto"/>
              <w:left w:val="nil"/>
              <w:bottom w:val="single" w:sz="4" w:space="0" w:color="auto"/>
              <w:right w:val="single" w:sz="4" w:space="0" w:color="auto"/>
            </w:tcBorders>
            <w:noWrap/>
            <w:vAlign w:val="bottom"/>
            <w:hideMark/>
          </w:tcPr>
          <w:p w14:paraId="7B619E6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51A0F2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278DB8B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3030</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02F5252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Program: Program potpora javnom zdravstvu</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119FBBC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10.000,00</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37F3EDB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10.000,00</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23F3018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5.001,89</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3C8DC06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50,02%</w:t>
            </w:r>
          </w:p>
        </w:tc>
      </w:tr>
      <w:tr w:rsidR="00416D67" w:rsidRPr="00416D67" w14:paraId="3C3F63D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3C3EA5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3E01D4A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Dezinfekcija, deratizacija i dezinsekcija javnih površina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748352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582B15B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7EE034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5.001,89</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51015C5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50,02%</w:t>
            </w:r>
          </w:p>
        </w:tc>
      </w:tr>
      <w:tr w:rsidR="00416D67" w:rsidRPr="00416D67" w14:paraId="560984C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6E730A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E439F2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33CDB5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0B708A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5.001,89</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8D387B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50,02%</w:t>
            </w:r>
          </w:p>
        </w:tc>
      </w:tr>
      <w:tr w:rsidR="00416D67" w:rsidRPr="00416D67" w14:paraId="0138739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637298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D40B6B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6AF98A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97FFB4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5.001,89</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DD7F75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50,02%</w:t>
            </w:r>
          </w:p>
        </w:tc>
      </w:tr>
      <w:tr w:rsidR="00416D67" w:rsidRPr="00416D67" w14:paraId="33D660F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DB7170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lastRenderedPageBreak/>
              <w:t>32</w:t>
            </w:r>
          </w:p>
        </w:tc>
        <w:tc>
          <w:tcPr>
            <w:tcW w:w="8106" w:type="dxa"/>
            <w:tcBorders>
              <w:top w:val="single" w:sz="4" w:space="0" w:color="auto"/>
              <w:left w:val="nil"/>
              <w:bottom w:val="single" w:sz="4" w:space="0" w:color="auto"/>
              <w:right w:val="single" w:sz="4" w:space="0" w:color="auto"/>
            </w:tcBorders>
            <w:noWrap/>
            <w:vAlign w:val="bottom"/>
            <w:hideMark/>
          </w:tcPr>
          <w:p w14:paraId="23FC84E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29843B7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10.000,00</w:t>
            </w:r>
          </w:p>
        </w:tc>
        <w:tc>
          <w:tcPr>
            <w:tcW w:w="1070" w:type="dxa"/>
            <w:tcBorders>
              <w:top w:val="single" w:sz="4" w:space="0" w:color="auto"/>
              <w:left w:val="nil"/>
              <w:bottom w:val="single" w:sz="4" w:space="0" w:color="auto"/>
              <w:right w:val="single" w:sz="4" w:space="0" w:color="auto"/>
            </w:tcBorders>
            <w:noWrap/>
            <w:vAlign w:val="bottom"/>
            <w:hideMark/>
          </w:tcPr>
          <w:p w14:paraId="50E9DCA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10.000,00</w:t>
            </w:r>
          </w:p>
        </w:tc>
        <w:tc>
          <w:tcPr>
            <w:tcW w:w="1095" w:type="dxa"/>
            <w:tcBorders>
              <w:top w:val="single" w:sz="4" w:space="0" w:color="auto"/>
              <w:left w:val="nil"/>
              <w:bottom w:val="single" w:sz="4" w:space="0" w:color="auto"/>
              <w:right w:val="single" w:sz="4" w:space="0" w:color="auto"/>
            </w:tcBorders>
            <w:noWrap/>
            <w:vAlign w:val="bottom"/>
            <w:hideMark/>
          </w:tcPr>
          <w:p w14:paraId="36C2FB1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5.001,89</w:t>
            </w:r>
          </w:p>
        </w:tc>
        <w:tc>
          <w:tcPr>
            <w:tcW w:w="918" w:type="dxa"/>
            <w:tcBorders>
              <w:top w:val="single" w:sz="4" w:space="0" w:color="auto"/>
              <w:left w:val="nil"/>
              <w:bottom w:val="single" w:sz="4" w:space="0" w:color="auto"/>
              <w:right w:val="single" w:sz="4" w:space="0" w:color="auto"/>
            </w:tcBorders>
            <w:noWrap/>
            <w:vAlign w:val="bottom"/>
            <w:hideMark/>
          </w:tcPr>
          <w:p w14:paraId="7128587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50,02%</w:t>
            </w:r>
          </w:p>
        </w:tc>
      </w:tr>
      <w:tr w:rsidR="00416D67" w:rsidRPr="00416D67" w14:paraId="4CDEF02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251A856" w14:textId="77777777" w:rsidR="00416D67" w:rsidRPr="00416D67" w:rsidRDefault="00416D67" w:rsidP="00416D67">
            <w:pPr>
              <w:rPr>
                <w:rFonts w:ascii="Arial" w:hAnsi="Arial" w:cs="Arial"/>
                <w:sz w:val="14"/>
                <w:szCs w:val="14"/>
              </w:rPr>
            </w:pPr>
            <w:r w:rsidRPr="00416D67">
              <w:rPr>
                <w:rFonts w:ascii="Arial" w:hAnsi="Arial" w:cs="Arial"/>
                <w:sz w:val="14"/>
                <w:szCs w:val="14"/>
              </w:rPr>
              <w:t>3234</w:t>
            </w:r>
          </w:p>
        </w:tc>
        <w:tc>
          <w:tcPr>
            <w:tcW w:w="8106" w:type="dxa"/>
            <w:tcBorders>
              <w:top w:val="single" w:sz="4" w:space="0" w:color="auto"/>
              <w:left w:val="nil"/>
              <w:bottom w:val="single" w:sz="4" w:space="0" w:color="auto"/>
              <w:right w:val="single" w:sz="4" w:space="0" w:color="auto"/>
            </w:tcBorders>
            <w:noWrap/>
            <w:vAlign w:val="bottom"/>
            <w:hideMark/>
          </w:tcPr>
          <w:p w14:paraId="51B3BA37" w14:textId="77777777" w:rsidR="00416D67" w:rsidRPr="00416D67" w:rsidRDefault="00416D67" w:rsidP="00416D67">
            <w:pPr>
              <w:rPr>
                <w:rFonts w:ascii="Arial" w:hAnsi="Arial" w:cs="Arial"/>
                <w:sz w:val="14"/>
                <w:szCs w:val="14"/>
              </w:rPr>
            </w:pPr>
            <w:r w:rsidRPr="00416D67">
              <w:rPr>
                <w:rFonts w:ascii="Arial" w:hAnsi="Arial" w:cs="Arial"/>
                <w:sz w:val="14"/>
                <w:szCs w:val="14"/>
              </w:rPr>
              <w:t>Komunalne usluge</w:t>
            </w:r>
          </w:p>
        </w:tc>
        <w:tc>
          <w:tcPr>
            <w:tcW w:w="1095" w:type="dxa"/>
            <w:tcBorders>
              <w:top w:val="single" w:sz="4" w:space="0" w:color="auto"/>
              <w:left w:val="nil"/>
              <w:bottom w:val="single" w:sz="4" w:space="0" w:color="auto"/>
              <w:right w:val="single" w:sz="4" w:space="0" w:color="auto"/>
            </w:tcBorders>
            <w:noWrap/>
            <w:vAlign w:val="bottom"/>
            <w:hideMark/>
          </w:tcPr>
          <w:p w14:paraId="76FBBB0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243D13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EBE0F9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5.001,89</w:t>
            </w:r>
          </w:p>
        </w:tc>
        <w:tc>
          <w:tcPr>
            <w:tcW w:w="918" w:type="dxa"/>
            <w:tcBorders>
              <w:top w:val="single" w:sz="4" w:space="0" w:color="auto"/>
              <w:left w:val="nil"/>
              <w:bottom w:val="single" w:sz="4" w:space="0" w:color="auto"/>
              <w:right w:val="single" w:sz="4" w:space="0" w:color="auto"/>
            </w:tcBorders>
            <w:noWrap/>
            <w:vAlign w:val="bottom"/>
            <w:hideMark/>
          </w:tcPr>
          <w:p w14:paraId="0C69AB5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A0BD48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1FB040A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3031</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47ACB50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Program: Program razvoja i poticanja poljoprivrede</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47AAE65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26.330,00</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0253E5B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26.330,00</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67A12B5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26.246,13</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2D09BFB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99,68%</w:t>
            </w:r>
          </w:p>
        </w:tc>
      </w:tr>
      <w:tr w:rsidR="00416D67" w:rsidRPr="00416D67" w14:paraId="0A54018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2E4EFB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03CE4EC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Fond za razvoj poljoprivrede Istarske županije</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CB0DA5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1.330,00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47B548B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1.330,00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0B2AFA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1.330,00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32087A9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68F1D28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3CB1F2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2774B8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1.330,00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59A2A0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1.330,00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64B252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1.330,00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BDD6ED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2C1FAAA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0261CC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12B87D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1.330,00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E0712C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1.330,00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067533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1.330,00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6F18F9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776123E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5E2345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36</w:t>
            </w:r>
          </w:p>
        </w:tc>
        <w:tc>
          <w:tcPr>
            <w:tcW w:w="8106" w:type="dxa"/>
            <w:tcBorders>
              <w:top w:val="single" w:sz="4" w:space="0" w:color="auto"/>
              <w:left w:val="nil"/>
              <w:bottom w:val="single" w:sz="4" w:space="0" w:color="auto"/>
              <w:right w:val="single" w:sz="4" w:space="0" w:color="auto"/>
            </w:tcBorders>
            <w:noWrap/>
            <w:vAlign w:val="bottom"/>
            <w:hideMark/>
          </w:tcPr>
          <w:p w14:paraId="61FFA50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Pomoći dane u inozemstvo i unutar općeg proračuna</w:t>
            </w:r>
          </w:p>
        </w:tc>
        <w:tc>
          <w:tcPr>
            <w:tcW w:w="1095" w:type="dxa"/>
            <w:tcBorders>
              <w:top w:val="single" w:sz="4" w:space="0" w:color="auto"/>
              <w:left w:val="nil"/>
              <w:bottom w:val="single" w:sz="4" w:space="0" w:color="auto"/>
              <w:right w:val="single" w:sz="4" w:space="0" w:color="auto"/>
            </w:tcBorders>
            <w:noWrap/>
            <w:vAlign w:val="bottom"/>
            <w:hideMark/>
          </w:tcPr>
          <w:p w14:paraId="276A13A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1.330,00</w:t>
            </w:r>
          </w:p>
        </w:tc>
        <w:tc>
          <w:tcPr>
            <w:tcW w:w="1070" w:type="dxa"/>
            <w:tcBorders>
              <w:top w:val="single" w:sz="4" w:space="0" w:color="auto"/>
              <w:left w:val="nil"/>
              <w:bottom w:val="single" w:sz="4" w:space="0" w:color="auto"/>
              <w:right w:val="single" w:sz="4" w:space="0" w:color="auto"/>
            </w:tcBorders>
            <w:noWrap/>
            <w:vAlign w:val="bottom"/>
            <w:hideMark/>
          </w:tcPr>
          <w:p w14:paraId="2B816E1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1.330,00</w:t>
            </w:r>
          </w:p>
        </w:tc>
        <w:tc>
          <w:tcPr>
            <w:tcW w:w="1095" w:type="dxa"/>
            <w:tcBorders>
              <w:top w:val="single" w:sz="4" w:space="0" w:color="auto"/>
              <w:left w:val="nil"/>
              <w:bottom w:val="single" w:sz="4" w:space="0" w:color="auto"/>
              <w:right w:val="single" w:sz="4" w:space="0" w:color="auto"/>
            </w:tcBorders>
            <w:noWrap/>
            <w:vAlign w:val="bottom"/>
            <w:hideMark/>
          </w:tcPr>
          <w:p w14:paraId="1F68986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1.330,00</w:t>
            </w:r>
          </w:p>
        </w:tc>
        <w:tc>
          <w:tcPr>
            <w:tcW w:w="918" w:type="dxa"/>
            <w:tcBorders>
              <w:top w:val="single" w:sz="4" w:space="0" w:color="auto"/>
              <w:left w:val="nil"/>
              <w:bottom w:val="single" w:sz="4" w:space="0" w:color="auto"/>
              <w:right w:val="single" w:sz="4" w:space="0" w:color="auto"/>
            </w:tcBorders>
            <w:noWrap/>
            <w:vAlign w:val="bottom"/>
            <w:hideMark/>
          </w:tcPr>
          <w:p w14:paraId="0AABAEE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0B24EC0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4AAAB1B" w14:textId="77777777" w:rsidR="00416D67" w:rsidRPr="00416D67" w:rsidRDefault="00416D67" w:rsidP="00416D67">
            <w:pPr>
              <w:rPr>
                <w:rFonts w:ascii="Arial" w:hAnsi="Arial" w:cs="Arial"/>
                <w:sz w:val="14"/>
                <w:szCs w:val="14"/>
              </w:rPr>
            </w:pPr>
            <w:r w:rsidRPr="00416D67">
              <w:rPr>
                <w:rFonts w:ascii="Arial" w:hAnsi="Arial" w:cs="Arial"/>
                <w:sz w:val="14"/>
                <w:szCs w:val="14"/>
              </w:rPr>
              <w:t>3631</w:t>
            </w:r>
          </w:p>
        </w:tc>
        <w:tc>
          <w:tcPr>
            <w:tcW w:w="8106" w:type="dxa"/>
            <w:tcBorders>
              <w:top w:val="single" w:sz="4" w:space="0" w:color="auto"/>
              <w:left w:val="nil"/>
              <w:bottom w:val="single" w:sz="4" w:space="0" w:color="auto"/>
              <w:right w:val="single" w:sz="4" w:space="0" w:color="auto"/>
            </w:tcBorders>
            <w:noWrap/>
            <w:vAlign w:val="bottom"/>
            <w:hideMark/>
          </w:tcPr>
          <w:p w14:paraId="02731D87" w14:textId="77777777" w:rsidR="00416D67" w:rsidRPr="00416D67" w:rsidRDefault="00416D67" w:rsidP="00416D67">
            <w:pPr>
              <w:rPr>
                <w:rFonts w:ascii="Arial" w:hAnsi="Arial" w:cs="Arial"/>
                <w:sz w:val="14"/>
                <w:szCs w:val="14"/>
              </w:rPr>
            </w:pPr>
            <w:r w:rsidRPr="00416D67">
              <w:rPr>
                <w:rFonts w:ascii="Arial" w:hAnsi="Arial" w:cs="Arial"/>
                <w:sz w:val="14"/>
                <w:szCs w:val="14"/>
              </w:rPr>
              <w:t>Tekuće pomoći drugom proračunu i izvanproračunskim korisnicima</w:t>
            </w:r>
          </w:p>
        </w:tc>
        <w:tc>
          <w:tcPr>
            <w:tcW w:w="1095" w:type="dxa"/>
            <w:tcBorders>
              <w:top w:val="single" w:sz="4" w:space="0" w:color="auto"/>
              <w:left w:val="nil"/>
              <w:bottom w:val="single" w:sz="4" w:space="0" w:color="auto"/>
              <w:right w:val="single" w:sz="4" w:space="0" w:color="auto"/>
            </w:tcBorders>
            <w:noWrap/>
            <w:vAlign w:val="bottom"/>
            <w:hideMark/>
          </w:tcPr>
          <w:p w14:paraId="15407B0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5BD14E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1D81D2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1.330,00</w:t>
            </w:r>
          </w:p>
        </w:tc>
        <w:tc>
          <w:tcPr>
            <w:tcW w:w="918" w:type="dxa"/>
            <w:tcBorders>
              <w:top w:val="single" w:sz="4" w:space="0" w:color="auto"/>
              <w:left w:val="nil"/>
              <w:bottom w:val="single" w:sz="4" w:space="0" w:color="auto"/>
              <w:right w:val="single" w:sz="4" w:space="0" w:color="auto"/>
            </w:tcBorders>
            <w:noWrap/>
            <w:vAlign w:val="bottom"/>
            <w:hideMark/>
          </w:tcPr>
          <w:p w14:paraId="7AE3AB0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4082C7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280BE1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A100002</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400831A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Mjere za poboljšanje ruralne infrastrukture vezane uz razvitak poljoprivrede</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5656BD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6EE8172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8CE69B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24.916,13</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01BABD9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99,66%</w:t>
            </w:r>
          </w:p>
        </w:tc>
      </w:tr>
      <w:tr w:rsidR="00416D67" w:rsidRPr="00416D67" w14:paraId="2609F71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9E8634"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48F79D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19.000,00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F421E2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19.000,00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68C5B9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19.693,52</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1A1C4D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103,65%</w:t>
            </w:r>
          </w:p>
        </w:tc>
      </w:tr>
      <w:tr w:rsidR="00416D67" w:rsidRPr="00416D67" w14:paraId="2DE7EA0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75874D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787F76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19.000,00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62B48A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19.000,00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58F939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19.693,52</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01D44D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103,65%</w:t>
            </w:r>
          </w:p>
        </w:tc>
      </w:tr>
      <w:tr w:rsidR="00416D67" w:rsidRPr="00416D67" w14:paraId="77B7DEA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5096E8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45E2DB8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2B0DC99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19.000,00</w:t>
            </w:r>
          </w:p>
        </w:tc>
        <w:tc>
          <w:tcPr>
            <w:tcW w:w="1070" w:type="dxa"/>
            <w:tcBorders>
              <w:top w:val="single" w:sz="4" w:space="0" w:color="auto"/>
              <w:left w:val="nil"/>
              <w:bottom w:val="single" w:sz="4" w:space="0" w:color="auto"/>
              <w:right w:val="single" w:sz="4" w:space="0" w:color="auto"/>
            </w:tcBorders>
            <w:noWrap/>
            <w:vAlign w:val="bottom"/>
            <w:hideMark/>
          </w:tcPr>
          <w:p w14:paraId="4AFBEBD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19.000,00</w:t>
            </w:r>
          </w:p>
        </w:tc>
        <w:tc>
          <w:tcPr>
            <w:tcW w:w="1095" w:type="dxa"/>
            <w:tcBorders>
              <w:top w:val="single" w:sz="4" w:space="0" w:color="auto"/>
              <w:left w:val="nil"/>
              <w:bottom w:val="single" w:sz="4" w:space="0" w:color="auto"/>
              <w:right w:val="single" w:sz="4" w:space="0" w:color="auto"/>
            </w:tcBorders>
            <w:noWrap/>
            <w:vAlign w:val="bottom"/>
            <w:hideMark/>
          </w:tcPr>
          <w:p w14:paraId="3D9286B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19.693,52</w:t>
            </w:r>
          </w:p>
        </w:tc>
        <w:tc>
          <w:tcPr>
            <w:tcW w:w="918" w:type="dxa"/>
            <w:tcBorders>
              <w:top w:val="single" w:sz="4" w:space="0" w:color="auto"/>
              <w:left w:val="nil"/>
              <w:bottom w:val="single" w:sz="4" w:space="0" w:color="auto"/>
              <w:right w:val="single" w:sz="4" w:space="0" w:color="auto"/>
            </w:tcBorders>
            <w:noWrap/>
            <w:vAlign w:val="bottom"/>
            <w:hideMark/>
          </w:tcPr>
          <w:p w14:paraId="394719D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103,65%</w:t>
            </w:r>
          </w:p>
        </w:tc>
      </w:tr>
      <w:tr w:rsidR="00416D67" w:rsidRPr="00416D67" w14:paraId="6EEBDA8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3E6267A" w14:textId="77777777" w:rsidR="00416D67" w:rsidRPr="00416D67" w:rsidRDefault="00416D67" w:rsidP="00416D67">
            <w:pPr>
              <w:rPr>
                <w:rFonts w:ascii="Arial" w:hAnsi="Arial" w:cs="Arial"/>
                <w:sz w:val="14"/>
                <w:szCs w:val="14"/>
              </w:rPr>
            </w:pPr>
            <w:r w:rsidRPr="00416D67">
              <w:rPr>
                <w:rFonts w:ascii="Arial" w:hAnsi="Arial" w:cs="Arial"/>
                <w:sz w:val="14"/>
                <w:szCs w:val="14"/>
              </w:rPr>
              <w:t>3232</w:t>
            </w:r>
          </w:p>
        </w:tc>
        <w:tc>
          <w:tcPr>
            <w:tcW w:w="8106" w:type="dxa"/>
            <w:tcBorders>
              <w:top w:val="single" w:sz="4" w:space="0" w:color="auto"/>
              <w:left w:val="nil"/>
              <w:bottom w:val="single" w:sz="4" w:space="0" w:color="auto"/>
              <w:right w:val="single" w:sz="4" w:space="0" w:color="auto"/>
            </w:tcBorders>
            <w:noWrap/>
            <w:vAlign w:val="bottom"/>
            <w:hideMark/>
          </w:tcPr>
          <w:p w14:paraId="0F5F06F1" w14:textId="77777777" w:rsidR="00416D67" w:rsidRPr="00416D67" w:rsidRDefault="00416D67" w:rsidP="00416D67">
            <w:pPr>
              <w:rPr>
                <w:rFonts w:ascii="Arial" w:hAnsi="Arial" w:cs="Arial"/>
                <w:sz w:val="14"/>
                <w:szCs w:val="14"/>
              </w:rPr>
            </w:pPr>
            <w:r w:rsidRPr="00416D67">
              <w:rPr>
                <w:rFonts w:ascii="Arial" w:hAnsi="Arial" w:cs="Arial"/>
                <w:sz w:val="14"/>
                <w:szCs w:val="14"/>
              </w:rPr>
              <w:t>Usluge tekućeg i investicijskog  održavanja</w:t>
            </w:r>
          </w:p>
        </w:tc>
        <w:tc>
          <w:tcPr>
            <w:tcW w:w="1095" w:type="dxa"/>
            <w:tcBorders>
              <w:top w:val="single" w:sz="4" w:space="0" w:color="auto"/>
              <w:left w:val="nil"/>
              <w:bottom w:val="single" w:sz="4" w:space="0" w:color="auto"/>
              <w:right w:val="single" w:sz="4" w:space="0" w:color="auto"/>
            </w:tcBorders>
            <w:noWrap/>
            <w:vAlign w:val="bottom"/>
            <w:hideMark/>
          </w:tcPr>
          <w:p w14:paraId="4B99FF4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DE220D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712320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19.693,52</w:t>
            </w:r>
          </w:p>
        </w:tc>
        <w:tc>
          <w:tcPr>
            <w:tcW w:w="918" w:type="dxa"/>
            <w:tcBorders>
              <w:top w:val="single" w:sz="4" w:space="0" w:color="auto"/>
              <w:left w:val="nil"/>
              <w:bottom w:val="single" w:sz="4" w:space="0" w:color="auto"/>
              <w:right w:val="single" w:sz="4" w:space="0" w:color="auto"/>
            </w:tcBorders>
            <w:noWrap/>
            <w:vAlign w:val="bottom"/>
            <w:hideMark/>
          </w:tcPr>
          <w:p w14:paraId="30169F5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5436C1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92AFB34"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0F3E07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6F7289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2DE2B1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2.275,96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028B8B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91,04%</w:t>
            </w:r>
          </w:p>
        </w:tc>
      </w:tr>
      <w:tr w:rsidR="00416D67" w:rsidRPr="00416D67" w14:paraId="4EC0BE9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696BB3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4.3.3 Prihodi od zakupa i </w:t>
            </w:r>
            <w:proofErr w:type="spellStart"/>
            <w:r w:rsidRPr="00416D67">
              <w:rPr>
                <w:rFonts w:ascii="Arial" w:hAnsi="Arial" w:cs="Arial"/>
                <w:b/>
                <w:bCs/>
                <w:color w:val="333333"/>
                <w:sz w:val="14"/>
                <w:szCs w:val="14"/>
              </w:rPr>
              <w:t>privr.kor.poljoprivrednog</w:t>
            </w:r>
            <w:proofErr w:type="spellEnd"/>
            <w:r w:rsidRPr="00416D67">
              <w:rPr>
                <w:rFonts w:ascii="Arial" w:hAnsi="Arial" w:cs="Arial"/>
                <w:b/>
                <w:bCs/>
                <w:color w:val="333333"/>
                <w:sz w:val="14"/>
                <w:szCs w:val="14"/>
              </w:rPr>
              <w:t xml:space="preserve"> zemljišta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F993FC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53015A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0BC4EA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50,58</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32287C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25,29%</w:t>
            </w:r>
          </w:p>
        </w:tc>
      </w:tr>
      <w:tr w:rsidR="00416D67" w:rsidRPr="00416D67" w14:paraId="55BF18B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35C1E5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1003C82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7C21E83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w:t>
            </w:r>
          </w:p>
        </w:tc>
        <w:tc>
          <w:tcPr>
            <w:tcW w:w="1070" w:type="dxa"/>
            <w:tcBorders>
              <w:top w:val="single" w:sz="4" w:space="0" w:color="auto"/>
              <w:left w:val="nil"/>
              <w:bottom w:val="single" w:sz="4" w:space="0" w:color="auto"/>
              <w:right w:val="single" w:sz="4" w:space="0" w:color="auto"/>
            </w:tcBorders>
            <w:noWrap/>
            <w:vAlign w:val="bottom"/>
            <w:hideMark/>
          </w:tcPr>
          <w:p w14:paraId="3BD574D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w:t>
            </w:r>
          </w:p>
        </w:tc>
        <w:tc>
          <w:tcPr>
            <w:tcW w:w="1095" w:type="dxa"/>
            <w:tcBorders>
              <w:top w:val="single" w:sz="4" w:space="0" w:color="auto"/>
              <w:left w:val="nil"/>
              <w:bottom w:val="single" w:sz="4" w:space="0" w:color="auto"/>
              <w:right w:val="single" w:sz="4" w:space="0" w:color="auto"/>
            </w:tcBorders>
            <w:noWrap/>
            <w:vAlign w:val="bottom"/>
            <w:hideMark/>
          </w:tcPr>
          <w:p w14:paraId="06F0629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50,58</w:t>
            </w:r>
          </w:p>
        </w:tc>
        <w:tc>
          <w:tcPr>
            <w:tcW w:w="918" w:type="dxa"/>
            <w:tcBorders>
              <w:top w:val="single" w:sz="4" w:space="0" w:color="auto"/>
              <w:left w:val="nil"/>
              <w:bottom w:val="single" w:sz="4" w:space="0" w:color="auto"/>
              <w:right w:val="single" w:sz="4" w:space="0" w:color="auto"/>
            </w:tcBorders>
            <w:noWrap/>
            <w:vAlign w:val="bottom"/>
            <w:hideMark/>
          </w:tcPr>
          <w:p w14:paraId="4F03898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25,29%</w:t>
            </w:r>
          </w:p>
        </w:tc>
      </w:tr>
      <w:tr w:rsidR="00416D67" w:rsidRPr="00416D67" w14:paraId="560E672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F24122E" w14:textId="77777777" w:rsidR="00416D67" w:rsidRPr="00416D67" w:rsidRDefault="00416D67" w:rsidP="00416D67">
            <w:pPr>
              <w:rPr>
                <w:rFonts w:ascii="Arial" w:hAnsi="Arial" w:cs="Arial"/>
                <w:sz w:val="14"/>
                <w:szCs w:val="14"/>
              </w:rPr>
            </w:pPr>
            <w:r w:rsidRPr="00416D67">
              <w:rPr>
                <w:rFonts w:ascii="Arial" w:hAnsi="Arial" w:cs="Arial"/>
                <w:sz w:val="14"/>
                <w:szCs w:val="14"/>
              </w:rPr>
              <w:t>3232</w:t>
            </w:r>
          </w:p>
        </w:tc>
        <w:tc>
          <w:tcPr>
            <w:tcW w:w="8106" w:type="dxa"/>
            <w:tcBorders>
              <w:top w:val="single" w:sz="4" w:space="0" w:color="auto"/>
              <w:left w:val="nil"/>
              <w:bottom w:val="single" w:sz="4" w:space="0" w:color="auto"/>
              <w:right w:val="single" w:sz="4" w:space="0" w:color="auto"/>
            </w:tcBorders>
            <w:noWrap/>
            <w:vAlign w:val="bottom"/>
            <w:hideMark/>
          </w:tcPr>
          <w:p w14:paraId="45DA1F31" w14:textId="77777777" w:rsidR="00416D67" w:rsidRPr="00416D67" w:rsidRDefault="00416D67" w:rsidP="00416D67">
            <w:pPr>
              <w:rPr>
                <w:rFonts w:ascii="Arial" w:hAnsi="Arial" w:cs="Arial"/>
                <w:sz w:val="14"/>
                <w:szCs w:val="14"/>
              </w:rPr>
            </w:pPr>
            <w:r w:rsidRPr="00416D67">
              <w:rPr>
                <w:rFonts w:ascii="Arial" w:hAnsi="Arial" w:cs="Arial"/>
                <w:sz w:val="14"/>
                <w:szCs w:val="14"/>
              </w:rPr>
              <w:t>Usluge tekućeg i investicijskog  održavanja</w:t>
            </w:r>
          </w:p>
        </w:tc>
        <w:tc>
          <w:tcPr>
            <w:tcW w:w="1095" w:type="dxa"/>
            <w:tcBorders>
              <w:top w:val="single" w:sz="4" w:space="0" w:color="auto"/>
              <w:left w:val="nil"/>
              <w:bottom w:val="single" w:sz="4" w:space="0" w:color="auto"/>
              <w:right w:val="single" w:sz="4" w:space="0" w:color="auto"/>
            </w:tcBorders>
            <w:noWrap/>
            <w:vAlign w:val="bottom"/>
            <w:hideMark/>
          </w:tcPr>
          <w:p w14:paraId="5BEB624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02648E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7C8DE6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50,58</w:t>
            </w:r>
          </w:p>
        </w:tc>
        <w:tc>
          <w:tcPr>
            <w:tcW w:w="918" w:type="dxa"/>
            <w:tcBorders>
              <w:top w:val="single" w:sz="4" w:space="0" w:color="auto"/>
              <w:left w:val="nil"/>
              <w:bottom w:val="single" w:sz="4" w:space="0" w:color="auto"/>
              <w:right w:val="single" w:sz="4" w:space="0" w:color="auto"/>
            </w:tcBorders>
            <w:noWrap/>
            <w:vAlign w:val="bottom"/>
            <w:hideMark/>
          </w:tcPr>
          <w:p w14:paraId="4009E12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DCBBCA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19958C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4.3.8 Naknada za promjenu namjene </w:t>
            </w:r>
            <w:proofErr w:type="spellStart"/>
            <w:r w:rsidRPr="00416D67">
              <w:rPr>
                <w:rFonts w:ascii="Arial" w:hAnsi="Arial" w:cs="Arial"/>
                <w:b/>
                <w:bCs/>
                <w:color w:val="333333"/>
                <w:sz w:val="14"/>
                <w:szCs w:val="14"/>
              </w:rPr>
              <w:t>poljopr.zemljišta</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2EEC66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2.300,00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D3EDCB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2.300,00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FA59EB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2.225,38</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FC6843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96,76%</w:t>
            </w:r>
          </w:p>
        </w:tc>
      </w:tr>
      <w:tr w:rsidR="00416D67" w:rsidRPr="00416D67" w14:paraId="5606970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C1117C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56C90CB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79F9E53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2.300,00</w:t>
            </w:r>
          </w:p>
        </w:tc>
        <w:tc>
          <w:tcPr>
            <w:tcW w:w="1070" w:type="dxa"/>
            <w:tcBorders>
              <w:top w:val="single" w:sz="4" w:space="0" w:color="auto"/>
              <w:left w:val="nil"/>
              <w:bottom w:val="single" w:sz="4" w:space="0" w:color="auto"/>
              <w:right w:val="single" w:sz="4" w:space="0" w:color="auto"/>
            </w:tcBorders>
            <w:noWrap/>
            <w:vAlign w:val="bottom"/>
            <w:hideMark/>
          </w:tcPr>
          <w:p w14:paraId="02DBE1F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2.300,00</w:t>
            </w:r>
          </w:p>
        </w:tc>
        <w:tc>
          <w:tcPr>
            <w:tcW w:w="1095" w:type="dxa"/>
            <w:tcBorders>
              <w:top w:val="single" w:sz="4" w:space="0" w:color="auto"/>
              <w:left w:val="nil"/>
              <w:bottom w:val="single" w:sz="4" w:space="0" w:color="auto"/>
              <w:right w:val="single" w:sz="4" w:space="0" w:color="auto"/>
            </w:tcBorders>
            <w:noWrap/>
            <w:vAlign w:val="bottom"/>
            <w:hideMark/>
          </w:tcPr>
          <w:p w14:paraId="4878E9B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2.225,38</w:t>
            </w:r>
          </w:p>
        </w:tc>
        <w:tc>
          <w:tcPr>
            <w:tcW w:w="918" w:type="dxa"/>
            <w:tcBorders>
              <w:top w:val="single" w:sz="4" w:space="0" w:color="auto"/>
              <w:left w:val="nil"/>
              <w:bottom w:val="single" w:sz="4" w:space="0" w:color="auto"/>
              <w:right w:val="single" w:sz="4" w:space="0" w:color="auto"/>
            </w:tcBorders>
            <w:noWrap/>
            <w:vAlign w:val="bottom"/>
            <w:hideMark/>
          </w:tcPr>
          <w:p w14:paraId="61AA1C2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96,76%</w:t>
            </w:r>
          </w:p>
        </w:tc>
      </w:tr>
      <w:tr w:rsidR="00416D67" w:rsidRPr="00416D67" w14:paraId="2F06536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5DD9EDE" w14:textId="77777777" w:rsidR="00416D67" w:rsidRPr="00416D67" w:rsidRDefault="00416D67" w:rsidP="00416D67">
            <w:pPr>
              <w:rPr>
                <w:rFonts w:ascii="Arial" w:hAnsi="Arial" w:cs="Arial"/>
                <w:sz w:val="14"/>
                <w:szCs w:val="14"/>
              </w:rPr>
            </w:pPr>
            <w:r w:rsidRPr="00416D67">
              <w:rPr>
                <w:rFonts w:ascii="Arial" w:hAnsi="Arial" w:cs="Arial"/>
                <w:sz w:val="14"/>
                <w:szCs w:val="14"/>
              </w:rPr>
              <w:t>3232</w:t>
            </w:r>
          </w:p>
        </w:tc>
        <w:tc>
          <w:tcPr>
            <w:tcW w:w="8106" w:type="dxa"/>
            <w:tcBorders>
              <w:top w:val="single" w:sz="4" w:space="0" w:color="auto"/>
              <w:left w:val="nil"/>
              <w:bottom w:val="single" w:sz="4" w:space="0" w:color="auto"/>
              <w:right w:val="single" w:sz="4" w:space="0" w:color="auto"/>
            </w:tcBorders>
            <w:noWrap/>
            <w:vAlign w:val="bottom"/>
            <w:hideMark/>
          </w:tcPr>
          <w:p w14:paraId="32249FFD" w14:textId="77777777" w:rsidR="00416D67" w:rsidRPr="00416D67" w:rsidRDefault="00416D67" w:rsidP="00416D67">
            <w:pPr>
              <w:rPr>
                <w:rFonts w:ascii="Arial" w:hAnsi="Arial" w:cs="Arial"/>
                <w:sz w:val="14"/>
                <w:szCs w:val="14"/>
              </w:rPr>
            </w:pPr>
            <w:r w:rsidRPr="00416D67">
              <w:rPr>
                <w:rFonts w:ascii="Arial" w:hAnsi="Arial" w:cs="Arial"/>
                <w:sz w:val="14"/>
                <w:szCs w:val="14"/>
              </w:rPr>
              <w:t>Usluge tekućeg i investicijskog  održavanja</w:t>
            </w:r>
          </w:p>
        </w:tc>
        <w:tc>
          <w:tcPr>
            <w:tcW w:w="1095" w:type="dxa"/>
            <w:tcBorders>
              <w:top w:val="single" w:sz="4" w:space="0" w:color="auto"/>
              <w:left w:val="nil"/>
              <w:bottom w:val="single" w:sz="4" w:space="0" w:color="auto"/>
              <w:right w:val="single" w:sz="4" w:space="0" w:color="auto"/>
            </w:tcBorders>
            <w:noWrap/>
            <w:vAlign w:val="bottom"/>
            <w:hideMark/>
          </w:tcPr>
          <w:p w14:paraId="421A719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B85A9E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1D3747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2.225,38</w:t>
            </w:r>
          </w:p>
        </w:tc>
        <w:tc>
          <w:tcPr>
            <w:tcW w:w="918" w:type="dxa"/>
            <w:tcBorders>
              <w:top w:val="single" w:sz="4" w:space="0" w:color="auto"/>
              <w:left w:val="nil"/>
              <w:bottom w:val="single" w:sz="4" w:space="0" w:color="auto"/>
              <w:right w:val="single" w:sz="4" w:space="0" w:color="auto"/>
            </w:tcBorders>
            <w:noWrap/>
            <w:vAlign w:val="bottom"/>
            <w:hideMark/>
          </w:tcPr>
          <w:p w14:paraId="4827842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ADCC3D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20BA012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Organizacijska klasifikacija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ACA8571"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07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66DFED7"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4D66030"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9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F34E25C"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2025/2024.           (3/2)</w:t>
            </w:r>
          </w:p>
        </w:tc>
      </w:tr>
      <w:tr w:rsidR="00416D67" w:rsidRPr="00416D67" w14:paraId="4C19016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425279A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Izvori</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711103DB"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34CDD7C1"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57DACFDE"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00655FCE" w14:textId="77777777" w:rsidR="00416D67" w:rsidRPr="00416D67" w:rsidRDefault="00416D67" w:rsidP="00416D67">
            <w:pPr>
              <w:rPr>
                <w:rFonts w:ascii="Arial" w:hAnsi="Arial" w:cs="Arial"/>
                <w:sz w:val="14"/>
                <w:szCs w:val="14"/>
              </w:rPr>
            </w:pPr>
          </w:p>
        </w:tc>
      </w:tr>
      <w:tr w:rsidR="00416D67" w:rsidRPr="00416D67" w14:paraId="54CBB51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000000"/>
            </w:tcBorders>
            <w:shd w:val="clear" w:color="000000" w:fill="D9D9D9"/>
            <w:hideMark/>
          </w:tcPr>
          <w:p w14:paraId="7656D22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Projekt/Aktivnost</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7BC86027"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511DB778"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7C1467CF"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35DF5BA6" w14:textId="77777777" w:rsidR="00416D67" w:rsidRPr="00416D67" w:rsidRDefault="00416D67" w:rsidP="00416D67">
            <w:pPr>
              <w:rPr>
                <w:rFonts w:ascii="Arial" w:hAnsi="Arial" w:cs="Arial"/>
                <w:sz w:val="14"/>
                <w:szCs w:val="14"/>
              </w:rPr>
            </w:pPr>
          </w:p>
        </w:tc>
      </w:tr>
      <w:tr w:rsidR="00416D67" w:rsidRPr="00416D67" w14:paraId="29A7937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5EE04C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7. Prihodi od prodaje ili zamjene nefinancijske imovine i </w:t>
            </w:r>
            <w:proofErr w:type="spellStart"/>
            <w:r w:rsidRPr="00416D67">
              <w:rPr>
                <w:rFonts w:ascii="Arial" w:hAnsi="Arial" w:cs="Arial"/>
                <w:b/>
                <w:bCs/>
                <w:color w:val="333333"/>
                <w:sz w:val="14"/>
                <w:szCs w:val="14"/>
              </w:rPr>
              <w:t>nakna</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739F13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4E81AF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75FF20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2.946,65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6D44D5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84,19%</w:t>
            </w:r>
          </w:p>
        </w:tc>
      </w:tr>
      <w:tr w:rsidR="00416D67" w:rsidRPr="00416D67" w14:paraId="369B18F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CD1110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7.2. Prodaja državnog </w:t>
            </w:r>
            <w:proofErr w:type="spellStart"/>
            <w:r w:rsidRPr="00416D67">
              <w:rPr>
                <w:rFonts w:ascii="Arial" w:hAnsi="Arial" w:cs="Arial"/>
                <w:b/>
                <w:bCs/>
                <w:color w:val="333333"/>
                <w:sz w:val="14"/>
                <w:szCs w:val="14"/>
              </w:rPr>
              <w:t>poljopr.zemljišta</w:t>
            </w:r>
            <w:proofErr w:type="spellEnd"/>
            <w:r w:rsidRPr="00416D67">
              <w:rPr>
                <w:rFonts w:ascii="Arial" w:hAnsi="Arial" w:cs="Arial"/>
                <w:b/>
                <w:bCs/>
                <w:color w:val="333333"/>
                <w:sz w:val="14"/>
                <w:szCs w:val="14"/>
              </w:rPr>
              <w:t xml:space="preserve"> 6457</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B87EAE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84A745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B5DBC5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2.946,65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61033A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84,19%</w:t>
            </w:r>
          </w:p>
        </w:tc>
      </w:tr>
      <w:tr w:rsidR="00416D67" w:rsidRPr="00416D67" w14:paraId="11E390A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71885A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02CC490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721AB15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3.500,00</w:t>
            </w:r>
          </w:p>
        </w:tc>
        <w:tc>
          <w:tcPr>
            <w:tcW w:w="1070" w:type="dxa"/>
            <w:tcBorders>
              <w:top w:val="single" w:sz="4" w:space="0" w:color="auto"/>
              <w:left w:val="nil"/>
              <w:bottom w:val="single" w:sz="4" w:space="0" w:color="auto"/>
              <w:right w:val="single" w:sz="4" w:space="0" w:color="auto"/>
            </w:tcBorders>
            <w:noWrap/>
            <w:vAlign w:val="bottom"/>
            <w:hideMark/>
          </w:tcPr>
          <w:p w14:paraId="0513277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3.500,00</w:t>
            </w:r>
          </w:p>
        </w:tc>
        <w:tc>
          <w:tcPr>
            <w:tcW w:w="1095" w:type="dxa"/>
            <w:tcBorders>
              <w:top w:val="single" w:sz="4" w:space="0" w:color="auto"/>
              <w:left w:val="nil"/>
              <w:bottom w:val="single" w:sz="4" w:space="0" w:color="auto"/>
              <w:right w:val="single" w:sz="4" w:space="0" w:color="auto"/>
            </w:tcBorders>
            <w:noWrap/>
            <w:vAlign w:val="bottom"/>
            <w:hideMark/>
          </w:tcPr>
          <w:p w14:paraId="4ADEA3C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2.946,65</w:t>
            </w:r>
          </w:p>
        </w:tc>
        <w:tc>
          <w:tcPr>
            <w:tcW w:w="918" w:type="dxa"/>
            <w:tcBorders>
              <w:top w:val="single" w:sz="4" w:space="0" w:color="auto"/>
              <w:left w:val="nil"/>
              <w:bottom w:val="single" w:sz="4" w:space="0" w:color="auto"/>
              <w:right w:val="single" w:sz="4" w:space="0" w:color="auto"/>
            </w:tcBorders>
            <w:noWrap/>
            <w:vAlign w:val="bottom"/>
            <w:hideMark/>
          </w:tcPr>
          <w:p w14:paraId="5A3DDA1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84,19%</w:t>
            </w:r>
          </w:p>
        </w:tc>
      </w:tr>
      <w:tr w:rsidR="00416D67" w:rsidRPr="00416D67" w14:paraId="7784AF4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231EFCC" w14:textId="77777777" w:rsidR="00416D67" w:rsidRPr="00416D67" w:rsidRDefault="00416D67" w:rsidP="00416D67">
            <w:pPr>
              <w:rPr>
                <w:rFonts w:ascii="Arial" w:hAnsi="Arial" w:cs="Arial"/>
                <w:sz w:val="14"/>
                <w:szCs w:val="14"/>
              </w:rPr>
            </w:pPr>
            <w:r w:rsidRPr="00416D67">
              <w:rPr>
                <w:rFonts w:ascii="Arial" w:hAnsi="Arial" w:cs="Arial"/>
                <w:sz w:val="14"/>
                <w:szCs w:val="14"/>
              </w:rPr>
              <w:t>3232</w:t>
            </w:r>
          </w:p>
        </w:tc>
        <w:tc>
          <w:tcPr>
            <w:tcW w:w="8106" w:type="dxa"/>
            <w:tcBorders>
              <w:top w:val="single" w:sz="4" w:space="0" w:color="auto"/>
              <w:left w:val="nil"/>
              <w:bottom w:val="single" w:sz="4" w:space="0" w:color="auto"/>
              <w:right w:val="single" w:sz="4" w:space="0" w:color="auto"/>
            </w:tcBorders>
            <w:noWrap/>
            <w:vAlign w:val="bottom"/>
            <w:hideMark/>
          </w:tcPr>
          <w:p w14:paraId="30C952BB" w14:textId="77777777" w:rsidR="00416D67" w:rsidRPr="00416D67" w:rsidRDefault="00416D67" w:rsidP="00416D67">
            <w:pPr>
              <w:rPr>
                <w:rFonts w:ascii="Arial" w:hAnsi="Arial" w:cs="Arial"/>
                <w:sz w:val="14"/>
                <w:szCs w:val="14"/>
              </w:rPr>
            </w:pPr>
            <w:r w:rsidRPr="00416D67">
              <w:rPr>
                <w:rFonts w:ascii="Arial" w:hAnsi="Arial" w:cs="Arial"/>
                <w:sz w:val="14"/>
                <w:szCs w:val="14"/>
              </w:rPr>
              <w:t>Usluge tekućeg i investicijskog  održavanja</w:t>
            </w:r>
          </w:p>
        </w:tc>
        <w:tc>
          <w:tcPr>
            <w:tcW w:w="1095" w:type="dxa"/>
            <w:tcBorders>
              <w:top w:val="single" w:sz="4" w:space="0" w:color="auto"/>
              <w:left w:val="nil"/>
              <w:bottom w:val="single" w:sz="4" w:space="0" w:color="auto"/>
              <w:right w:val="single" w:sz="4" w:space="0" w:color="auto"/>
            </w:tcBorders>
            <w:noWrap/>
            <w:vAlign w:val="bottom"/>
            <w:hideMark/>
          </w:tcPr>
          <w:p w14:paraId="36779FC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263A93C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04503E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2.946,65</w:t>
            </w:r>
          </w:p>
        </w:tc>
        <w:tc>
          <w:tcPr>
            <w:tcW w:w="918" w:type="dxa"/>
            <w:tcBorders>
              <w:top w:val="single" w:sz="4" w:space="0" w:color="auto"/>
              <w:left w:val="nil"/>
              <w:bottom w:val="single" w:sz="4" w:space="0" w:color="auto"/>
              <w:right w:val="single" w:sz="4" w:space="0" w:color="auto"/>
            </w:tcBorders>
            <w:noWrap/>
            <w:vAlign w:val="bottom"/>
            <w:hideMark/>
          </w:tcPr>
          <w:p w14:paraId="62B2917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EBF327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3844C6C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3032</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4189A81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Program: Poduzetnički inkubator Marčana</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59033DB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331.174,55</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6C64A0B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331.174,55</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6B76DF5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53.073,75</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4A6278C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16,03%</w:t>
            </w:r>
          </w:p>
        </w:tc>
      </w:tr>
      <w:tr w:rsidR="00416D67" w:rsidRPr="00416D67" w14:paraId="7A66B0C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800F65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K303201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67F68CD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Kapitalni projekt: Izgradnja poduzetničkog inkubatora Marčana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886FBC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331.174,55</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6D753CE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331.174,55</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5AD8A3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53.073,75</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2D9CFB7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16,03%</w:t>
            </w:r>
          </w:p>
        </w:tc>
      </w:tr>
      <w:tr w:rsidR="00416D67" w:rsidRPr="00416D67" w14:paraId="0575E22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98D23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 Višak prihoda ranijih godina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1C5F8B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331.174,55</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2E3C27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331.174,55</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6A9748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53.073,75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DE92D2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16,03%</w:t>
            </w:r>
          </w:p>
        </w:tc>
      </w:tr>
      <w:tr w:rsidR="00416D67" w:rsidRPr="00416D67" w14:paraId="6628A74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67283E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9.1.1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23A3D0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331.174,55</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F44442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331.174,55</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8F6993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53.073,75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7612DD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16,03%</w:t>
            </w:r>
          </w:p>
        </w:tc>
      </w:tr>
      <w:tr w:rsidR="00416D67" w:rsidRPr="00416D67" w14:paraId="778C648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0A58F7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2A7E28D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44F2958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331.174,55</w:t>
            </w:r>
          </w:p>
        </w:tc>
        <w:tc>
          <w:tcPr>
            <w:tcW w:w="1070" w:type="dxa"/>
            <w:tcBorders>
              <w:top w:val="single" w:sz="4" w:space="0" w:color="auto"/>
              <w:left w:val="nil"/>
              <w:bottom w:val="single" w:sz="4" w:space="0" w:color="auto"/>
              <w:right w:val="single" w:sz="4" w:space="0" w:color="auto"/>
            </w:tcBorders>
            <w:noWrap/>
            <w:vAlign w:val="bottom"/>
            <w:hideMark/>
          </w:tcPr>
          <w:p w14:paraId="2960385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331.174,55</w:t>
            </w:r>
          </w:p>
        </w:tc>
        <w:tc>
          <w:tcPr>
            <w:tcW w:w="1095" w:type="dxa"/>
            <w:tcBorders>
              <w:top w:val="single" w:sz="4" w:space="0" w:color="auto"/>
              <w:left w:val="nil"/>
              <w:bottom w:val="single" w:sz="4" w:space="0" w:color="auto"/>
              <w:right w:val="single" w:sz="4" w:space="0" w:color="auto"/>
            </w:tcBorders>
            <w:noWrap/>
            <w:vAlign w:val="bottom"/>
            <w:hideMark/>
          </w:tcPr>
          <w:p w14:paraId="6B5D12B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53.073,75</w:t>
            </w:r>
          </w:p>
        </w:tc>
        <w:tc>
          <w:tcPr>
            <w:tcW w:w="918" w:type="dxa"/>
            <w:tcBorders>
              <w:top w:val="single" w:sz="4" w:space="0" w:color="auto"/>
              <w:left w:val="nil"/>
              <w:bottom w:val="single" w:sz="4" w:space="0" w:color="auto"/>
              <w:right w:val="single" w:sz="4" w:space="0" w:color="auto"/>
            </w:tcBorders>
            <w:noWrap/>
            <w:vAlign w:val="bottom"/>
            <w:hideMark/>
          </w:tcPr>
          <w:p w14:paraId="6CA4563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16,03%</w:t>
            </w:r>
          </w:p>
        </w:tc>
      </w:tr>
      <w:tr w:rsidR="00416D67" w:rsidRPr="00416D67" w14:paraId="3D6A6D9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FF891B0" w14:textId="77777777" w:rsidR="00416D67" w:rsidRPr="00416D67" w:rsidRDefault="00416D67" w:rsidP="00416D67">
            <w:pPr>
              <w:rPr>
                <w:rFonts w:ascii="Arial" w:hAnsi="Arial" w:cs="Arial"/>
                <w:sz w:val="14"/>
                <w:szCs w:val="14"/>
              </w:rPr>
            </w:pPr>
            <w:r w:rsidRPr="00416D67">
              <w:rPr>
                <w:rFonts w:ascii="Arial" w:hAnsi="Arial" w:cs="Arial"/>
                <w:sz w:val="14"/>
                <w:szCs w:val="14"/>
              </w:rPr>
              <w:t>4212</w:t>
            </w:r>
          </w:p>
        </w:tc>
        <w:tc>
          <w:tcPr>
            <w:tcW w:w="8106" w:type="dxa"/>
            <w:tcBorders>
              <w:top w:val="single" w:sz="4" w:space="0" w:color="auto"/>
              <w:left w:val="nil"/>
              <w:bottom w:val="single" w:sz="4" w:space="0" w:color="auto"/>
              <w:right w:val="single" w:sz="4" w:space="0" w:color="auto"/>
            </w:tcBorders>
            <w:noWrap/>
            <w:vAlign w:val="bottom"/>
            <w:hideMark/>
          </w:tcPr>
          <w:p w14:paraId="5DF9EB45" w14:textId="77777777" w:rsidR="00416D67" w:rsidRPr="00416D67" w:rsidRDefault="00416D67" w:rsidP="00416D67">
            <w:pPr>
              <w:rPr>
                <w:rFonts w:ascii="Arial" w:hAnsi="Arial" w:cs="Arial"/>
                <w:sz w:val="14"/>
                <w:szCs w:val="14"/>
              </w:rPr>
            </w:pPr>
            <w:r w:rsidRPr="00416D67">
              <w:rPr>
                <w:rFonts w:ascii="Arial" w:hAnsi="Arial" w:cs="Arial"/>
                <w:sz w:val="14"/>
                <w:szCs w:val="14"/>
              </w:rPr>
              <w:t>Poslovni objekti</w:t>
            </w:r>
          </w:p>
        </w:tc>
        <w:tc>
          <w:tcPr>
            <w:tcW w:w="1095" w:type="dxa"/>
            <w:tcBorders>
              <w:top w:val="single" w:sz="4" w:space="0" w:color="auto"/>
              <w:left w:val="nil"/>
              <w:bottom w:val="single" w:sz="4" w:space="0" w:color="auto"/>
              <w:right w:val="single" w:sz="4" w:space="0" w:color="auto"/>
            </w:tcBorders>
            <w:noWrap/>
            <w:vAlign w:val="bottom"/>
            <w:hideMark/>
          </w:tcPr>
          <w:p w14:paraId="57C3AA3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8657B9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84201A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53.073,75</w:t>
            </w:r>
          </w:p>
        </w:tc>
        <w:tc>
          <w:tcPr>
            <w:tcW w:w="918" w:type="dxa"/>
            <w:tcBorders>
              <w:top w:val="single" w:sz="4" w:space="0" w:color="auto"/>
              <w:left w:val="nil"/>
              <w:bottom w:val="single" w:sz="4" w:space="0" w:color="auto"/>
              <w:right w:val="single" w:sz="4" w:space="0" w:color="auto"/>
            </w:tcBorders>
            <w:noWrap/>
            <w:vAlign w:val="bottom"/>
            <w:hideMark/>
          </w:tcPr>
          <w:p w14:paraId="5746424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9156A0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36FC4AF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3035</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07D40C1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Program: Program zaštite i spašavanja</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6CE1AB7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8.530,00</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287B185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8.530,00</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1562B3F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4.873,75</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069F51E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57,14%</w:t>
            </w:r>
          </w:p>
        </w:tc>
      </w:tr>
      <w:tr w:rsidR="00416D67" w:rsidRPr="00416D67" w14:paraId="27075F5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5914BF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221CDA4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Postrojba civilne zaštite</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7EF174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3.300,00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3A5C18A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3.300,00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A2B1BD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1.455,00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62D8823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44,09%</w:t>
            </w:r>
          </w:p>
        </w:tc>
      </w:tr>
      <w:tr w:rsidR="00416D67" w:rsidRPr="00416D67" w14:paraId="45EAB1E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E1D97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3604E9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3.300,00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0B3148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3.300,00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128331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1.455,00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E3C2F2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44,09%</w:t>
            </w:r>
          </w:p>
        </w:tc>
      </w:tr>
      <w:tr w:rsidR="00416D67" w:rsidRPr="00416D67" w14:paraId="20104DD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7B8D67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9089FB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3.300,00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AE445C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3.300,00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256181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1.455,00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BE7360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44,09%</w:t>
            </w:r>
          </w:p>
        </w:tc>
      </w:tr>
      <w:tr w:rsidR="00416D67" w:rsidRPr="00416D67" w14:paraId="7DA6479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C86D38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4B6C974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1FF4B7C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3.300,00</w:t>
            </w:r>
          </w:p>
        </w:tc>
        <w:tc>
          <w:tcPr>
            <w:tcW w:w="1070" w:type="dxa"/>
            <w:tcBorders>
              <w:top w:val="single" w:sz="4" w:space="0" w:color="auto"/>
              <w:left w:val="nil"/>
              <w:bottom w:val="single" w:sz="4" w:space="0" w:color="auto"/>
              <w:right w:val="single" w:sz="4" w:space="0" w:color="auto"/>
            </w:tcBorders>
            <w:noWrap/>
            <w:vAlign w:val="bottom"/>
            <w:hideMark/>
          </w:tcPr>
          <w:p w14:paraId="0A3BAC4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3.300,00</w:t>
            </w:r>
          </w:p>
        </w:tc>
        <w:tc>
          <w:tcPr>
            <w:tcW w:w="1095" w:type="dxa"/>
            <w:tcBorders>
              <w:top w:val="single" w:sz="4" w:space="0" w:color="auto"/>
              <w:left w:val="nil"/>
              <w:bottom w:val="single" w:sz="4" w:space="0" w:color="auto"/>
              <w:right w:val="single" w:sz="4" w:space="0" w:color="auto"/>
            </w:tcBorders>
            <w:noWrap/>
            <w:vAlign w:val="bottom"/>
            <w:hideMark/>
          </w:tcPr>
          <w:p w14:paraId="2E4D0F3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1.455,00</w:t>
            </w:r>
          </w:p>
        </w:tc>
        <w:tc>
          <w:tcPr>
            <w:tcW w:w="918" w:type="dxa"/>
            <w:tcBorders>
              <w:top w:val="single" w:sz="4" w:space="0" w:color="auto"/>
              <w:left w:val="nil"/>
              <w:bottom w:val="single" w:sz="4" w:space="0" w:color="auto"/>
              <w:right w:val="single" w:sz="4" w:space="0" w:color="auto"/>
            </w:tcBorders>
            <w:noWrap/>
            <w:vAlign w:val="bottom"/>
            <w:hideMark/>
          </w:tcPr>
          <w:p w14:paraId="5D4D684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44,09%</w:t>
            </w:r>
          </w:p>
        </w:tc>
      </w:tr>
      <w:tr w:rsidR="00416D67" w:rsidRPr="00416D67" w14:paraId="64BBC15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F14E629" w14:textId="77777777" w:rsidR="00416D67" w:rsidRPr="00416D67" w:rsidRDefault="00416D67" w:rsidP="00416D67">
            <w:pPr>
              <w:rPr>
                <w:rFonts w:ascii="Arial" w:hAnsi="Arial" w:cs="Arial"/>
                <w:sz w:val="14"/>
                <w:szCs w:val="14"/>
              </w:rPr>
            </w:pPr>
            <w:r w:rsidRPr="00416D67">
              <w:rPr>
                <w:rFonts w:ascii="Arial" w:hAnsi="Arial" w:cs="Arial"/>
                <w:sz w:val="14"/>
                <w:szCs w:val="14"/>
              </w:rPr>
              <w:t>3231</w:t>
            </w:r>
          </w:p>
        </w:tc>
        <w:tc>
          <w:tcPr>
            <w:tcW w:w="8106" w:type="dxa"/>
            <w:tcBorders>
              <w:top w:val="single" w:sz="4" w:space="0" w:color="auto"/>
              <w:left w:val="nil"/>
              <w:bottom w:val="single" w:sz="4" w:space="0" w:color="auto"/>
              <w:right w:val="single" w:sz="4" w:space="0" w:color="auto"/>
            </w:tcBorders>
            <w:noWrap/>
            <w:vAlign w:val="bottom"/>
            <w:hideMark/>
          </w:tcPr>
          <w:p w14:paraId="0FCE943B" w14:textId="77777777" w:rsidR="00416D67" w:rsidRPr="00416D67" w:rsidRDefault="00416D67" w:rsidP="00416D67">
            <w:pPr>
              <w:rPr>
                <w:rFonts w:ascii="Arial" w:hAnsi="Arial" w:cs="Arial"/>
                <w:sz w:val="14"/>
                <w:szCs w:val="14"/>
              </w:rPr>
            </w:pPr>
            <w:r w:rsidRPr="00416D67">
              <w:rPr>
                <w:rFonts w:ascii="Arial" w:hAnsi="Arial" w:cs="Arial"/>
                <w:sz w:val="14"/>
                <w:szCs w:val="14"/>
              </w:rPr>
              <w:t>Usluge telefona, interneta, pošte i prijevoza</w:t>
            </w:r>
          </w:p>
        </w:tc>
        <w:tc>
          <w:tcPr>
            <w:tcW w:w="1095" w:type="dxa"/>
            <w:tcBorders>
              <w:top w:val="single" w:sz="4" w:space="0" w:color="auto"/>
              <w:left w:val="nil"/>
              <w:bottom w:val="single" w:sz="4" w:space="0" w:color="auto"/>
              <w:right w:val="single" w:sz="4" w:space="0" w:color="auto"/>
            </w:tcBorders>
            <w:noWrap/>
            <w:vAlign w:val="bottom"/>
            <w:hideMark/>
          </w:tcPr>
          <w:p w14:paraId="03194D1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CB0156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A32997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1.455,00</w:t>
            </w:r>
          </w:p>
        </w:tc>
        <w:tc>
          <w:tcPr>
            <w:tcW w:w="918" w:type="dxa"/>
            <w:tcBorders>
              <w:top w:val="single" w:sz="4" w:space="0" w:color="auto"/>
              <w:left w:val="nil"/>
              <w:bottom w:val="single" w:sz="4" w:space="0" w:color="auto"/>
              <w:right w:val="single" w:sz="4" w:space="0" w:color="auto"/>
            </w:tcBorders>
            <w:noWrap/>
            <w:vAlign w:val="bottom"/>
            <w:hideMark/>
          </w:tcPr>
          <w:p w14:paraId="5235604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4B6CA3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1F5D56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A100002</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1F08378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Nabava opreme za civilnu zaštitu</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9479DA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6B77AE1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95E787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683FDAB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343AA87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378861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1BDA9D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428F2B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1F377D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44989D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0E7A55E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95CE9FE"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C89812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22D754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4F863F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820697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146C759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63DE21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0F16A90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735E446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1.400,00</w:t>
            </w:r>
          </w:p>
        </w:tc>
        <w:tc>
          <w:tcPr>
            <w:tcW w:w="1070" w:type="dxa"/>
            <w:tcBorders>
              <w:top w:val="single" w:sz="4" w:space="0" w:color="auto"/>
              <w:left w:val="nil"/>
              <w:bottom w:val="single" w:sz="4" w:space="0" w:color="auto"/>
              <w:right w:val="single" w:sz="4" w:space="0" w:color="auto"/>
            </w:tcBorders>
            <w:noWrap/>
            <w:vAlign w:val="bottom"/>
            <w:hideMark/>
          </w:tcPr>
          <w:p w14:paraId="0272463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1.400,00</w:t>
            </w:r>
          </w:p>
        </w:tc>
        <w:tc>
          <w:tcPr>
            <w:tcW w:w="1095" w:type="dxa"/>
            <w:tcBorders>
              <w:top w:val="single" w:sz="4" w:space="0" w:color="auto"/>
              <w:left w:val="nil"/>
              <w:bottom w:val="single" w:sz="4" w:space="0" w:color="auto"/>
              <w:right w:val="single" w:sz="4" w:space="0" w:color="auto"/>
            </w:tcBorders>
            <w:noWrap/>
            <w:vAlign w:val="bottom"/>
            <w:hideMark/>
          </w:tcPr>
          <w:p w14:paraId="74FC3A9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0B609CC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3782E51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FE8B54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A100003</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3D7FCCF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Gorska služba za zaštitu i spašavanje</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AE828C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67723C5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481461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0E6AEFE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4E11133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39C3BB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lastRenderedPageBreak/>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BAC8FF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61BA31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D4C713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8A005F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3D051F5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01C14C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056F02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248401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8D0A45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73DE84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2ED56CD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88F6EB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0197723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2A04AA7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w:t>
            </w:r>
          </w:p>
        </w:tc>
        <w:tc>
          <w:tcPr>
            <w:tcW w:w="1070" w:type="dxa"/>
            <w:tcBorders>
              <w:top w:val="single" w:sz="4" w:space="0" w:color="auto"/>
              <w:left w:val="nil"/>
              <w:bottom w:val="single" w:sz="4" w:space="0" w:color="auto"/>
              <w:right w:val="single" w:sz="4" w:space="0" w:color="auto"/>
            </w:tcBorders>
            <w:noWrap/>
            <w:vAlign w:val="bottom"/>
            <w:hideMark/>
          </w:tcPr>
          <w:p w14:paraId="100CDAA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w:t>
            </w:r>
          </w:p>
        </w:tc>
        <w:tc>
          <w:tcPr>
            <w:tcW w:w="1095" w:type="dxa"/>
            <w:tcBorders>
              <w:top w:val="single" w:sz="4" w:space="0" w:color="auto"/>
              <w:left w:val="nil"/>
              <w:bottom w:val="single" w:sz="4" w:space="0" w:color="auto"/>
              <w:right w:val="single" w:sz="4" w:space="0" w:color="auto"/>
            </w:tcBorders>
            <w:noWrap/>
            <w:vAlign w:val="bottom"/>
            <w:hideMark/>
          </w:tcPr>
          <w:p w14:paraId="582CC67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w:t>
            </w:r>
          </w:p>
        </w:tc>
        <w:tc>
          <w:tcPr>
            <w:tcW w:w="918" w:type="dxa"/>
            <w:tcBorders>
              <w:top w:val="single" w:sz="4" w:space="0" w:color="auto"/>
              <w:left w:val="nil"/>
              <w:bottom w:val="single" w:sz="4" w:space="0" w:color="auto"/>
              <w:right w:val="single" w:sz="4" w:space="0" w:color="auto"/>
            </w:tcBorders>
            <w:noWrap/>
            <w:vAlign w:val="bottom"/>
            <w:hideMark/>
          </w:tcPr>
          <w:p w14:paraId="48C7AA1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5E21E76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CBCE27F" w14:textId="77777777" w:rsidR="00416D67" w:rsidRPr="00416D67" w:rsidRDefault="00416D67" w:rsidP="00416D67">
            <w:pPr>
              <w:rPr>
                <w:rFonts w:ascii="Arial" w:hAnsi="Arial" w:cs="Arial"/>
                <w:sz w:val="14"/>
                <w:szCs w:val="14"/>
              </w:rPr>
            </w:pPr>
            <w:r w:rsidRPr="00416D67">
              <w:rPr>
                <w:rFonts w:ascii="Arial" w:hAnsi="Arial" w:cs="Arial"/>
                <w:sz w:val="14"/>
                <w:szCs w:val="14"/>
              </w:rPr>
              <w:t>3811</w:t>
            </w:r>
          </w:p>
        </w:tc>
        <w:tc>
          <w:tcPr>
            <w:tcW w:w="8106" w:type="dxa"/>
            <w:tcBorders>
              <w:top w:val="single" w:sz="4" w:space="0" w:color="auto"/>
              <w:left w:val="nil"/>
              <w:bottom w:val="single" w:sz="4" w:space="0" w:color="auto"/>
              <w:right w:val="single" w:sz="4" w:space="0" w:color="auto"/>
            </w:tcBorders>
            <w:noWrap/>
            <w:vAlign w:val="bottom"/>
            <w:hideMark/>
          </w:tcPr>
          <w:p w14:paraId="054A080B" w14:textId="77777777" w:rsidR="00416D67" w:rsidRPr="00416D67" w:rsidRDefault="00416D67" w:rsidP="00416D67">
            <w:pPr>
              <w:rPr>
                <w:rFonts w:ascii="Arial" w:hAnsi="Arial" w:cs="Arial"/>
                <w:sz w:val="14"/>
                <w:szCs w:val="14"/>
              </w:rPr>
            </w:pPr>
            <w:r w:rsidRPr="00416D67">
              <w:rPr>
                <w:rFonts w:ascii="Arial" w:hAnsi="Arial" w:cs="Arial"/>
                <w:sz w:val="14"/>
                <w:szCs w:val="14"/>
              </w:rPr>
              <w:t>Tekuće donacije u novcu</w:t>
            </w:r>
          </w:p>
        </w:tc>
        <w:tc>
          <w:tcPr>
            <w:tcW w:w="1095" w:type="dxa"/>
            <w:tcBorders>
              <w:top w:val="single" w:sz="4" w:space="0" w:color="auto"/>
              <w:left w:val="nil"/>
              <w:bottom w:val="single" w:sz="4" w:space="0" w:color="auto"/>
              <w:right w:val="single" w:sz="4" w:space="0" w:color="auto"/>
            </w:tcBorders>
            <w:noWrap/>
            <w:vAlign w:val="bottom"/>
            <w:hideMark/>
          </w:tcPr>
          <w:p w14:paraId="042342A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7C18E8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786E82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2.500,00</w:t>
            </w:r>
          </w:p>
        </w:tc>
        <w:tc>
          <w:tcPr>
            <w:tcW w:w="918" w:type="dxa"/>
            <w:tcBorders>
              <w:top w:val="single" w:sz="4" w:space="0" w:color="auto"/>
              <w:left w:val="nil"/>
              <w:bottom w:val="single" w:sz="4" w:space="0" w:color="auto"/>
              <w:right w:val="single" w:sz="4" w:space="0" w:color="auto"/>
            </w:tcBorders>
            <w:noWrap/>
            <w:vAlign w:val="bottom"/>
            <w:hideMark/>
          </w:tcPr>
          <w:p w14:paraId="4D840E3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C52C9E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5B69C8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A100004</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599FBF8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Sanacija posljedica hitnih situacija, nesreća i katastrofa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083B21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1.330,00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3754664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1.330,00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BE4EC5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584C909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7464224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F18FB8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C76955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1.330,00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C4B9A3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1.330,00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B67527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5D3AB6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616C6D9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084DC8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40D314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1.330,00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9289C3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1.330,00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5FE4DB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7F7330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5440E0E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7B493D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059981F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6D1BC42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1.330,00</w:t>
            </w:r>
          </w:p>
        </w:tc>
        <w:tc>
          <w:tcPr>
            <w:tcW w:w="1070" w:type="dxa"/>
            <w:tcBorders>
              <w:top w:val="single" w:sz="4" w:space="0" w:color="auto"/>
              <w:left w:val="nil"/>
              <w:bottom w:val="single" w:sz="4" w:space="0" w:color="auto"/>
              <w:right w:val="single" w:sz="4" w:space="0" w:color="auto"/>
            </w:tcBorders>
            <w:noWrap/>
            <w:vAlign w:val="bottom"/>
            <w:hideMark/>
          </w:tcPr>
          <w:p w14:paraId="5D41342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1.330,00</w:t>
            </w:r>
          </w:p>
        </w:tc>
        <w:tc>
          <w:tcPr>
            <w:tcW w:w="1095" w:type="dxa"/>
            <w:tcBorders>
              <w:top w:val="single" w:sz="4" w:space="0" w:color="auto"/>
              <w:left w:val="nil"/>
              <w:bottom w:val="single" w:sz="4" w:space="0" w:color="auto"/>
              <w:right w:val="single" w:sz="4" w:space="0" w:color="auto"/>
            </w:tcBorders>
            <w:noWrap/>
            <w:vAlign w:val="bottom"/>
            <w:hideMark/>
          </w:tcPr>
          <w:p w14:paraId="297AC5A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65FDCA2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33B0C20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800FA9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A100005</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389AA30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Izrada procjene rizika od velikih nesreća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F6C855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2144B0A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33AB4A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918,75</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5E31B31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r>
      <w:tr w:rsidR="00416D67" w:rsidRPr="00416D67" w14:paraId="217FEC9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F0FD791"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DCD8D6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1B7477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F3D9B4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918,75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97A3CE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 </w:t>
            </w:r>
          </w:p>
        </w:tc>
      </w:tr>
      <w:tr w:rsidR="00416D67" w:rsidRPr="00416D67" w14:paraId="47FDCC1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A377C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136E5D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21CF73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C45188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918,75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1C9DBB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 </w:t>
            </w:r>
          </w:p>
        </w:tc>
      </w:tr>
      <w:tr w:rsidR="00416D67" w:rsidRPr="00416D67" w14:paraId="42899EB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E8AC64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5CE54F4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6420687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1070" w:type="dxa"/>
            <w:tcBorders>
              <w:top w:val="single" w:sz="4" w:space="0" w:color="auto"/>
              <w:left w:val="nil"/>
              <w:bottom w:val="single" w:sz="4" w:space="0" w:color="auto"/>
              <w:right w:val="single" w:sz="4" w:space="0" w:color="auto"/>
            </w:tcBorders>
            <w:noWrap/>
            <w:vAlign w:val="bottom"/>
            <w:hideMark/>
          </w:tcPr>
          <w:p w14:paraId="4A552E4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1095" w:type="dxa"/>
            <w:tcBorders>
              <w:top w:val="single" w:sz="4" w:space="0" w:color="auto"/>
              <w:left w:val="nil"/>
              <w:bottom w:val="single" w:sz="4" w:space="0" w:color="auto"/>
              <w:right w:val="single" w:sz="4" w:space="0" w:color="auto"/>
            </w:tcBorders>
            <w:noWrap/>
            <w:vAlign w:val="bottom"/>
            <w:hideMark/>
          </w:tcPr>
          <w:p w14:paraId="40DCE30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918,75</w:t>
            </w:r>
          </w:p>
        </w:tc>
        <w:tc>
          <w:tcPr>
            <w:tcW w:w="918" w:type="dxa"/>
            <w:tcBorders>
              <w:top w:val="single" w:sz="4" w:space="0" w:color="auto"/>
              <w:left w:val="nil"/>
              <w:bottom w:val="single" w:sz="4" w:space="0" w:color="auto"/>
              <w:right w:val="single" w:sz="4" w:space="0" w:color="auto"/>
            </w:tcBorders>
            <w:noWrap/>
            <w:vAlign w:val="bottom"/>
            <w:hideMark/>
          </w:tcPr>
          <w:p w14:paraId="74FDAAA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r>
      <w:tr w:rsidR="00416D67" w:rsidRPr="00416D67" w14:paraId="777C0B6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49AB3AA" w14:textId="77777777" w:rsidR="00416D67" w:rsidRPr="00416D67" w:rsidRDefault="00416D67" w:rsidP="00416D67">
            <w:pPr>
              <w:rPr>
                <w:rFonts w:ascii="Arial" w:hAnsi="Arial" w:cs="Arial"/>
                <w:sz w:val="14"/>
                <w:szCs w:val="14"/>
              </w:rPr>
            </w:pPr>
            <w:r w:rsidRPr="00416D67">
              <w:rPr>
                <w:rFonts w:ascii="Arial" w:hAnsi="Arial" w:cs="Arial"/>
                <w:sz w:val="14"/>
                <w:szCs w:val="14"/>
              </w:rPr>
              <w:t>3237</w:t>
            </w:r>
          </w:p>
        </w:tc>
        <w:tc>
          <w:tcPr>
            <w:tcW w:w="8106" w:type="dxa"/>
            <w:tcBorders>
              <w:top w:val="single" w:sz="4" w:space="0" w:color="auto"/>
              <w:left w:val="nil"/>
              <w:bottom w:val="single" w:sz="4" w:space="0" w:color="auto"/>
              <w:right w:val="single" w:sz="4" w:space="0" w:color="auto"/>
            </w:tcBorders>
            <w:noWrap/>
            <w:vAlign w:val="bottom"/>
            <w:hideMark/>
          </w:tcPr>
          <w:p w14:paraId="2DEB4ACA" w14:textId="77777777" w:rsidR="00416D67" w:rsidRPr="00416D67" w:rsidRDefault="00416D67" w:rsidP="00416D67">
            <w:pPr>
              <w:rPr>
                <w:rFonts w:ascii="Arial" w:hAnsi="Arial" w:cs="Arial"/>
                <w:sz w:val="14"/>
                <w:szCs w:val="14"/>
              </w:rPr>
            </w:pPr>
            <w:r w:rsidRPr="00416D67">
              <w:rPr>
                <w:rFonts w:ascii="Arial" w:hAnsi="Arial" w:cs="Arial"/>
                <w:sz w:val="14"/>
                <w:szCs w:val="14"/>
              </w:rPr>
              <w:t>Intelektualne i osobne usluge</w:t>
            </w:r>
          </w:p>
        </w:tc>
        <w:tc>
          <w:tcPr>
            <w:tcW w:w="1095" w:type="dxa"/>
            <w:tcBorders>
              <w:top w:val="single" w:sz="4" w:space="0" w:color="auto"/>
              <w:left w:val="nil"/>
              <w:bottom w:val="single" w:sz="4" w:space="0" w:color="auto"/>
              <w:right w:val="single" w:sz="4" w:space="0" w:color="auto"/>
            </w:tcBorders>
            <w:noWrap/>
            <w:vAlign w:val="bottom"/>
            <w:hideMark/>
          </w:tcPr>
          <w:p w14:paraId="36A0EC8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69F5D1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AC26DC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918,75</w:t>
            </w:r>
          </w:p>
        </w:tc>
        <w:tc>
          <w:tcPr>
            <w:tcW w:w="918" w:type="dxa"/>
            <w:tcBorders>
              <w:top w:val="single" w:sz="4" w:space="0" w:color="auto"/>
              <w:left w:val="nil"/>
              <w:bottom w:val="single" w:sz="4" w:space="0" w:color="auto"/>
              <w:right w:val="single" w:sz="4" w:space="0" w:color="auto"/>
            </w:tcBorders>
            <w:noWrap/>
            <w:vAlign w:val="bottom"/>
            <w:hideMark/>
          </w:tcPr>
          <w:p w14:paraId="4FFB51C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FF25D3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6CCDD09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3036</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2EC84C5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Program: Protupožarna zaštita</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55252F1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333.778,00</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0E8D94B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325.088,00</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688F5C9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304.349,55</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5EDFEF7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93,62%</w:t>
            </w:r>
          </w:p>
        </w:tc>
      </w:tr>
      <w:tr w:rsidR="00416D67" w:rsidRPr="00416D67" w14:paraId="67D810B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FEE7DD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1B5E74C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Izrada protupožarnih puteva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1B3B23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12.500,00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35C7D3D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12.500,00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E1701B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12.062,50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63A9100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96,50%</w:t>
            </w:r>
          </w:p>
        </w:tc>
      </w:tr>
      <w:tr w:rsidR="00416D67" w:rsidRPr="00416D67" w14:paraId="27254C3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7061D3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09B8D8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11.840,00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A92AB3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11.840,00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7BE8DE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11.528,65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457CB7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97,37%</w:t>
            </w:r>
          </w:p>
        </w:tc>
      </w:tr>
      <w:tr w:rsidR="00416D67" w:rsidRPr="00416D67" w14:paraId="1EA0225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CE934A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9964C6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11.840,00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5FED64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11.840,00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C70269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11.528,65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585F1F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97,37%</w:t>
            </w:r>
          </w:p>
        </w:tc>
      </w:tr>
      <w:tr w:rsidR="00416D67" w:rsidRPr="00416D67" w14:paraId="7099E69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0052316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Organizacijska klasifikacija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C3D44E8"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07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5895CFD"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0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1C11C92"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9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871CB87"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2025/2024.           (3/2)</w:t>
            </w:r>
          </w:p>
        </w:tc>
      </w:tr>
      <w:tr w:rsidR="00416D67" w:rsidRPr="00416D67" w14:paraId="5EF1139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5B310D7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Izvori</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03DDA45C"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68F71E02"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6B472298"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23070254" w14:textId="77777777" w:rsidR="00416D67" w:rsidRPr="00416D67" w:rsidRDefault="00416D67" w:rsidP="00416D67">
            <w:pPr>
              <w:rPr>
                <w:rFonts w:ascii="Arial" w:hAnsi="Arial" w:cs="Arial"/>
                <w:sz w:val="14"/>
                <w:szCs w:val="14"/>
              </w:rPr>
            </w:pPr>
          </w:p>
        </w:tc>
      </w:tr>
      <w:tr w:rsidR="00416D67" w:rsidRPr="00416D67" w14:paraId="406CEC2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000000"/>
            </w:tcBorders>
            <w:shd w:val="clear" w:color="000000" w:fill="D9D9D9"/>
            <w:hideMark/>
          </w:tcPr>
          <w:p w14:paraId="6188DE0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Projekt/Aktivnost</w:t>
            </w: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5ABB3E8F" w14:textId="77777777" w:rsidR="00416D67" w:rsidRPr="00416D67" w:rsidRDefault="00416D67" w:rsidP="00416D67">
            <w:pPr>
              <w:rPr>
                <w:rFonts w:ascii="Arial" w:hAnsi="Arial" w:cs="Arial"/>
                <w:sz w:val="14"/>
                <w:szCs w:val="14"/>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5C5BE9BC" w14:textId="77777777" w:rsidR="00416D67" w:rsidRPr="00416D67" w:rsidRDefault="00416D67" w:rsidP="00416D67">
            <w:pPr>
              <w:rPr>
                <w:rFonts w:ascii="Arial" w:hAnsi="Arial" w:cs="Arial"/>
                <w:sz w:val="14"/>
                <w:szCs w:val="14"/>
              </w:rPr>
            </w:pPr>
          </w:p>
        </w:tc>
        <w:tc>
          <w:tcPr>
            <w:tcW w:w="1095" w:type="dxa"/>
            <w:vMerge/>
            <w:tcBorders>
              <w:top w:val="single" w:sz="4" w:space="0" w:color="auto"/>
              <w:left w:val="single" w:sz="4" w:space="0" w:color="auto"/>
              <w:bottom w:val="single" w:sz="4" w:space="0" w:color="auto"/>
              <w:right w:val="single" w:sz="4" w:space="0" w:color="auto"/>
            </w:tcBorders>
            <w:vAlign w:val="center"/>
            <w:hideMark/>
          </w:tcPr>
          <w:p w14:paraId="4D22BFD1" w14:textId="77777777" w:rsidR="00416D67" w:rsidRPr="00416D67" w:rsidRDefault="00416D67" w:rsidP="00416D67">
            <w:pPr>
              <w:rPr>
                <w:rFonts w:ascii="Arial" w:hAnsi="Arial" w:cs="Arial"/>
                <w:sz w:val="14"/>
                <w:szCs w:val="14"/>
              </w:rPr>
            </w:pPr>
          </w:p>
        </w:tc>
        <w:tc>
          <w:tcPr>
            <w:tcW w:w="918" w:type="dxa"/>
            <w:vMerge/>
            <w:tcBorders>
              <w:top w:val="single" w:sz="4" w:space="0" w:color="auto"/>
              <w:left w:val="single" w:sz="4" w:space="0" w:color="auto"/>
              <w:bottom w:val="single" w:sz="4" w:space="0" w:color="auto"/>
              <w:right w:val="single" w:sz="4" w:space="0" w:color="auto"/>
            </w:tcBorders>
            <w:vAlign w:val="center"/>
            <w:hideMark/>
          </w:tcPr>
          <w:p w14:paraId="49258BB1" w14:textId="77777777" w:rsidR="00416D67" w:rsidRPr="00416D67" w:rsidRDefault="00416D67" w:rsidP="00416D67">
            <w:pPr>
              <w:rPr>
                <w:rFonts w:ascii="Arial" w:hAnsi="Arial" w:cs="Arial"/>
                <w:sz w:val="14"/>
                <w:szCs w:val="14"/>
              </w:rPr>
            </w:pPr>
          </w:p>
        </w:tc>
      </w:tr>
      <w:tr w:rsidR="00416D67" w:rsidRPr="00416D67" w14:paraId="0B412A6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DAD634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6FC54D1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7F2C3A9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11.840,00</w:t>
            </w:r>
          </w:p>
        </w:tc>
        <w:tc>
          <w:tcPr>
            <w:tcW w:w="1070" w:type="dxa"/>
            <w:tcBorders>
              <w:top w:val="single" w:sz="4" w:space="0" w:color="auto"/>
              <w:left w:val="nil"/>
              <w:bottom w:val="single" w:sz="4" w:space="0" w:color="auto"/>
              <w:right w:val="single" w:sz="4" w:space="0" w:color="auto"/>
            </w:tcBorders>
            <w:noWrap/>
            <w:vAlign w:val="bottom"/>
            <w:hideMark/>
          </w:tcPr>
          <w:p w14:paraId="5ED0597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11.840,00</w:t>
            </w:r>
          </w:p>
        </w:tc>
        <w:tc>
          <w:tcPr>
            <w:tcW w:w="1095" w:type="dxa"/>
            <w:tcBorders>
              <w:top w:val="single" w:sz="4" w:space="0" w:color="auto"/>
              <w:left w:val="nil"/>
              <w:bottom w:val="single" w:sz="4" w:space="0" w:color="auto"/>
              <w:right w:val="single" w:sz="4" w:space="0" w:color="auto"/>
            </w:tcBorders>
            <w:noWrap/>
            <w:vAlign w:val="bottom"/>
            <w:hideMark/>
          </w:tcPr>
          <w:p w14:paraId="7A0432D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11.528,65</w:t>
            </w:r>
          </w:p>
        </w:tc>
        <w:tc>
          <w:tcPr>
            <w:tcW w:w="918" w:type="dxa"/>
            <w:tcBorders>
              <w:top w:val="single" w:sz="4" w:space="0" w:color="auto"/>
              <w:left w:val="nil"/>
              <w:bottom w:val="single" w:sz="4" w:space="0" w:color="auto"/>
              <w:right w:val="single" w:sz="4" w:space="0" w:color="auto"/>
            </w:tcBorders>
            <w:noWrap/>
            <w:vAlign w:val="bottom"/>
            <w:hideMark/>
          </w:tcPr>
          <w:p w14:paraId="0E20614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97,37%</w:t>
            </w:r>
          </w:p>
        </w:tc>
      </w:tr>
      <w:tr w:rsidR="00416D67" w:rsidRPr="00416D67" w14:paraId="7A334BF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E056991" w14:textId="77777777" w:rsidR="00416D67" w:rsidRPr="00416D67" w:rsidRDefault="00416D67" w:rsidP="00416D67">
            <w:pPr>
              <w:rPr>
                <w:rFonts w:ascii="Arial" w:hAnsi="Arial" w:cs="Arial"/>
                <w:sz w:val="14"/>
                <w:szCs w:val="14"/>
              </w:rPr>
            </w:pPr>
            <w:r w:rsidRPr="00416D67">
              <w:rPr>
                <w:rFonts w:ascii="Arial" w:hAnsi="Arial" w:cs="Arial"/>
                <w:sz w:val="14"/>
                <w:szCs w:val="14"/>
              </w:rPr>
              <w:t>3232</w:t>
            </w:r>
          </w:p>
        </w:tc>
        <w:tc>
          <w:tcPr>
            <w:tcW w:w="8106" w:type="dxa"/>
            <w:tcBorders>
              <w:top w:val="single" w:sz="4" w:space="0" w:color="auto"/>
              <w:left w:val="nil"/>
              <w:bottom w:val="single" w:sz="4" w:space="0" w:color="auto"/>
              <w:right w:val="single" w:sz="4" w:space="0" w:color="auto"/>
            </w:tcBorders>
            <w:noWrap/>
            <w:vAlign w:val="bottom"/>
            <w:hideMark/>
          </w:tcPr>
          <w:p w14:paraId="10AFD4F1" w14:textId="77777777" w:rsidR="00416D67" w:rsidRPr="00416D67" w:rsidRDefault="00416D67" w:rsidP="00416D67">
            <w:pPr>
              <w:rPr>
                <w:rFonts w:ascii="Arial" w:hAnsi="Arial" w:cs="Arial"/>
                <w:sz w:val="14"/>
                <w:szCs w:val="14"/>
              </w:rPr>
            </w:pPr>
            <w:r w:rsidRPr="00416D67">
              <w:rPr>
                <w:rFonts w:ascii="Arial" w:hAnsi="Arial" w:cs="Arial"/>
                <w:sz w:val="14"/>
                <w:szCs w:val="14"/>
              </w:rPr>
              <w:t>Usluge tekućeg i investicijskog  održavanja</w:t>
            </w:r>
          </w:p>
        </w:tc>
        <w:tc>
          <w:tcPr>
            <w:tcW w:w="1095" w:type="dxa"/>
            <w:tcBorders>
              <w:top w:val="single" w:sz="4" w:space="0" w:color="auto"/>
              <w:left w:val="nil"/>
              <w:bottom w:val="single" w:sz="4" w:space="0" w:color="auto"/>
              <w:right w:val="single" w:sz="4" w:space="0" w:color="auto"/>
            </w:tcBorders>
            <w:noWrap/>
            <w:vAlign w:val="bottom"/>
            <w:hideMark/>
          </w:tcPr>
          <w:p w14:paraId="4488DF4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1EB0D7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171A56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11.528,65</w:t>
            </w:r>
          </w:p>
        </w:tc>
        <w:tc>
          <w:tcPr>
            <w:tcW w:w="918" w:type="dxa"/>
            <w:tcBorders>
              <w:top w:val="single" w:sz="4" w:space="0" w:color="auto"/>
              <w:left w:val="nil"/>
              <w:bottom w:val="single" w:sz="4" w:space="0" w:color="auto"/>
              <w:right w:val="single" w:sz="4" w:space="0" w:color="auto"/>
            </w:tcBorders>
            <w:noWrap/>
            <w:vAlign w:val="bottom"/>
            <w:hideMark/>
          </w:tcPr>
          <w:p w14:paraId="3FE2C88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93BD46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CF61EA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9035B2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660,00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0CD3A5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660,00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C430A0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533,85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2E43E6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80,89%</w:t>
            </w:r>
          </w:p>
        </w:tc>
      </w:tr>
      <w:tr w:rsidR="00416D67" w:rsidRPr="00416D67" w14:paraId="680329D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74F85F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4.3.10 Ostali prihodi za posebne namjene spomenička renta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0D286A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784AA8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78EF29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2,24</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1FDFDE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22,40%</w:t>
            </w:r>
          </w:p>
        </w:tc>
      </w:tr>
      <w:tr w:rsidR="00416D67" w:rsidRPr="00416D67" w14:paraId="0956F90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C69E90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661DF1B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25CF8F9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w:t>
            </w:r>
          </w:p>
        </w:tc>
        <w:tc>
          <w:tcPr>
            <w:tcW w:w="1070" w:type="dxa"/>
            <w:tcBorders>
              <w:top w:val="single" w:sz="4" w:space="0" w:color="auto"/>
              <w:left w:val="nil"/>
              <w:bottom w:val="single" w:sz="4" w:space="0" w:color="auto"/>
              <w:right w:val="single" w:sz="4" w:space="0" w:color="auto"/>
            </w:tcBorders>
            <w:noWrap/>
            <w:vAlign w:val="bottom"/>
            <w:hideMark/>
          </w:tcPr>
          <w:p w14:paraId="26C55D7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w:t>
            </w:r>
          </w:p>
        </w:tc>
        <w:tc>
          <w:tcPr>
            <w:tcW w:w="1095" w:type="dxa"/>
            <w:tcBorders>
              <w:top w:val="single" w:sz="4" w:space="0" w:color="auto"/>
              <w:left w:val="nil"/>
              <w:bottom w:val="single" w:sz="4" w:space="0" w:color="auto"/>
              <w:right w:val="single" w:sz="4" w:space="0" w:color="auto"/>
            </w:tcBorders>
            <w:noWrap/>
            <w:vAlign w:val="bottom"/>
            <w:hideMark/>
          </w:tcPr>
          <w:p w14:paraId="7C9F797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2,24</w:t>
            </w:r>
          </w:p>
        </w:tc>
        <w:tc>
          <w:tcPr>
            <w:tcW w:w="918" w:type="dxa"/>
            <w:tcBorders>
              <w:top w:val="single" w:sz="4" w:space="0" w:color="auto"/>
              <w:left w:val="nil"/>
              <w:bottom w:val="single" w:sz="4" w:space="0" w:color="auto"/>
              <w:right w:val="single" w:sz="4" w:space="0" w:color="auto"/>
            </w:tcBorders>
            <w:noWrap/>
            <w:vAlign w:val="bottom"/>
            <w:hideMark/>
          </w:tcPr>
          <w:p w14:paraId="0D04B9C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22,40%</w:t>
            </w:r>
          </w:p>
        </w:tc>
      </w:tr>
      <w:tr w:rsidR="00416D67" w:rsidRPr="00416D67" w14:paraId="63EC7F6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89B77AC" w14:textId="77777777" w:rsidR="00416D67" w:rsidRPr="00416D67" w:rsidRDefault="00416D67" w:rsidP="00416D67">
            <w:pPr>
              <w:rPr>
                <w:rFonts w:ascii="Arial" w:hAnsi="Arial" w:cs="Arial"/>
                <w:sz w:val="14"/>
                <w:szCs w:val="14"/>
              </w:rPr>
            </w:pPr>
            <w:r w:rsidRPr="00416D67">
              <w:rPr>
                <w:rFonts w:ascii="Arial" w:hAnsi="Arial" w:cs="Arial"/>
                <w:sz w:val="14"/>
                <w:szCs w:val="14"/>
              </w:rPr>
              <w:t>3232</w:t>
            </w:r>
          </w:p>
        </w:tc>
        <w:tc>
          <w:tcPr>
            <w:tcW w:w="8106" w:type="dxa"/>
            <w:tcBorders>
              <w:top w:val="single" w:sz="4" w:space="0" w:color="auto"/>
              <w:left w:val="nil"/>
              <w:bottom w:val="single" w:sz="4" w:space="0" w:color="auto"/>
              <w:right w:val="single" w:sz="4" w:space="0" w:color="auto"/>
            </w:tcBorders>
            <w:noWrap/>
            <w:vAlign w:val="bottom"/>
            <w:hideMark/>
          </w:tcPr>
          <w:p w14:paraId="2F4AF94C" w14:textId="77777777" w:rsidR="00416D67" w:rsidRPr="00416D67" w:rsidRDefault="00416D67" w:rsidP="00416D67">
            <w:pPr>
              <w:rPr>
                <w:rFonts w:ascii="Arial" w:hAnsi="Arial" w:cs="Arial"/>
                <w:sz w:val="14"/>
                <w:szCs w:val="14"/>
              </w:rPr>
            </w:pPr>
            <w:r w:rsidRPr="00416D67">
              <w:rPr>
                <w:rFonts w:ascii="Arial" w:hAnsi="Arial" w:cs="Arial"/>
                <w:sz w:val="14"/>
                <w:szCs w:val="14"/>
              </w:rPr>
              <w:t>Usluge tekućeg i investicijskog  održavanja</w:t>
            </w:r>
          </w:p>
        </w:tc>
        <w:tc>
          <w:tcPr>
            <w:tcW w:w="1095" w:type="dxa"/>
            <w:tcBorders>
              <w:top w:val="single" w:sz="4" w:space="0" w:color="auto"/>
              <w:left w:val="nil"/>
              <w:bottom w:val="single" w:sz="4" w:space="0" w:color="auto"/>
              <w:right w:val="single" w:sz="4" w:space="0" w:color="auto"/>
            </w:tcBorders>
            <w:noWrap/>
            <w:vAlign w:val="bottom"/>
            <w:hideMark/>
          </w:tcPr>
          <w:p w14:paraId="6A4A9D1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B797C4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EA2AD5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2,24</w:t>
            </w:r>
          </w:p>
        </w:tc>
        <w:tc>
          <w:tcPr>
            <w:tcW w:w="918" w:type="dxa"/>
            <w:tcBorders>
              <w:top w:val="single" w:sz="4" w:space="0" w:color="auto"/>
              <w:left w:val="nil"/>
              <w:bottom w:val="single" w:sz="4" w:space="0" w:color="auto"/>
              <w:right w:val="single" w:sz="4" w:space="0" w:color="auto"/>
            </w:tcBorders>
            <w:noWrap/>
            <w:vAlign w:val="bottom"/>
            <w:hideMark/>
          </w:tcPr>
          <w:p w14:paraId="11E0461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0388AB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2E1212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4.3.9 Doprinos za šume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1C0F97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650,00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32ECAC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650,00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525495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531,61</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27C93A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81,79%</w:t>
            </w:r>
          </w:p>
        </w:tc>
      </w:tr>
      <w:tr w:rsidR="00416D67" w:rsidRPr="00416D67" w14:paraId="5C65F2D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42D5DC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4B744F7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4819B22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650,00</w:t>
            </w:r>
          </w:p>
        </w:tc>
        <w:tc>
          <w:tcPr>
            <w:tcW w:w="1070" w:type="dxa"/>
            <w:tcBorders>
              <w:top w:val="single" w:sz="4" w:space="0" w:color="auto"/>
              <w:left w:val="nil"/>
              <w:bottom w:val="single" w:sz="4" w:space="0" w:color="auto"/>
              <w:right w:val="single" w:sz="4" w:space="0" w:color="auto"/>
            </w:tcBorders>
            <w:noWrap/>
            <w:vAlign w:val="bottom"/>
            <w:hideMark/>
          </w:tcPr>
          <w:p w14:paraId="1CD4F3F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650,00</w:t>
            </w:r>
          </w:p>
        </w:tc>
        <w:tc>
          <w:tcPr>
            <w:tcW w:w="1095" w:type="dxa"/>
            <w:tcBorders>
              <w:top w:val="single" w:sz="4" w:space="0" w:color="auto"/>
              <w:left w:val="nil"/>
              <w:bottom w:val="single" w:sz="4" w:space="0" w:color="auto"/>
              <w:right w:val="single" w:sz="4" w:space="0" w:color="auto"/>
            </w:tcBorders>
            <w:noWrap/>
            <w:vAlign w:val="bottom"/>
            <w:hideMark/>
          </w:tcPr>
          <w:p w14:paraId="30A0042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531,61</w:t>
            </w:r>
          </w:p>
        </w:tc>
        <w:tc>
          <w:tcPr>
            <w:tcW w:w="918" w:type="dxa"/>
            <w:tcBorders>
              <w:top w:val="single" w:sz="4" w:space="0" w:color="auto"/>
              <w:left w:val="nil"/>
              <w:bottom w:val="single" w:sz="4" w:space="0" w:color="auto"/>
              <w:right w:val="single" w:sz="4" w:space="0" w:color="auto"/>
            </w:tcBorders>
            <w:noWrap/>
            <w:vAlign w:val="bottom"/>
            <w:hideMark/>
          </w:tcPr>
          <w:p w14:paraId="05CB1EB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81,79%</w:t>
            </w:r>
          </w:p>
        </w:tc>
      </w:tr>
      <w:tr w:rsidR="00416D67" w:rsidRPr="00416D67" w14:paraId="5D08064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E225AA7" w14:textId="77777777" w:rsidR="00416D67" w:rsidRPr="00416D67" w:rsidRDefault="00416D67" w:rsidP="00416D67">
            <w:pPr>
              <w:rPr>
                <w:rFonts w:ascii="Arial" w:hAnsi="Arial" w:cs="Arial"/>
                <w:sz w:val="14"/>
                <w:szCs w:val="14"/>
              </w:rPr>
            </w:pPr>
            <w:r w:rsidRPr="00416D67">
              <w:rPr>
                <w:rFonts w:ascii="Arial" w:hAnsi="Arial" w:cs="Arial"/>
                <w:sz w:val="14"/>
                <w:szCs w:val="14"/>
              </w:rPr>
              <w:t>3232</w:t>
            </w:r>
          </w:p>
        </w:tc>
        <w:tc>
          <w:tcPr>
            <w:tcW w:w="8106" w:type="dxa"/>
            <w:tcBorders>
              <w:top w:val="single" w:sz="4" w:space="0" w:color="auto"/>
              <w:left w:val="nil"/>
              <w:bottom w:val="single" w:sz="4" w:space="0" w:color="auto"/>
              <w:right w:val="single" w:sz="4" w:space="0" w:color="auto"/>
            </w:tcBorders>
            <w:noWrap/>
            <w:vAlign w:val="bottom"/>
            <w:hideMark/>
          </w:tcPr>
          <w:p w14:paraId="16FCA11F" w14:textId="77777777" w:rsidR="00416D67" w:rsidRPr="00416D67" w:rsidRDefault="00416D67" w:rsidP="00416D67">
            <w:pPr>
              <w:rPr>
                <w:rFonts w:ascii="Arial" w:hAnsi="Arial" w:cs="Arial"/>
                <w:sz w:val="14"/>
                <w:szCs w:val="14"/>
              </w:rPr>
            </w:pPr>
            <w:r w:rsidRPr="00416D67">
              <w:rPr>
                <w:rFonts w:ascii="Arial" w:hAnsi="Arial" w:cs="Arial"/>
                <w:sz w:val="14"/>
                <w:szCs w:val="14"/>
              </w:rPr>
              <w:t>Usluge tekućeg i investicijskog  održavanja</w:t>
            </w:r>
          </w:p>
        </w:tc>
        <w:tc>
          <w:tcPr>
            <w:tcW w:w="1095" w:type="dxa"/>
            <w:tcBorders>
              <w:top w:val="single" w:sz="4" w:space="0" w:color="auto"/>
              <w:left w:val="nil"/>
              <w:bottom w:val="single" w:sz="4" w:space="0" w:color="auto"/>
              <w:right w:val="single" w:sz="4" w:space="0" w:color="auto"/>
            </w:tcBorders>
            <w:noWrap/>
            <w:vAlign w:val="bottom"/>
            <w:hideMark/>
          </w:tcPr>
          <w:p w14:paraId="74BDDDA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2EE37A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7D8BFA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531,61</w:t>
            </w:r>
          </w:p>
        </w:tc>
        <w:tc>
          <w:tcPr>
            <w:tcW w:w="918" w:type="dxa"/>
            <w:tcBorders>
              <w:top w:val="single" w:sz="4" w:space="0" w:color="auto"/>
              <w:left w:val="nil"/>
              <w:bottom w:val="single" w:sz="4" w:space="0" w:color="auto"/>
              <w:right w:val="single" w:sz="4" w:space="0" w:color="auto"/>
            </w:tcBorders>
            <w:noWrap/>
            <w:vAlign w:val="bottom"/>
            <w:hideMark/>
          </w:tcPr>
          <w:p w14:paraId="513E45C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DB3742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7E514C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A100002</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4A5BDBD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Javna vatrogasna postrojba Pula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10E432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198.448,00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5B337D9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189.758,00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1661A2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170.007,09</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2506B75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89,59%</w:t>
            </w:r>
          </w:p>
        </w:tc>
      </w:tr>
      <w:tr w:rsidR="00416D67" w:rsidRPr="00416D67" w14:paraId="7C39082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87B817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5236E4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173.948,00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B4A79C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165.258,00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32E94F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145.037,49</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D16BC0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87,76%</w:t>
            </w:r>
          </w:p>
        </w:tc>
      </w:tr>
      <w:tr w:rsidR="00416D67" w:rsidRPr="00416D67" w14:paraId="700BE3D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FA9A4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2FE8FF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173.948,00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AE579E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165.258,00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081785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145.037,49</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1F2860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87,76%</w:t>
            </w:r>
          </w:p>
        </w:tc>
      </w:tr>
      <w:tr w:rsidR="00416D67" w:rsidRPr="00416D67" w14:paraId="144BAE6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330F5F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36</w:t>
            </w:r>
          </w:p>
        </w:tc>
        <w:tc>
          <w:tcPr>
            <w:tcW w:w="8106" w:type="dxa"/>
            <w:tcBorders>
              <w:top w:val="single" w:sz="4" w:space="0" w:color="auto"/>
              <w:left w:val="nil"/>
              <w:bottom w:val="single" w:sz="4" w:space="0" w:color="auto"/>
              <w:right w:val="single" w:sz="4" w:space="0" w:color="auto"/>
            </w:tcBorders>
            <w:noWrap/>
            <w:vAlign w:val="bottom"/>
            <w:hideMark/>
          </w:tcPr>
          <w:p w14:paraId="5858E19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Pomoći dane u inozemstvo i unutar općeg proračuna</w:t>
            </w:r>
          </w:p>
        </w:tc>
        <w:tc>
          <w:tcPr>
            <w:tcW w:w="1095" w:type="dxa"/>
            <w:tcBorders>
              <w:top w:val="single" w:sz="4" w:space="0" w:color="auto"/>
              <w:left w:val="nil"/>
              <w:bottom w:val="single" w:sz="4" w:space="0" w:color="auto"/>
              <w:right w:val="single" w:sz="4" w:space="0" w:color="auto"/>
            </w:tcBorders>
            <w:noWrap/>
            <w:vAlign w:val="bottom"/>
            <w:hideMark/>
          </w:tcPr>
          <w:p w14:paraId="64D2538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173.948,00</w:t>
            </w:r>
          </w:p>
        </w:tc>
        <w:tc>
          <w:tcPr>
            <w:tcW w:w="1070" w:type="dxa"/>
            <w:tcBorders>
              <w:top w:val="single" w:sz="4" w:space="0" w:color="auto"/>
              <w:left w:val="nil"/>
              <w:bottom w:val="single" w:sz="4" w:space="0" w:color="auto"/>
              <w:right w:val="single" w:sz="4" w:space="0" w:color="auto"/>
            </w:tcBorders>
            <w:noWrap/>
            <w:vAlign w:val="bottom"/>
            <w:hideMark/>
          </w:tcPr>
          <w:p w14:paraId="73DBA32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165.258,00</w:t>
            </w:r>
          </w:p>
        </w:tc>
        <w:tc>
          <w:tcPr>
            <w:tcW w:w="1095" w:type="dxa"/>
            <w:tcBorders>
              <w:top w:val="single" w:sz="4" w:space="0" w:color="auto"/>
              <w:left w:val="nil"/>
              <w:bottom w:val="single" w:sz="4" w:space="0" w:color="auto"/>
              <w:right w:val="single" w:sz="4" w:space="0" w:color="auto"/>
            </w:tcBorders>
            <w:noWrap/>
            <w:vAlign w:val="bottom"/>
            <w:hideMark/>
          </w:tcPr>
          <w:p w14:paraId="4C0E2C9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145.037,49</w:t>
            </w:r>
          </w:p>
        </w:tc>
        <w:tc>
          <w:tcPr>
            <w:tcW w:w="918" w:type="dxa"/>
            <w:tcBorders>
              <w:top w:val="single" w:sz="4" w:space="0" w:color="auto"/>
              <w:left w:val="nil"/>
              <w:bottom w:val="single" w:sz="4" w:space="0" w:color="auto"/>
              <w:right w:val="single" w:sz="4" w:space="0" w:color="auto"/>
            </w:tcBorders>
            <w:noWrap/>
            <w:vAlign w:val="bottom"/>
            <w:hideMark/>
          </w:tcPr>
          <w:p w14:paraId="56D068A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87,76%</w:t>
            </w:r>
          </w:p>
        </w:tc>
      </w:tr>
      <w:tr w:rsidR="00416D67" w:rsidRPr="00416D67" w14:paraId="1D47CB3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66F6AAF" w14:textId="77777777" w:rsidR="00416D67" w:rsidRPr="00416D67" w:rsidRDefault="00416D67" w:rsidP="00416D67">
            <w:pPr>
              <w:rPr>
                <w:rFonts w:ascii="Arial" w:hAnsi="Arial" w:cs="Arial"/>
                <w:sz w:val="14"/>
                <w:szCs w:val="14"/>
              </w:rPr>
            </w:pPr>
            <w:r w:rsidRPr="00416D67">
              <w:rPr>
                <w:rFonts w:ascii="Arial" w:hAnsi="Arial" w:cs="Arial"/>
                <w:sz w:val="14"/>
                <w:szCs w:val="14"/>
              </w:rPr>
              <w:t>3661</w:t>
            </w:r>
          </w:p>
        </w:tc>
        <w:tc>
          <w:tcPr>
            <w:tcW w:w="8106" w:type="dxa"/>
            <w:tcBorders>
              <w:top w:val="single" w:sz="4" w:space="0" w:color="auto"/>
              <w:left w:val="nil"/>
              <w:bottom w:val="single" w:sz="4" w:space="0" w:color="auto"/>
              <w:right w:val="single" w:sz="4" w:space="0" w:color="auto"/>
            </w:tcBorders>
            <w:noWrap/>
            <w:vAlign w:val="bottom"/>
            <w:hideMark/>
          </w:tcPr>
          <w:p w14:paraId="6B5C824E" w14:textId="77777777" w:rsidR="00416D67" w:rsidRPr="00416D67" w:rsidRDefault="00416D67" w:rsidP="00416D67">
            <w:pPr>
              <w:rPr>
                <w:rFonts w:ascii="Arial" w:hAnsi="Arial" w:cs="Arial"/>
                <w:sz w:val="14"/>
                <w:szCs w:val="14"/>
              </w:rPr>
            </w:pPr>
            <w:r w:rsidRPr="00416D67">
              <w:rPr>
                <w:rFonts w:ascii="Arial" w:hAnsi="Arial" w:cs="Arial"/>
                <w:sz w:val="14"/>
                <w:szCs w:val="14"/>
              </w:rPr>
              <w:t>Tekuće pomoći proračunskim korisnicima drugih proračuna</w:t>
            </w:r>
          </w:p>
        </w:tc>
        <w:tc>
          <w:tcPr>
            <w:tcW w:w="1095" w:type="dxa"/>
            <w:tcBorders>
              <w:top w:val="single" w:sz="4" w:space="0" w:color="auto"/>
              <w:left w:val="nil"/>
              <w:bottom w:val="single" w:sz="4" w:space="0" w:color="auto"/>
              <w:right w:val="single" w:sz="4" w:space="0" w:color="auto"/>
            </w:tcBorders>
            <w:noWrap/>
            <w:vAlign w:val="bottom"/>
            <w:hideMark/>
          </w:tcPr>
          <w:p w14:paraId="56FFD62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2FC7A50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913F2D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145.037,49</w:t>
            </w:r>
          </w:p>
        </w:tc>
        <w:tc>
          <w:tcPr>
            <w:tcW w:w="918" w:type="dxa"/>
            <w:tcBorders>
              <w:top w:val="single" w:sz="4" w:space="0" w:color="auto"/>
              <w:left w:val="nil"/>
              <w:bottom w:val="single" w:sz="4" w:space="0" w:color="auto"/>
              <w:right w:val="single" w:sz="4" w:space="0" w:color="auto"/>
            </w:tcBorders>
            <w:noWrap/>
            <w:vAlign w:val="bottom"/>
            <w:hideMark/>
          </w:tcPr>
          <w:p w14:paraId="2D57D30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ABF202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64B2F94"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 Pomoći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D6D289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24.500,00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FBC05C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24.500,00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B37393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24.969,60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09A4E6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101,92%</w:t>
            </w:r>
          </w:p>
        </w:tc>
      </w:tr>
      <w:tr w:rsidR="00416D67" w:rsidRPr="00416D67" w14:paraId="228B3F5C"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1409A3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5.1.3 Pomoć izravnanja decentralizirana sredstva JVP</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668C5A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24.500,00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C72C4A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24.500,00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9EEE44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24.969,60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CB7642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101,92%</w:t>
            </w:r>
          </w:p>
        </w:tc>
      </w:tr>
      <w:tr w:rsidR="00416D67" w:rsidRPr="00416D67" w14:paraId="4744E62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30A6FA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36</w:t>
            </w:r>
          </w:p>
        </w:tc>
        <w:tc>
          <w:tcPr>
            <w:tcW w:w="8106" w:type="dxa"/>
            <w:tcBorders>
              <w:top w:val="single" w:sz="4" w:space="0" w:color="auto"/>
              <w:left w:val="nil"/>
              <w:bottom w:val="single" w:sz="4" w:space="0" w:color="auto"/>
              <w:right w:val="single" w:sz="4" w:space="0" w:color="auto"/>
            </w:tcBorders>
            <w:noWrap/>
            <w:vAlign w:val="bottom"/>
            <w:hideMark/>
          </w:tcPr>
          <w:p w14:paraId="5269711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Pomoći dane u inozemstvo i unutar općeg proračuna</w:t>
            </w:r>
          </w:p>
        </w:tc>
        <w:tc>
          <w:tcPr>
            <w:tcW w:w="1095" w:type="dxa"/>
            <w:tcBorders>
              <w:top w:val="single" w:sz="4" w:space="0" w:color="auto"/>
              <w:left w:val="nil"/>
              <w:bottom w:val="single" w:sz="4" w:space="0" w:color="auto"/>
              <w:right w:val="single" w:sz="4" w:space="0" w:color="auto"/>
            </w:tcBorders>
            <w:noWrap/>
            <w:vAlign w:val="bottom"/>
            <w:hideMark/>
          </w:tcPr>
          <w:p w14:paraId="3223838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24.500,00</w:t>
            </w:r>
          </w:p>
        </w:tc>
        <w:tc>
          <w:tcPr>
            <w:tcW w:w="1070" w:type="dxa"/>
            <w:tcBorders>
              <w:top w:val="single" w:sz="4" w:space="0" w:color="auto"/>
              <w:left w:val="nil"/>
              <w:bottom w:val="single" w:sz="4" w:space="0" w:color="auto"/>
              <w:right w:val="single" w:sz="4" w:space="0" w:color="auto"/>
            </w:tcBorders>
            <w:noWrap/>
            <w:vAlign w:val="bottom"/>
            <w:hideMark/>
          </w:tcPr>
          <w:p w14:paraId="177895A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24.500,00</w:t>
            </w:r>
          </w:p>
        </w:tc>
        <w:tc>
          <w:tcPr>
            <w:tcW w:w="1095" w:type="dxa"/>
            <w:tcBorders>
              <w:top w:val="single" w:sz="4" w:space="0" w:color="auto"/>
              <w:left w:val="nil"/>
              <w:bottom w:val="single" w:sz="4" w:space="0" w:color="auto"/>
              <w:right w:val="single" w:sz="4" w:space="0" w:color="auto"/>
            </w:tcBorders>
            <w:noWrap/>
            <w:vAlign w:val="bottom"/>
            <w:hideMark/>
          </w:tcPr>
          <w:p w14:paraId="0812CEF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24.969,60</w:t>
            </w:r>
          </w:p>
        </w:tc>
        <w:tc>
          <w:tcPr>
            <w:tcW w:w="918" w:type="dxa"/>
            <w:tcBorders>
              <w:top w:val="single" w:sz="4" w:space="0" w:color="auto"/>
              <w:left w:val="nil"/>
              <w:bottom w:val="single" w:sz="4" w:space="0" w:color="auto"/>
              <w:right w:val="single" w:sz="4" w:space="0" w:color="auto"/>
            </w:tcBorders>
            <w:noWrap/>
            <w:vAlign w:val="bottom"/>
            <w:hideMark/>
          </w:tcPr>
          <w:p w14:paraId="549A874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101,92%</w:t>
            </w:r>
          </w:p>
        </w:tc>
      </w:tr>
      <w:tr w:rsidR="00416D67" w:rsidRPr="00416D67" w14:paraId="082460B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93DDF20" w14:textId="77777777" w:rsidR="00416D67" w:rsidRPr="00416D67" w:rsidRDefault="00416D67" w:rsidP="00416D67">
            <w:pPr>
              <w:rPr>
                <w:rFonts w:ascii="Arial" w:hAnsi="Arial" w:cs="Arial"/>
                <w:sz w:val="14"/>
                <w:szCs w:val="14"/>
              </w:rPr>
            </w:pPr>
            <w:r w:rsidRPr="00416D67">
              <w:rPr>
                <w:rFonts w:ascii="Arial" w:hAnsi="Arial" w:cs="Arial"/>
                <w:sz w:val="14"/>
                <w:szCs w:val="14"/>
              </w:rPr>
              <w:t>3661</w:t>
            </w:r>
          </w:p>
        </w:tc>
        <w:tc>
          <w:tcPr>
            <w:tcW w:w="8106" w:type="dxa"/>
            <w:tcBorders>
              <w:top w:val="single" w:sz="4" w:space="0" w:color="auto"/>
              <w:left w:val="nil"/>
              <w:bottom w:val="single" w:sz="4" w:space="0" w:color="auto"/>
              <w:right w:val="single" w:sz="4" w:space="0" w:color="auto"/>
            </w:tcBorders>
            <w:noWrap/>
            <w:vAlign w:val="bottom"/>
            <w:hideMark/>
          </w:tcPr>
          <w:p w14:paraId="15A5A59F" w14:textId="77777777" w:rsidR="00416D67" w:rsidRPr="00416D67" w:rsidRDefault="00416D67" w:rsidP="00416D67">
            <w:pPr>
              <w:rPr>
                <w:rFonts w:ascii="Arial" w:hAnsi="Arial" w:cs="Arial"/>
                <w:sz w:val="14"/>
                <w:szCs w:val="14"/>
              </w:rPr>
            </w:pPr>
            <w:r w:rsidRPr="00416D67">
              <w:rPr>
                <w:rFonts w:ascii="Arial" w:hAnsi="Arial" w:cs="Arial"/>
                <w:sz w:val="14"/>
                <w:szCs w:val="14"/>
              </w:rPr>
              <w:t>Tekuće pomoći proračunskim korisnicima drugih proračuna</w:t>
            </w:r>
          </w:p>
        </w:tc>
        <w:tc>
          <w:tcPr>
            <w:tcW w:w="1095" w:type="dxa"/>
            <w:tcBorders>
              <w:top w:val="single" w:sz="4" w:space="0" w:color="auto"/>
              <w:left w:val="nil"/>
              <w:bottom w:val="single" w:sz="4" w:space="0" w:color="auto"/>
              <w:right w:val="single" w:sz="4" w:space="0" w:color="auto"/>
            </w:tcBorders>
            <w:noWrap/>
            <w:vAlign w:val="bottom"/>
            <w:hideMark/>
          </w:tcPr>
          <w:p w14:paraId="0ECF73D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79AF57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EC7963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24.969,60</w:t>
            </w:r>
          </w:p>
        </w:tc>
        <w:tc>
          <w:tcPr>
            <w:tcW w:w="918" w:type="dxa"/>
            <w:tcBorders>
              <w:top w:val="single" w:sz="4" w:space="0" w:color="auto"/>
              <w:left w:val="nil"/>
              <w:bottom w:val="single" w:sz="4" w:space="0" w:color="auto"/>
              <w:right w:val="single" w:sz="4" w:space="0" w:color="auto"/>
            </w:tcBorders>
            <w:noWrap/>
            <w:vAlign w:val="bottom"/>
            <w:hideMark/>
          </w:tcPr>
          <w:p w14:paraId="69DAC0D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07B1C3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69FA5F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A100003</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65B00D1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Područna vatrogasna zajednica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DF3031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90.000,00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5ECAA47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90.000,00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F13F63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90.000,00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5BD89FE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6D513D2C"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F52AE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 Višak prihoda ranijih godina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17C25C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2C31EA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27C168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90.000,00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D7930C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02A4430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A4BCF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9.1.1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AF3276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D3C618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077601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90.000,00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EAD8A6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18F950D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2AD203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76B8C2C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291642D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90.000,00</w:t>
            </w:r>
          </w:p>
        </w:tc>
        <w:tc>
          <w:tcPr>
            <w:tcW w:w="1070" w:type="dxa"/>
            <w:tcBorders>
              <w:top w:val="single" w:sz="4" w:space="0" w:color="auto"/>
              <w:left w:val="nil"/>
              <w:bottom w:val="single" w:sz="4" w:space="0" w:color="auto"/>
              <w:right w:val="single" w:sz="4" w:space="0" w:color="auto"/>
            </w:tcBorders>
            <w:noWrap/>
            <w:vAlign w:val="bottom"/>
            <w:hideMark/>
          </w:tcPr>
          <w:p w14:paraId="560FCCA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90.000,00</w:t>
            </w:r>
          </w:p>
        </w:tc>
        <w:tc>
          <w:tcPr>
            <w:tcW w:w="1095" w:type="dxa"/>
            <w:tcBorders>
              <w:top w:val="single" w:sz="4" w:space="0" w:color="auto"/>
              <w:left w:val="nil"/>
              <w:bottom w:val="single" w:sz="4" w:space="0" w:color="auto"/>
              <w:right w:val="single" w:sz="4" w:space="0" w:color="auto"/>
            </w:tcBorders>
            <w:noWrap/>
            <w:vAlign w:val="bottom"/>
            <w:hideMark/>
          </w:tcPr>
          <w:p w14:paraId="372B47F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90.000,00</w:t>
            </w:r>
          </w:p>
        </w:tc>
        <w:tc>
          <w:tcPr>
            <w:tcW w:w="918" w:type="dxa"/>
            <w:tcBorders>
              <w:top w:val="single" w:sz="4" w:space="0" w:color="auto"/>
              <w:left w:val="nil"/>
              <w:bottom w:val="single" w:sz="4" w:space="0" w:color="auto"/>
              <w:right w:val="single" w:sz="4" w:space="0" w:color="auto"/>
            </w:tcBorders>
            <w:noWrap/>
            <w:vAlign w:val="bottom"/>
            <w:hideMark/>
          </w:tcPr>
          <w:p w14:paraId="127476A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5EB8230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F9F3654" w14:textId="77777777" w:rsidR="00416D67" w:rsidRPr="00416D67" w:rsidRDefault="00416D67" w:rsidP="00416D67">
            <w:pPr>
              <w:rPr>
                <w:rFonts w:ascii="Arial" w:hAnsi="Arial" w:cs="Arial"/>
                <w:sz w:val="14"/>
                <w:szCs w:val="14"/>
              </w:rPr>
            </w:pPr>
            <w:r w:rsidRPr="00416D67">
              <w:rPr>
                <w:rFonts w:ascii="Arial" w:hAnsi="Arial" w:cs="Arial"/>
                <w:sz w:val="14"/>
                <w:szCs w:val="14"/>
              </w:rPr>
              <w:t>3811</w:t>
            </w:r>
          </w:p>
        </w:tc>
        <w:tc>
          <w:tcPr>
            <w:tcW w:w="8106" w:type="dxa"/>
            <w:tcBorders>
              <w:top w:val="single" w:sz="4" w:space="0" w:color="auto"/>
              <w:left w:val="nil"/>
              <w:bottom w:val="single" w:sz="4" w:space="0" w:color="auto"/>
              <w:right w:val="single" w:sz="4" w:space="0" w:color="auto"/>
            </w:tcBorders>
            <w:noWrap/>
            <w:vAlign w:val="bottom"/>
            <w:hideMark/>
          </w:tcPr>
          <w:p w14:paraId="09F3EF6A" w14:textId="77777777" w:rsidR="00416D67" w:rsidRPr="00416D67" w:rsidRDefault="00416D67" w:rsidP="00416D67">
            <w:pPr>
              <w:rPr>
                <w:rFonts w:ascii="Arial" w:hAnsi="Arial" w:cs="Arial"/>
                <w:sz w:val="14"/>
                <w:szCs w:val="14"/>
              </w:rPr>
            </w:pPr>
            <w:r w:rsidRPr="00416D67">
              <w:rPr>
                <w:rFonts w:ascii="Arial" w:hAnsi="Arial" w:cs="Arial"/>
                <w:sz w:val="14"/>
                <w:szCs w:val="14"/>
              </w:rPr>
              <w:t>Tekuće donacije u novcu</w:t>
            </w:r>
          </w:p>
        </w:tc>
        <w:tc>
          <w:tcPr>
            <w:tcW w:w="1095" w:type="dxa"/>
            <w:tcBorders>
              <w:top w:val="single" w:sz="4" w:space="0" w:color="auto"/>
              <w:left w:val="nil"/>
              <w:bottom w:val="single" w:sz="4" w:space="0" w:color="auto"/>
              <w:right w:val="single" w:sz="4" w:space="0" w:color="auto"/>
            </w:tcBorders>
            <w:noWrap/>
            <w:vAlign w:val="bottom"/>
            <w:hideMark/>
          </w:tcPr>
          <w:p w14:paraId="6E34602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A592C7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A0C37A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90.000,00</w:t>
            </w:r>
          </w:p>
        </w:tc>
        <w:tc>
          <w:tcPr>
            <w:tcW w:w="918" w:type="dxa"/>
            <w:tcBorders>
              <w:top w:val="single" w:sz="4" w:space="0" w:color="auto"/>
              <w:left w:val="nil"/>
              <w:bottom w:val="single" w:sz="4" w:space="0" w:color="auto"/>
              <w:right w:val="single" w:sz="4" w:space="0" w:color="auto"/>
            </w:tcBorders>
            <w:noWrap/>
            <w:vAlign w:val="bottom"/>
            <w:hideMark/>
          </w:tcPr>
          <w:p w14:paraId="41BF309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E4EBD3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9251F1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A100004</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00264A6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Vatrogasna zajednica Istarske županije</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801798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1.330,00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4BA12D8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1.330,00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15B8BD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1.330,00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300FEEF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2BE99CA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DBCC8C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lastRenderedPageBreak/>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E6F063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1.330,00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44DF48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1.330,00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DAA874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1.330,00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2149D7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5CE3E97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C2B4B8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3FDF90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1.330,00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14739B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1.330,00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47EEA5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1.330,00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3F0EDE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4DC6B05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E809B0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16C82DB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188F8F7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1.330,00</w:t>
            </w:r>
          </w:p>
        </w:tc>
        <w:tc>
          <w:tcPr>
            <w:tcW w:w="1070" w:type="dxa"/>
            <w:tcBorders>
              <w:top w:val="single" w:sz="4" w:space="0" w:color="auto"/>
              <w:left w:val="nil"/>
              <w:bottom w:val="single" w:sz="4" w:space="0" w:color="auto"/>
              <w:right w:val="single" w:sz="4" w:space="0" w:color="auto"/>
            </w:tcBorders>
            <w:noWrap/>
            <w:vAlign w:val="bottom"/>
            <w:hideMark/>
          </w:tcPr>
          <w:p w14:paraId="567F9FF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1.330,00</w:t>
            </w:r>
          </w:p>
        </w:tc>
        <w:tc>
          <w:tcPr>
            <w:tcW w:w="1095" w:type="dxa"/>
            <w:tcBorders>
              <w:top w:val="single" w:sz="4" w:space="0" w:color="auto"/>
              <w:left w:val="nil"/>
              <w:bottom w:val="single" w:sz="4" w:space="0" w:color="auto"/>
              <w:right w:val="single" w:sz="4" w:space="0" w:color="auto"/>
            </w:tcBorders>
            <w:noWrap/>
            <w:vAlign w:val="bottom"/>
            <w:hideMark/>
          </w:tcPr>
          <w:p w14:paraId="7928E1D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1.330,00</w:t>
            </w:r>
          </w:p>
        </w:tc>
        <w:tc>
          <w:tcPr>
            <w:tcW w:w="918" w:type="dxa"/>
            <w:tcBorders>
              <w:top w:val="single" w:sz="4" w:space="0" w:color="auto"/>
              <w:left w:val="nil"/>
              <w:bottom w:val="single" w:sz="4" w:space="0" w:color="auto"/>
              <w:right w:val="single" w:sz="4" w:space="0" w:color="auto"/>
            </w:tcBorders>
            <w:noWrap/>
            <w:vAlign w:val="bottom"/>
            <w:hideMark/>
          </w:tcPr>
          <w:p w14:paraId="306C821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17F5CAF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A682EEE" w14:textId="77777777" w:rsidR="00416D67" w:rsidRPr="00416D67" w:rsidRDefault="00416D67" w:rsidP="00416D67">
            <w:pPr>
              <w:rPr>
                <w:rFonts w:ascii="Arial" w:hAnsi="Arial" w:cs="Arial"/>
                <w:sz w:val="14"/>
                <w:szCs w:val="14"/>
              </w:rPr>
            </w:pPr>
            <w:r w:rsidRPr="00416D67">
              <w:rPr>
                <w:rFonts w:ascii="Arial" w:hAnsi="Arial" w:cs="Arial"/>
                <w:sz w:val="14"/>
                <w:szCs w:val="14"/>
              </w:rPr>
              <w:t>3811</w:t>
            </w:r>
          </w:p>
        </w:tc>
        <w:tc>
          <w:tcPr>
            <w:tcW w:w="8106" w:type="dxa"/>
            <w:tcBorders>
              <w:top w:val="single" w:sz="4" w:space="0" w:color="auto"/>
              <w:left w:val="nil"/>
              <w:bottom w:val="single" w:sz="4" w:space="0" w:color="auto"/>
              <w:right w:val="single" w:sz="4" w:space="0" w:color="auto"/>
            </w:tcBorders>
            <w:noWrap/>
            <w:vAlign w:val="bottom"/>
            <w:hideMark/>
          </w:tcPr>
          <w:p w14:paraId="69DD502D" w14:textId="77777777" w:rsidR="00416D67" w:rsidRPr="00416D67" w:rsidRDefault="00416D67" w:rsidP="00416D67">
            <w:pPr>
              <w:rPr>
                <w:rFonts w:ascii="Arial" w:hAnsi="Arial" w:cs="Arial"/>
                <w:sz w:val="14"/>
                <w:szCs w:val="14"/>
              </w:rPr>
            </w:pPr>
            <w:r w:rsidRPr="00416D67">
              <w:rPr>
                <w:rFonts w:ascii="Arial" w:hAnsi="Arial" w:cs="Arial"/>
                <w:sz w:val="14"/>
                <w:szCs w:val="14"/>
              </w:rPr>
              <w:t>Tekuće donacije u novcu</w:t>
            </w:r>
          </w:p>
        </w:tc>
        <w:tc>
          <w:tcPr>
            <w:tcW w:w="1095" w:type="dxa"/>
            <w:tcBorders>
              <w:top w:val="single" w:sz="4" w:space="0" w:color="auto"/>
              <w:left w:val="nil"/>
              <w:bottom w:val="single" w:sz="4" w:space="0" w:color="auto"/>
              <w:right w:val="single" w:sz="4" w:space="0" w:color="auto"/>
            </w:tcBorders>
            <w:noWrap/>
            <w:vAlign w:val="bottom"/>
            <w:hideMark/>
          </w:tcPr>
          <w:p w14:paraId="6A59C7E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155F46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98E025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1.330,00</w:t>
            </w:r>
          </w:p>
        </w:tc>
        <w:tc>
          <w:tcPr>
            <w:tcW w:w="918" w:type="dxa"/>
            <w:tcBorders>
              <w:top w:val="single" w:sz="4" w:space="0" w:color="auto"/>
              <w:left w:val="nil"/>
              <w:bottom w:val="single" w:sz="4" w:space="0" w:color="auto"/>
              <w:right w:val="single" w:sz="4" w:space="0" w:color="auto"/>
            </w:tcBorders>
            <w:noWrap/>
            <w:vAlign w:val="bottom"/>
            <w:hideMark/>
          </w:tcPr>
          <w:p w14:paraId="47FB8A4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EE3DAF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B7876D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A100005</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6774F64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DVD Općine Marčana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D1883D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0085BF1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600D13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0866E82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403E022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6552FC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D16E44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2410CE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497E27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1D8ABA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7BDAE15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5E48B60"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BC39E1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A95C03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DFCA7B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0BC1E1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2BBD246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703E56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0B83902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513F1BA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30.000,00</w:t>
            </w:r>
          </w:p>
        </w:tc>
        <w:tc>
          <w:tcPr>
            <w:tcW w:w="1070" w:type="dxa"/>
            <w:tcBorders>
              <w:top w:val="single" w:sz="4" w:space="0" w:color="auto"/>
              <w:left w:val="nil"/>
              <w:bottom w:val="single" w:sz="4" w:space="0" w:color="auto"/>
              <w:right w:val="single" w:sz="4" w:space="0" w:color="auto"/>
            </w:tcBorders>
            <w:noWrap/>
            <w:vAlign w:val="bottom"/>
            <w:hideMark/>
          </w:tcPr>
          <w:p w14:paraId="7D15124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30.000,00</w:t>
            </w:r>
          </w:p>
        </w:tc>
        <w:tc>
          <w:tcPr>
            <w:tcW w:w="1095" w:type="dxa"/>
            <w:tcBorders>
              <w:top w:val="single" w:sz="4" w:space="0" w:color="auto"/>
              <w:left w:val="nil"/>
              <w:bottom w:val="single" w:sz="4" w:space="0" w:color="auto"/>
              <w:right w:val="single" w:sz="4" w:space="0" w:color="auto"/>
            </w:tcBorders>
            <w:noWrap/>
            <w:vAlign w:val="bottom"/>
            <w:hideMark/>
          </w:tcPr>
          <w:p w14:paraId="2C6A757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30.000,00</w:t>
            </w:r>
          </w:p>
        </w:tc>
        <w:tc>
          <w:tcPr>
            <w:tcW w:w="918" w:type="dxa"/>
            <w:tcBorders>
              <w:top w:val="single" w:sz="4" w:space="0" w:color="auto"/>
              <w:left w:val="nil"/>
              <w:bottom w:val="single" w:sz="4" w:space="0" w:color="auto"/>
              <w:right w:val="single" w:sz="4" w:space="0" w:color="auto"/>
            </w:tcBorders>
            <w:noWrap/>
            <w:vAlign w:val="bottom"/>
            <w:hideMark/>
          </w:tcPr>
          <w:p w14:paraId="0B287FD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4243EB4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229B62C" w14:textId="77777777" w:rsidR="00416D67" w:rsidRPr="00416D67" w:rsidRDefault="00416D67" w:rsidP="00416D67">
            <w:pPr>
              <w:rPr>
                <w:rFonts w:ascii="Arial" w:hAnsi="Arial" w:cs="Arial"/>
                <w:sz w:val="14"/>
                <w:szCs w:val="14"/>
              </w:rPr>
            </w:pPr>
            <w:r w:rsidRPr="00416D67">
              <w:rPr>
                <w:rFonts w:ascii="Arial" w:hAnsi="Arial" w:cs="Arial"/>
                <w:sz w:val="14"/>
                <w:szCs w:val="14"/>
              </w:rPr>
              <w:t>3811</w:t>
            </w:r>
          </w:p>
        </w:tc>
        <w:tc>
          <w:tcPr>
            <w:tcW w:w="8106" w:type="dxa"/>
            <w:tcBorders>
              <w:top w:val="single" w:sz="4" w:space="0" w:color="auto"/>
              <w:left w:val="nil"/>
              <w:bottom w:val="single" w:sz="4" w:space="0" w:color="auto"/>
              <w:right w:val="single" w:sz="4" w:space="0" w:color="auto"/>
            </w:tcBorders>
            <w:noWrap/>
            <w:vAlign w:val="bottom"/>
            <w:hideMark/>
          </w:tcPr>
          <w:p w14:paraId="653E5F0B" w14:textId="77777777" w:rsidR="00416D67" w:rsidRPr="00416D67" w:rsidRDefault="00416D67" w:rsidP="00416D67">
            <w:pPr>
              <w:rPr>
                <w:rFonts w:ascii="Arial" w:hAnsi="Arial" w:cs="Arial"/>
                <w:sz w:val="14"/>
                <w:szCs w:val="14"/>
              </w:rPr>
            </w:pPr>
            <w:r w:rsidRPr="00416D67">
              <w:rPr>
                <w:rFonts w:ascii="Arial" w:hAnsi="Arial" w:cs="Arial"/>
                <w:sz w:val="14"/>
                <w:szCs w:val="14"/>
              </w:rPr>
              <w:t>Tekuće donacije u novcu</w:t>
            </w:r>
          </w:p>
        </w:tc>
        <w:tc>
          <w:tcPr>
            <w:tcW w:w="1095" w:type="dxa"/>
            <w:tcBorders>
              <w:top w:val="single" w:sz="4" w:space="0" w:color="auto"/>
              <w:left w:val="nil"/>
              <w:bottom w:val="single" w:sz="4" w:space="0" w:color="auto"/>
              <w:right w:val="single" w:sz="4" w:space="0" w:color="auto"/>
            </w:tcBorders>
            <w:noWrap/>
            <w:vAlign w:val="bottom"/>
            <w:hideMark/>
          </w:tcPr>
          <w:p w14:paraId="24D1178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47FF9B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C9BEEB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5.000,00</w:t>
            </w:r>
          </w:p>
        </w:tc>
        <w:tc>
          <w:tcPr>
            <w:tcW w:w="918" w:type="dxa"/>
            <w:tcBorders>
              <w:top w:val="single" w:sz="4" w:space="0" w:color="auto"/>
              <w:left w:val="nil"/>
              <w:bottom w:val="single" w:sz="4" w:space="0" w:color="auto"/>
              <w:right w:val="single" w:sz="4" w:space="0" w:color="auto"/>
            </w:tcBorders>
            <w:noWrap/>
            <w:vAlign w:val="bottom"/>
            <w:hideMark/>
          </w:tcPr>
          <w:p w14:paraId="4521F1B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EABD3B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2A4DF4D" w14:textId="77777777" w:rsidR="00416D67" w:rsidRPr="00416D67" w:rsidRDefault="00416D67" w:rsidP="00416D67">
            <w:pPr>
              <w:rPr>
                <w:rFonts w:ascii="Arial" w:hAnsi="Arial" w:cs="Arial"/>
                <w:sz w:val="14"/>
                <w:szCs w:val="14"/>
              </w:rPr>
            </w:pPr>
            <w:r w:rsidRPr="00416D67">
              <w:rPr>
                <w:rFonts w:ascii="Arial" w:hAnsi="Arial" w:cs="Arial"/>
                <w:sz w:val="14"/>
                <w:szCs w:val="14"/>
              </w:rPr>
              <w:t>3821</w:t>
            </w:r>
          </w:p>
        </w:tc>
        <w:tc>
          <w:tcPr>
            <w:tcW w:w="8106" w:type="dxa"/>
            <w:tcBorders>
              <w:top w:val="single" w:sz="4" w:space="0" w:color="auto"/>
              <w:left w:val="nil"/>
              <w:bottom w:val="single" w:sz="4" w:space="0" w:color="auto"/>
              <w:right w:val="single" w:sz="4" w:space="0" w:color="auto"/>
            </w:tcBorders>
            <w:noWrap/>
            <w:vAlign w:val="bottom"/>
            <w:hideMark/>
          </w:tcPr>
          <w:p w14:paraId="4A1759C6" w14:textId="77777777" w:rsidR="00416D67" w:rsidRPr="00416D67" w:rsidRDefault="00416D67" w:rsidP="00416D67">
            <w:pPr>
              <w:rPr>
                <w:rFonts w:ascii="Arial" w:hAnsi="Arial" w:cs="Arial"/>
                <w:sz w:val="14"/>
                <w:szCs w:val="14"/>
              </w:rPr>
            </w:pPr>
            <w:r w:rsidRPr="00416D67">
              <w:rPr>
                <w:rFonts w:ascii="Arial" w:hAnsi="Arial" w:cs="Arial"/>
                <w:sz w:val="14"/>
                <w:szCs w:val="14"/>
              </w:rPr>
              <w:t>Kapitalne donacije neprofitnim organizacijama</w:t>
            </w:r>
          </w:p>
        </w:tc>
        <w:tc>
          <w:tcPr>
            <w:tcW w:w="1095" w:type="dxa"/>
            <w:tcBorders>
              <w:top w:val="single" w:sz="4" w:space="0" w:color="auto"/>
              <w:left w:val="nil"/>
              <w:bottom w:val="single" w:sz="4" w:space="0" w:color="auto"/>
              <w:right w:val="single" w:sz="4" w:space="0" w:color="auto"/>
            </w:tcBorders>
            <w:noWrap/>
            <w:vAlign w:val="bottom"/>
            <w:hideMark/>
          </w:tcPr>
          <w:p w14:paraId="7CDBE1B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A6FDD3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0863A7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25.000,00</w:t>
            </w:r>
          </w:p>
        </w:tc>
        <w:tc>
          <w:tcPr>
            <w:tcW w:w="918" w:type="dxa"/>
            <w:tcBorders>
              <w:top w:val="single" w:sz="4" w:space="0" w:color="auto"/>
              <w:left w:val="nil"/>
              <w:bottom w:val="single" w:sz="4" w:space="0" w:color="auto"/>
              <w:right w:val="single" w:sz="4" w:space="0" w:color="auto"/>
            </w:tcBorders>
            <w:noWrap/>
            <w:vAlign w:val="bottom"/>
            <w:hideMark/>
          </w:tcPr>
          <w:p w14:paraId="487D6C2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D5302F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0E6C7E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A100010</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608F1B3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Troškovi intervencija prilikom gašenja požara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D13FF6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3339AD8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6C37E0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949,96</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54C74FF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63,33%</w:t>
            </w:r>
          </w:p>
        </w:tc>
      </w:tr>
      <w:tr w:rsidR="00416D67" w:rsidRPr="00416D67" w14:paraId="181E3F0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4A5372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141142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8AEFF4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C84EC5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949,96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26C845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63,33%</w:t>
            </w:r>
          </w:p>
        </w:tc>
      </w:tr>
      <w:tr w:rsidR="00416D67" w:rsidRPr="00416D67" w14:paraId="70EB4E1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638F5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57F9B4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B74F15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05BB52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949,96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941807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63,33%</w:t>
            </w:r>
          </w:p>
        </w:tc>
      </w:tr>
      <w:tr w:rsidR="00416D67" w:rsidRPr="00416D67" w14:paraId="4AEE091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E20C7C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1A9C6F3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7E634F9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1.500,00</w:t>
            </w:r>
          </w:p>
        </w:tc>
        <w:tc>
          <w:tcPr>
            <w:tcW w:w="1070" w:type="dxa"/>
            <w:tcBorders>
              <w:top w:val="single" w:sz="4" w:space="0" w:color="auto"/>
              <w:left w:val="nil"/>
              <w:bottom w:val="single" w:sz="4" w:space="0" w:color="auto"/>
              <w:right w:val="single" w:sz="4" w:space="0" w:color="auto"/>
            </w:tcBorders>
            <w:noWrap/>
            <w:vAlign w:val="bottom"/>
            <w:hideMark/>
          </w:tcPr>
          <w:p w14:paraId="42F25AE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1.500,00</w:t>
            </w:r>
          </w:p>
        </w:tc>
        <w:tc>
          <w:tcPr>
            <w:tcW w:w="1095" w:type="dxa"/>
            <w:tcBorders>
              <w:top w:val="single" w:sz="4" w:space="0" w:color="auto"/>
              <w:left w:val="nil"/>
              <w:bottom w:val="single" w:sz="4" w:space="0" w:color="auto"/>
              <w:right w:val="single" w:sz="4" w:space="0" w:color="auto"/>
            </w:tcBorders>
            <w:noWrap/>
            <w:vAlign w:val="bottom"/>
            <w:hideMark/>
          </w:tcPr>
          <w:p w14:paraId="66964F8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949,96</w:t>
            </w:r>
          </w:p>
        </w:tc>
        <w:tc>
          <w:tcPr>
            <w:tcW w:w="918" w:type="dxa"/>
            <w:tcBorders>
              <w:top w:val="single" w:sz="4" w:space="0" w:color="auto"/>
              <w:left w:val="nil"/>
              <w:bottom w:val="single" w:sz="4" w:space="0" w:color="auto"/>
              <w:right w:val="single" w:sz="4" w:space="0" w:color="auto"/>
            </w:tcBorders>
            <w:noWrap/>
            <w:vAlign w:val="bottom"/>
            <w:hideMark/>
          </w:tcPr>
          <w:p w14:paraId="2F7587F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63,33%</w:t>
            </w:r>
          </w:p>
        </w:tc>
      </w:tr>
      <w:tr w:rsidR="00416D67" w:rsidRPr="00416D67" w14:paraId="55CC780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8DF8296" w14:textId="77777777" w:rsidR="00416D67" w:rsidRPr="00416D67" w:rsidRDefault="00416D67" w:rsidP="00416D67">
            <w:pPr>
              <w:rPr>
                <w:rFonts w:ascii="Arial" w:hAnsi="Arial" w:cs="Arial"/>
                <w:sz w:val="14"/>
                <w:szCs w:val="14"/>
              </w:rPr>
            </w:pPr>
            <w:r w:rsidRPr="00416D67">
              <w:rPr>
                <w:rFonts w:ascii="Arial" w:hAnsi="Arial" w:cs="Arial"/>
                <w:sz w:val="14"/>
                <w:szCs w:val="14"/>
              </w:rPr>
              <w:t>3299</w:t>
            </w:r>
          </w:p>
        </w:tc>
        <w:tc>
          <w:tcPr>
            <w:tcW w:w="8106" w:type="dxa"/>
            <w:tcBorders>
              <w:top w:val="single" w:sz="4" w:space="0" w:color="auto"/>
              <w:left w:val="nil"/>
              <w:bottom w:val="single" w:sz="4" w:space="0" w:color="auto"/>
              <w:right w:val="single" w:sz="4" w:space="0" w:color="auto"/>
            </w:tcBorders>
            <w:noWrap/>
            <w:vAlign w:val="bottom"/>
            <w:hideMark/>
          </w:tcPr>
          <w:p w14:paraId="21A1760E" w14:textId="77777777" w:rsidR="00416D67" w:rsidRPr="00416D67" w:rsidRDefault="00416D67" w:rsidP="00416D67">
            <w:pPr>
              <w:rPr>
                <w:rFonts w:ascii="Arial" w:hAnsi="Arial" w:cs="Arial"/>
                <w:sz w:val="14"/>
                <w:szCs w:val="14"/>
              </w:rPr>
            </w:pPr>
            <w:r w:rsidRPr="00416D67">
              <w:rPr>
                <w:rFonts w:ascii="Arial" w:hAnsi="Arial" w:cs="Arial"/>
                <w:sz w:val="14"/>
                <w:szCs w:val="14"/>
              </w:rPr>
              <w:t>Ostali nespomenuti rashodi poslovanja</w:t>
            </w:r>
          </w:p>
        </w:tc>
        <w:tc>
          <w:tcPr>
            <w:tcW w:w="1095" w:type="dxa"/>
            <w:tcBorders>
              <w:top w:val="single" w:sz="4" w:space="0" w:color="auto"/>
              <w:left w:val="nil"/>
              <w:bottom w:val="single" w:sz="4" w:space="0" w:color="auto"/>
              <w:right w:val="single" w:sz="4" w:space="0" w:color="auto"/>
            </w:tcBorders>
            <w:noWrap/>
            <w:vAlign w:val="bottom"/>
            <w:hideMark/>
          </w:tcPr>
          <w:p w14:paraId="4A3ACE7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D0F0A0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500E99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949,96</w:t>
            </w:r>
          </w:p>
        </w:tc>
        <w:tc>
          <w:tcPr>
            <w:tcW w:w="918" w:type="dxa"/>
            <w:tcBorders>
              <w:top w:val="single" w:sz="4" w:space="0" w:color="auto"/>
              <w:left w:val="nil"/>
              <w:bottom w:val="single" w:sz="4" w:space="0" w:color="auto"/>
              <w:right w:val="single" w:sz="4" w:space="0" w:color="auto"/>
            </w:tcBorders>
            <w:noWrap/>
            <w:vAlign w:val="bottom"/>
            <w:hideMark/>
          </w:tcPr>
          <w:p w14:paraId="1F0D218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D2D79E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2024CC8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RAZDJEL 004 UPRAVNI ODJEL ZA PROSTORNO PLANIRANJE, ZAŠTITU OKOLIŠA, KOMUNALNO GOSPODARSTVO I IZGRADNJU</w:t>
            </w:r>
          </w:p>
        </w:tc>
        <w:tc>
          <w:tcPr>
            <w:tcW w:w="1095" w:type="dxa"/>
            <w:tcBorders>
              <w:top w:val="single" w:sz="4" w:space="0" w:color="auto"/>
              <w:left w:val="nil"/>
              <w:bottom w:val="single" w:sz="4" w:space="0" w:color="auto"/>
              <w:right w:val="single" w:sz="4" w:space="0" w:color="auto"/>
            </w:tcBorders>
            <w:shd w:val="clear" w:color="000000" w:fill="9999FF"/>
            <w:noWrap/>
            <w:vAlign w:val="bottom"/>
            <w:hideMark/>
          </w:tcPr>
          <w:p w14:paraId="3EC63A4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2.635.012,70</w:t>
            </w:r>
          </w:p>
        </w:tc>
        <w:tc>
          <w:tcPr>
            <w:tcW w:w="1070" w:type="dxa"/>
            <w:tcBorders>
              <w:top w:val="single" w:sz="4" w:space="0" w:color="auto"/>
              <w:left w:val="nil"/>
              <w:bottom w:val="single" w:sz="4" w:space="0" w:color="auto"/>
              <w:right w:val="single" w:sz="4" w:space="0" w:color="auto"/>
            </w:tcBorders>
            <w:shd w:val="clear" w:color="000000" w:fill="9999FF"/>
            <w:noWrap/>
            <w:vAlign w:val="bottom"/>
            <w:hideMark/>
          </w:tcPr>
          <w:p w14:paraId="55B7296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2.680.537,70</w:t>
            </w:r>
          </w:p>
        </w:tc>
        <w:tc>
          <w:tcPr>
            <w:tcW w:w="1095" w:type="dxa"/>
            <w:tcBorders>
              <w:top w:val="single" w:sz="4" w:space="0" w:color="auto"/>
              <w:left w:val="nil"/>
              <w:bottom w:val="single" w:sz="4" w:space="0" w:color="auto"/>
              <w:right w:val="single" w:sz="4" w:space="0" w:color="auto"/>
            </w:tcBorders>
            <w:shd w:val="clear" w:color="000000" w:fill="9999FF"/>
            <w:noWrap/>
            <w:vAlign w:val="bottom"/>
            <w:hideMark/>
          </w:tcPr>
          <w:p w14:paraId="6EBB822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2.239.567,51</w:t>
            </w:r>
          </w:p>
        </w:tc>
        <w:tc>
          <w:tcPr>
            <w:tcW w:w="918" w:type="dxa"/>
            <w:tcBorders>
              <w:top w:val="single" w:sz="4" w:space="0" w:color="auto"/>
              <w:left w:val="nil"/>
              <w:bottom w:val="single" w:sz="4" w:space="0" w:color="auto"/>
              <w:right w:val="single" w:sz="4" w:space="0" w:color="auto"/>
            </w:tcBorders>
            <w:shd w:val="clear" w:color="000000" w:fill="9999FF"/>
            <w:noWrap/>
            <w:vAlign w:val="bottom"/>
            <w:hideMark/>
          </w:tcPr>
          <w:p w14:paraId="2A7CB4B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83,55%</w:t>
            </w:r>
          </w:p>
        </w:tc>
      </w:tr>
      <w:tr w:rsidR="00416D67" w:rsidRPr="00416D67" w14:paraId="4DE8667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24AAF10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GLAVA 00401 UPRAVNI ODJEL ZA PROSTORNO PLANIRANJE, ZAŠTITU OKOLIŠA, KOMUNALNO GOSPODARSTVO I IZGRADNJU</w:t>
            </w:r>
          </w:p>
        </w:tc>
        <w:tc>
          <w:tcPr>
            <w:tcW w:w="1095" w:type="dxa"/>
            <w:tcBorders>
              <w:top w:val="single" w:sz="4" w:space="0" w:color="auto"/>
              <w:left w:val="nil"/>
              <w:bottom w:val="single" w:sz="4" w:space="0" w:color="auto"/>
              <w:right w:val="single" w:sz="4" w:space="0" w:color="auto"/>
            </w:tcBorders>
            <w:shd w:val="clear" w:color="000000" w:fill="9999FF"/>
            <w:noWrap/>
            <w:vAlign w:val="bottom"/>
            <w:hideMark/>
          </w:tcPr>
          <w:p w14:paraId="4CEC9BE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2.635.012,70</w:t>
            </w:r>
          </w:p>
        </w:tc>
        <w:tc>
          <w:tcPr>
            <w:tcW w:w="1070" w:type="dxa"/>
            <w:tcBorders>
              <w:top w:val="single" w:sz="4" w:space="0" w:color="auto"/>
              <w:left w:val="nil"/>
              <w:bottom w:val="single" w:sz="4" w:space="0" w:color="auto"/>
              <w:right w:val="single" w:sz="4" w:space="0" w:color="auto"/>
            </w:tcBorders>
            <w:shd w:val="clear" w:color="000000" w:fill="9999FF"/>
            <w:noWrap/>
            <w:vAlign w:val="bottom"/>
            <w:hideMark/>
          </w:tcPr>
          <w:p w14:paraId="2C253C3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2.680.537,70</w:t>
            </w:r>
          </w:p>
        </w:tc>
        <w:tc>
          <w:tcPr>
            <w:tcW w:w="1095" w:type="dxa"/>
            <w:tcBorders>
              <w:top w:val="single" w:sz="4" w:space="0" w:color="auto"/>
              <w:left w:val="nil"/>
              <w:bottom w:val="single" w:sz="4" w:space="0" w:color="auto"/>
              <w:right w:val="single" w:sz="4" w:space="0" w:color="auto"/>
            </w:tcBorders>
            <w:shd w:val="clear" w:color="000000" w:fill="9999FF"/>
            <w:noWrap/>
            <w:vAlign w:val="bottom"/>
            <w:hideMark/>
          </w:tcPr>
          <w:p w14:paraId="2B83E14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2.239.567,51</w:t>
            </w:r>
          </w:p>
        </w:tc>
        <w:tc>
          <w:tcPr>
            <w:tcW w:w="918" w:type="dxa"/>
            <w:tcBorders>
              <w:top w:val="single" w:sz="4" w:space="0" w:color="auto"/>
              <w:left w:val="nil"/>
              <w:bottom w:val="single" w:sz="4" w:space="0" w:color="auto"/>
              <w:right w:val="single" w:sz="4" w:space="0" w:color="auto"/>
            </w:tcBorders>
            <w:shd w:val="clear" w:color="000000" w:fill="9999FF"/>
            <w:noWrap/>
            <w:vAlign w:val="bottom"/>
            <w:hideMark/>
          </w:tcPr>
          <w:p w14:paraId="7D66055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83,55%</w:t>
            </w:r>
          </w:p>
        </w:tc>
      </w:tr>
      <w:tr w:rsidR="00416D67" w:rsidRPr="00416D67" w14:paraId="4247F95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7B017E1"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991107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449.625,00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D319D7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450.150,00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373B2B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306.040,93</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89B8B9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67,99%</w:t>
            </w:r>
          </w:p>
        </w:tc>
      </w:tr>
      <w:tr w:rsidR="00416D67" w:rsidRPr="00416D67" w14:paraId="51AD19A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E35BA1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E30569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449.625,00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F761FE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450.150,00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1B33E0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306.040,93</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45F939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67,99%</w:t>
            </w:r>
          </w:p>
        </w:tc>
      </w:tr>
      <w:tr w:rsidR="00416D67" w:rsidRPr="00416D67" w14:paraId="5788E66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BD54A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3. Vlastiti prihodi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264C39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1.230,00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EAF36C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1.230,00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2D4D3A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1.260,00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9C9387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102,44%</w:t>
            </w:r>
          </w:p>
        </w:tc>
      </w:tr>
      <w:tr w:rsidR="00416D67" w:rsidRPr="00416D67" w14:paraId="7AD5E57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9FCEDB1"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3.1. 03 Vlastiti prihodi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737701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1.230,00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4D35B6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1.230,00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B66315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1.260,00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A80D0C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102,44%</w:t>
            </w:r>
          </w:p>
        </w:tc>
      </w:tr>
      <w:tr w:rsidR="00416D67" w:rsidRPr="00416D67" w14:paraId="56693C6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ACFEBA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5904A2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1.199.300,00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B795D9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1.199.300,00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A09004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1.207.885,90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65CEFD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100,72%</w:t>
            </w:r>
          </w:p>
        </w:tc>
      </w:tr>
      <w:tr w:rsidR="00416D67" w:rsidRPr="00416D67" w14:paraId="269CE88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402C71"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4.1. Prihodi za posebne namjene komunalna naknada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EF5B4C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210.000,00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3252C4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210.000,00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421896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195.690,03</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5A0D87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93,19%</w:t>
            </w:r>
          </w:p>
        </w:tc>
      </w:tr>
      <w:tr w:rsidR="00416D67" w:rsidRPr="00416D67" w14:paraId="4574C25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C907B3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4.2. Prihodi za posebne namjene komunalni doprinos</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DD3214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850.000,00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7B175C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850.000,00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E00B91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892.583,16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CC9D17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105,01%</w:t>
            </w:r>
          </w:p>
        </w:tc>
      </w:tr>
      <w:tr w:rsidR="00416D67" w:rsidRPr="00416D67" w14:paraId="46EAA52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B4FE80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4.3.1 Turistička  pristojba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3855AB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36.300,00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DF6EAB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36.300,00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497311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22.319,02</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7432B8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61,48%</w:t>
            </w:r>
          </w:p>
        </w:tc>
      </w:tr>
      <w:tr w:rsidR="00416D67" w:rsidRPr="00416D67" w14:paraId="28382AA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CE965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4.3.2 Eksploatacija mineralnih sirovina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A6A8B4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56.500,00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46D1BE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56.500,00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8D5086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56.347,37</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FAF03F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99,73%</w:t>
            </w:r>
          </w:p>
        </w:tc>
      </w:tr>
      <w:tr w:rsidR="00416D67" w:rsidRPr="00416D67" w14:paraId="60CC7CA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DC9B96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4.3.4 Vodni doprinos</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EDAE27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E2DAEB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995708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377,27</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50A222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37,73%</w:t>
            </w:r>
          </w:p>
        </w:tc>
      </w:tr>
      <w:tr w:rsidR="00416D67" w:rsidRPr="00416D67" w14:paraId="5094ECF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FD791C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4.3.5 Naknada za zadržavanje nezakonito </w:t>
            </w:r>
            <w:proofErr w:type="spellStart"/>
            <w:r w:rsidRPr="00416D67">
              <w:rPr>
                <w:rFonts w:ascii="Arial" w:hAnsi="Arial" w:cs="Arial"/>
                <w:b/>
                <w:bCs/>
                <w:color w:val="333333"/>
                <w:sz w:val="14"/>
                <w:szCs w:val="14"/>
              </w:rPr>
              <w:t>izgr.zgrada</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C012B9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3F2B3B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0E6897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4.312,50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73392D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57,50%</w:t>
            </w:r>
          </w:p>
        </w:tc>
      </w:tr>
      <w:tr w:rsidR="00416D67" w:rsidRPr="00416D67" w14:paraId="2097627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C5395A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4.3.6 Koncesije i koncesijska odobrenja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DA1CE7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28.000,00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379685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28.000,00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3A4C0A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27.529,49</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27F817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98,32%</w:t>
            </w:r>
          </w:p>
        </w:tc>
      </w:tr>
      <w:tr w:rsidR="00416D67" w:rsidRPr="00416D67" w14:paraId="5096CFE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AA84E3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4.3.7 Naknada za dodjelu grobnih mjesta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5CD3A3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D3E5C1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C5ED21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8.727,06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CAE94F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87,27%</w:t>
            </w:r>
          </w:p>
        </w:tc>
      </w:tr>
      <w:tr w:rsidR="00416D67" w:rsidRPr="00416D67" w14:paraId="6F6DA48C"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4B2C60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 Pomoći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963F71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63.487,70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B0A696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63.487,70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97A2B3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58.638,75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ED7FF6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92,36%</w:t>
            </w:r>
          </w:p>
        </w:tc>
      </w:tr>
      <w:tr w:rsidR="00416D67" w:rsidRPr="00416D67" w14:paraId="2EA9C40F"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C4E8D90"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5.1.11 Pomoći Ministarstvo graditeljstva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C99AD2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32.000,00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E944A7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32.000,00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9FAACB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0C2079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3C9DFA9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1D340A0"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5.1.13 Kapitalne pomoći državni proračun</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06322E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 </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63F32A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18689E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28.013,75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1664CD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 </w:t>
            </w:r>
          </w:p>
        </w:tc>
      </w:tr>
      <w:tr w:rsidR="00416D67" w:rsidRPr="00416D67" w14:paraId="3B53B31C"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3A2643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5.6.6 Pomoći EU  (program razvoja kružnog </w:t>
            </w:r>
            <w:proofErr w:type="spellStart"/>
            <w:r w:rsidRPr="00416D67">
              <w:rPr>
                <w:rFonts w:ascii="Arial" w:hAnsi="Arial" w:cs="Arial"/>
                <w:b/>
                <w:bCs/>
                <w:color w:val="333333"/>
                <w:sz w:val="14"/>
                <w:szCs w:val="14"/>
              </w:rPr>
              <w:t>gospod</w:t>
            </w:r>
            <w:proofErr w:type="spellEnd"/>
            <w:r w:rsidRPr="00416D67">
              <w:rPr>
                <w:rFonts w:ascii="Arial" w:hAnsi="Arial" w:cs="Arial"/>
                <w:b/>
                <w:bCs/>
                <w:color w:val="333333"/>
                <w:sz w:val="14"/>
                <w:szCs w:val="14"/>
              </w:rPr>
              <w:t xml:space="preserve"> prostorom i </w:t>
            </w:r>
            <w:proofErr w:type="spellStart"/>
            <w:r w:rsidRPr="00416D67">
              <w:rPr>
                <w:rFonts w:ascii="Arial" w:hAnsi="Arial" w:cs="Arial"/>
                <w:b/>
                <w:bCs/>
                <w:color w:val="333333"/>
                <w:sz w:val="14"/>
                <w:szCs w:val="14"/>
              </w:rPr>
              <w:t>zgrad</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7EA8BA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31.487,70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BFBABE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31.487,70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0FEA5E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30.625,00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42F080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97,26%</w:t>
            </w:r>
          </w:p>
        </w:tc>
      </w:tr>
      <w:tr w:rsidR="00416D67" w:rsidRPr="00416D67" w14:paraId="5E1D777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50B065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7. Prihodi od prodaje ili zamjene nefinancijske imovine i </w:t>
            </w:r>
            <w:proofErr w:type="spellStart"/>
            <w:r w:rsidRPr="00416D67">
              <w:rPr>
                <w:rFonts w:ascii="Arial" w:hAnsi="Arial" w:cs="Arial"/>
                <w:b/>
                <w:bCs/>
                <w:color w:val="333333"/>
                <w:sz w:val="14"/>
                <w:szCs w:val="14"/>
              </w:rPr>
              <w:t>nakna</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2FF619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779.870,00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A50C9B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824.870,00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857006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547.938,78</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CB6DBD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66,43%</w:t>
            </w:r>
          </w:p>
        </w:tc>
      </w:tr>
      <w:tr w:rsidR="00416D67" w:rsidRPr="00416D67" w14:paraId="0077A3D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B7CE354"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7.1. 07 Prihodi od prodaje ili zamjene  </w:t>
            </w:r>
            <w:proofErr w:type="spellStart"/>
            <w:r w:rsidRPr="00416D67">
              <w:rPr>
                <w:rFonts w:ascii="Arial" w:hAnsi="Arial" w:cs="Arial"/>
                <w:b/>
                <w:bCs/>
                <w:color w:val="333333"/>
                <w:sz w:val="14"/>
                <w:szCs w:val="14"/>
              </w:rPr>
              <w:t>nefinanc.imovine</w:t>
            </w:r>
            <w:proofErr w:type="spellEnd"/>
            <w:r w:rsidRPr="00416D67">
              <w:rPr>
                <w:rFonts w:ascii="Arial" w:hAnsi="Arial" w:cs="Arial"/>
                <w:b/>
                <w:bCs/>
                <w:color w:val="333333"/>
                <w:sz w:val="14"/>
                <w:szCs w:val="14"/>
              </w:rPr>
              <w:t xml:space="preserve"> i </w:t>
            </w:r>
            <w:proofErr w:type="spellStart"/>
            <w:r w:rsidRPr="00416D67">
              <w:rPr>
                <w:rFonts w:ascii="Arial" w:hAnsi="Arial" w:cs="Arial"/>
                <w:b/>
                <w:bCs/>
                <w:color w:val="333333"/>
                <w:sz w:val="14"/>
                <w:szCs w:val="14"/>
              </w:rPr>
              <w:t>nadokn</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129D1D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779.870,00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C6464D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824.870,00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27DABC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547.938,78</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A33CE2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66,43%</w:t>
            </w:r>
          </w:p>
        </w:tc>
      </w:tr>
      <w:tr w:rsidR="00416D67" w:rsidRPr="00416D67" w14:paraId="2395E12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8D5B03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 Višak prihoda ranijih godina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8D54B6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141.500,00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9B985B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141.500,00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D4BABE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117.803,15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B0E030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83,25%</w:t>
            </w:r>
          </w:p>
        </w:tc>
      </w:tr>
      <w:tr w:rsidR="00416D67" w:rsidRPr="00416D67" w14:paraId="70E85CF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7EC74CE"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9.1.1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549ED8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141.500,00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02A6D6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141.500,00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6B49B1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117.803,15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9AF309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83,25%</w:t>
            </w:r>
          </w:p>
        </w:tc>
      </w:tr>
      <w:tr w:rsidR="00416D67" w:rsidRPr="00416D67" w14:paraId="762ABAA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1D431B1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4001</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327407F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Program: Program zaštite okoliša i gospodarenja otpadom</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2862862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142.107,70</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66C1E7A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142.107,70</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37DFD45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101.675,70</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20E1168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71,55%</w:t>
            </w:r>
          </w:p>
        </w:tc>
      </w:tr>
      <w:tr w:rsidR="00416D67" w:rsidRPr="00416D67" w14:paraId="70B721A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047383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27445B9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Sanacija neuređenih odlagališta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47A7FE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6A88B44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978E3F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36.966,90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4DCDF18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73,93%</w:t>
            </w:r>
          </w:p>
        </w:tc>
      </w:tr>
      <w:tr w:rsidR="00416D67" w:rsidRPr="00416D67" w14:paraId="7AA6E64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C93EA0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 Višak prihoda ranijih godina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186C67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A78C9F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6E85FC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36.966,90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BADEE9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73,93%</w:t>
            </w:r>
          </w:p>
        </w:tc>
      </w:tr>
      <w:tr w:rsidR="00416D67" w:rsidRPr="00416D67" w14:paraId="63D3FBB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FDD204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9.1.1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12D73E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7C452D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1AAC77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36.966,90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FB3E7E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73,93%</w:t>
            </w:r>
          </w:p>
        </w:tc>
      </w:tr>
      <w:tr w:rsidR="00416D67" w:rsidRPr="00416D67" w14:paraId="5EA45C0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66D0FF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lastRenderedPageBreak/>
              <w:t>32</w:t>
            </w:r>
          </w:p>
        </w:tc>
        <w:tc>
          <w:tcPr>
            <w:tcW w:w="8106" w:type="dxa"/>
            <w:tcBorders>
              <w:top w:val="single" w:sz="4" w:space="0" w:color="auto"/>
              <w:left w:val="nil"/>
              <w:bottom w:val="single" w:sz="4" w:space="0" w:color="auto"/>
              <w:right w:val="single" w:sz="4" w:space="0" w:color="auto"/>
            </w:tcBorders>
            <w:noWrap/>
            <w:vAlign w:val="bottom"/>
            <w:hideMark/>
          </w:tcPr>
          <w:p w14:paraId="310A918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7D7DF29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50.000,00</w:t>
            </w:r>
          </w:p>
        </w:tc>
        <w:tc>
          <w:tcPr>
            <w:tcW w:w="1070" w:type="dxa"/>
            <w:tcBorders>
              <w:top w:val="single" w:sz="4" w:space="0" w:color="auto"/>
              <w:left w:val="nil"/>
              <w:bottom w:val="single" w:sz="4" w:space="0" w:color="auto"/>
              <w:right w:val="single" w:sz="4" w:space="0" w:color="auto"/>
            </w:tcBorders>
            <w:noWrap/>
            <w:vAlign w:val="bottom"/>
            <w:hideMark/>
          </w:tcPr>
          <w:p w14:paraId="63D038B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50.000,00</w:t>
            </w:r>
          </w:p>
        </w:tc>
        <w:tc>
          <w:tcPr>
            <w:tcW w:w="1095" w:type="dxa"/>
            <w:tcBorders>
              <w:top w:val="single" w:sz="4" w:space="0" w:color="auto"/>
              <w:left w:val="nil"/>
              <w:bottom w:val="single" w:sz="4" w:space="0" w:color="auto"/>
              <w:right w:val="single" w:sz="4" w:space="0" w:color="auto"/>
            </w:tcBorders>
            <w:noWrap/>
            <w:vAlign w:val="bottom"/>
            <w:hideMark/>
          </w:tcPr>
          <w:p w14:paraId="461C7E4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36.966,90</w:t>
            </w:r>
          </w:p>
        </w:tc>
        <w:tc>
          <w:tcPr>
            <w:tcW w:w="918" w:type="dxa"/>
            <w:tcBorders>
              <w:top w:val="single" w:sz="4" w:space="0" w:color="auto"/>
              <w:left w:val="nil"/>
              <w:bottom w:val="single" w:sz="4" w:space="0" w:color="auto"/>
              <w:right w:val="single" w:sz="4" w:space="0" w:color="auto"/>
            </w:tcBorders>
            <w:noWrap/>
            <w:vAlign w:val="bottom"/>
            <w:hideMark/>
          </w:tcPr>
          <w:p w14:paraId="4E2438D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73,93%</w:t>
            </w:r>
          </w:p>
        </w:tc>
      </w:tr>
      <w:tr w:rsidR="00416D67" w:rsidRPr="00416D67" w14:paraId="483D17A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26C4C6A" w14:textId="77777777" w:rsidR="00416D67" w:rsidRPr="00416D67" w:rsidRDefault="00416D67" w:rsidP="00416D67">
            <w:pPr>
              <w:rPr>
                <w:rFonts w:ascii="Arial" w:hAnsi="Arial" w:cs="Arial"/>
                <w:sz w:val="14"/>
                <w:szCs w:val="14"/>
              </w:rPr>
            </w:pPr>
            <w:r w:rsidRPr="00416D67">
              <w:rPr>
                <w:rFonts w:ascii="Arial" w:hAnsi="Arial" w:cs="Arial"/>
                <w:sz w:val="14"/>
                <w:szCs w:val="14"/>
              </w:rPr>
              <w:t>3234</w:t>
            </w:r>
          </w:p>
        </w:tc>
        <w:tc>
          <w:tcPr>
            <w:tcW w:w="8106" w:type="dxa"/>
            <w:tcBorders>
              <w:top w:val="single" w:sz="4" w:space="0" w:color="auto"/>
              <w:left w:val="nil"/>
              <w:bottom w:val="single" w:sz="4" w:space="0" w:color="auto"/>
              <w:right w:val="single" w:sz="4" w:space="0" w:color="auto"/>
            </w:tcBorders>
            <w:noWrap/>
            <w:vAlign w:val="bottom"/>
            <w:hideMark/>
          </w:tcPr>
          <w:p w14:paraId="6FBC7BB6" w14:textId="77777777" w:rsidR="00416D67" w:rsidRPr="00416D67" w:rsidRDefault="00416D67" w:rsidP="00416D67">
            <w:pPr>
              <w:rPr>
                <w:rFonts w:ascii="Arial" w:hAnsi="Arial" w:cs="Arial"/>
                <w:sz w:val="14"/>
                <w:szCs w:val="14"/>
              </w:rPr>
            </w:pPr>
            <w:r w:rsidRPr="00416D67">
              <w:rPr>
                <w:rFonts w:ascii="Arial" w:hAnsi="Arial" w:cs="Arial"/>
                <w:sz w:val="14"/>
                <w:szCs w:val="14"/>
              </w:rPr>
              <w:t>Komunalne usluge</w:t>
            </w:r>
          </w:p>
        </w:tc>
        <w:tc>
          <w:tcPr>
            <w:tcW w:w="1095" w:type="dxa"/>
            <w:tcBorders>
              <w:top w:val="single" w:sz="4" w:space="0" w:color="auto"/>
              <w:left w:val="nil"/>
              <w:bottom w:val="single" w:sz="4" w:space="0" w:color="auto"/>
              <w:right w:val="single" w:sz="4" w:space="0" w:color="auto"/>
            </w:tcBorders>
            <w:noWrap/>
            <w:vAlign w:val="bottom"/>
            <w:hideMark/>
          </w:tcPr>
          <w:p w14:paraId="2CE2E2F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729DC4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BF51CC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36.966,90</w:t>
            </w:r>
          </w:p>
        </w:tc>
        <w:tc>
          <w:tcPr>
            <w:tcW w:w="918" w:type="dxa"/>
            <w:tcBorders>
              <w:top w:val="single" w:sz="4" w:space="0" w:color="auto"/>
              <w:left w:val="nil"/>
              <w:bottom w:val="single" w:sz="4" w:space="0" w:color="auto"/>
              <w:right w:val="single" w:sz="4" w:space="0" w:color="auto"/>
            </w:tcBorders>
            <w:noWrap/>
            <w:vAlign w:val="bottom"/>
            <w:hideMark/>
          </w:tcPr>
          <w:p w14:paraId="455E284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286DD7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AC0F09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A100002</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06DA3D3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Veterinarsko higijenski poslovi</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D6B9D4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11.500,00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247DAA6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11.500,00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3FDE8D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10.792,46</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3EDA29E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93,85%</w:t>
            </w:r>
          </w:p>
        </w:tc>
      </w:tr>
      <w:tr w:rsidR="00416D67" w:rsidRPr="00416D67" w14:paraId="2C5B408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AEBB1F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F173B5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94CD7B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3FD6B0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10.792,46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BFF4DE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93,85%</w:t>
            </w:r>
          </w:p>
        </w:tc>
      </w:tr>
      <w:tr w:rsidR="00416D67" w:rsidRPr="00416D67" w14:paraId="4C2A381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C8213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FAEF31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5B1082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392CCF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10.792,46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1CDB87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93,85%</w:t>
            </w:r>
          </w:p>
        </w:tc>
      </w:tr>
      <w:tr w:rsidR="00416D67" w:rsidRPr="00416D67" w14:paraId="6C36F71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AB6D78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2377024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279E318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11.500,00</w:t>
            </w:r>
          </w:p>
        </w:tc>
        <w:tc>
          <w:tcPr>
            <w:tcW w:w="1070" w:type="dxa"/>
            <w:tcBorders>
              <w:top w:val="single" w:sz="4" w:space="0" w:color="auto"/>
              <w:left w:val="nil"/>
              <w:bottom w:val="single" w:sz="4" w:space="0" w:color="auto"/>
              <w:right w:val="single" w:sz="4" w:space="0" w:color="auto"/>
            </w:tcBorders>
            <w:noWrap/>
            <w:vAlign w:val="bottom"/>
            <w:hideMark/>
          </w:tcPr>
          <w:p w14:paraId="7ADF17E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11.500,00</w:t>
            </w:r>
          </w:p>
        </w:tc>
        <w:tc>
          <w:tcPr>
            <w:tcW w:w="1095" w:type="dxa"/>
            <w:tcBorders>
              <w:top w:val="single" w:sz="4" w:space="0" w:color="auto"/>
              <w:left w:val="nil"/>
              <w:bottom w:val="single" w:sz="4" w:space="0" w:color="auto"/>
              <w:right w:val="single" w:sz="4" w:space="0" w:color="auto"/>
            </w:tcBorders>
            <w:noWrap/>
            <w:vAlign w:val="bottom"/>
            <w:hideMark/>
          </w:tcPr>
          <w:p w14:paraId="5BA4EF8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10.792,46</w:t>
            </w:r>
          </w:p>
        </w:tc>
        <w:tc>
          <w:tcPr>
            <w:tcW w:w="918" w:type="dxa"/>
            <w:tcBorders>
              <w:top w:val="single" w:sz="4" w:space="0" w:color="auto"/>
              <w:left w:val="nil"/>
              <w:bottom w:val="single" w:sz="4" w:space="0" w:color="auto"/>
              <w:right w:val="single" w:sz="4" w:space="0" w:color="auto"/>
            </w:tcBorders>
            <w:noWrap/>
            <w:vAlign w:val="bottom"/>
            <w:hideMark/>
          </w:tcPr>
          <w:p w14:paraId="6185FC8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93,85%</w:t>
            </w:r>
          </w:p>
        </w:tc>
      </w:tr>
      <w:tr w:rsidR="00416D67" w:rsidRPr="00416D67" w14:paraId="470E0C6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3B1A125" w14:textId="77777777" w:rsidR="00416D67" w:rsidRPr="00416D67" w:rsidRDefault="00416D67" w:rsidP="00416D67">
            <w:pPr>
              <w:rPr>
                <w:rFonts w:ascii="Arial" w:hAnsi="Arial" w:cs="Arial"/>
                <w:sz w:val="14"/>
                <w:szCs w:val="14"/>
              </w:rPr>
            </w:pPr>
            <w:r w:rsidRPr="00416D67">
              <w:rPr>
                <w:rFonts w:ascii="Arial" w:hAnsi="Arial" w:cs="Arial"/>
                <w:sz w:val="14"/>
                <w:szCs w:val="14"/>
              </w:rPr>
              <w:t>3236</w:t>
            </w:r>
          </w:p>
        </w:tc>
        <w:tc>
          <w:tcPr>
            <w:tcW w:w="8106" w:type="dxa"/>
            <w:tcBorders>
              <w:top w:val="single" w:sz="4" w:space="0" w:color="auto"/>
              <w:left w:val="nil"/>
              <w:bottom w:val="single" w:sz="4" w:space="0" w:color="auto"/>
              <w:right w:val="single" w:sz="4" w:space="0" w:color="auto"/>
            </w:tcBorders>
            <w:noWrap/>
            <w:vAlign w:val="bottom"/>
            <w:hideMark/>
          </w:tcPr>
          <w:p w14:paraId="207FCB0E" w14:textId="77777777" w:rsidR="00416D67" w:rsidRPr="00416D67" w:rsidRDefault="00416D67" w:rsidP="00416D67">
            <w:pPr>
              <w:rPr>
                <w:rFonts w:ascii="Arial" w:hAnsi="Arial" w:cs="Arial"/>
                <w:sz w:val="14"/>
                <w:szCs w:val="14"/>
              </w:rPr>
            </w:pPr>
            <w:r w:rsidRPr="00416D67">
              <w:rPr>
                <w:rFonts w:ascii="Arial" w:hAnsi="Arial" w:cs="Arial"/>
                <w:sz w:val="14"/>
                <w:szCs w:val="14"/>
              </w:rPr>
              <w:t>Zdravstvene i veterinarske usluge</w:t>
            </w:r>
          </w:p>
        </w:tc>
        <w:tc>
          <w:tcPr>
            <w:tcW w:w="1095" w:type="dxa"/>
            <w:tcBorders>
              <w:top w:val="single" w:sz="4" w:space="0" w:color="auto"/>
              <w:left w:val="nil"/>
              <w:bottom w:val="single" w:sz="4" w:space="0" w:color="auto"/>
              <w:right w:val="single" w:sz="4" w:space="0" w:color="auto"/>
            </w:tcBorders>
            <w:noWrap/>
            <w:vAlign w:val="bottom"/>
            <w:hideMark/>
          </w:tcPr>
          <w:p w14:paraId="619D9DE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6C0254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463C82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10.792,46</w:t>
            </w:r>
          </w:p>
        </w:tc>
        <w:tc>
          <w:tcPr>
            <w:tcW w:w="918" w:type="dxa"/>
            <w:tcBorders>
              <w:top w:val="single" w:sz="4" w:space="0" w:color="auto"/>
              <w:left w:val="nil"/>
              <w:bottom w:val="single" w:sz="4" w:space="0" w:color="auto"/>
              <w:right w:val="single" w:sz="4" w:space="0" w:color="auto"/>
            </w:tcBorders>
            <w:noWrap/>
            <w:vAlign w:val="bottom"/>
            <w:hideMark/>
          </w:tcPr>
          <w:p w14:paraId="4302373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7647C8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0FEC52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A100003</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48DF2F8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Aktivnost: Sakupljanje i odlaganje </w:t>
            </w:r>
            <w:proofErr w:type="spellStart"/>
            <w:r w:rsidRPr="00416D67">
              <w:rPr>
                <w:rFonts w:ascii="Arial" w:hAnsi="Arial" w:cs="Arial"/>
                <w:b/>
                <w:bCs/>
                <w:sz w:val="14"/>
                <w:szCs w:val="14"/>
              </w:rPr>
              <w:t>životinjih</w:t>
            </w:r>
            <w:proofErr w:type="spellEnd"/>
            <w:r w:rsidRPr="00416D67">
              <w:rPr>
                <w:rFonts w:ascii="Arial" w:hAnsi="Arial" w:cs="Arial"/>
                <w:b/>
                <w:bCs/>
                <w:sz w:val="14"/>
                <w:szCs w:val="14"/>
              </w:rPr>
              <w:t xml:space="preserve"> lešina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5303D1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3.150,00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16A587B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3.150,00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754F6F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3.124,92</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41940A8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99,20%</w:t>
            </w:r>
          </w:p>
        </w:tc>
      </w:tr>
      <w:tr w:rsidR="00416D67" w:rsidRPr="00416D67" w14:paraId="2C85CBFF"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509928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B46C57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3.150,00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513500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3.150,00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0F32EC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3.124,92</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C55A41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99,20%</w:t>
            </w:r>
          </w:p>
        </w:tc>
      </w:tr>
      <w:tr w:rsidR="00416D67" w:rsidRPr="00416D67" w14:paraId="65D2390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3EFB900"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E98F3C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3.150,00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CCD6E7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3.150,00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0139C2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3.124,92</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B5A649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99,20%</w:t>
            </w:r>
          </w:p>
        </w:tc>
      </w:tr>
      <w:tr w:rsidR="00416D67" w:rsidRPr="00416D67" w14:paraId="5DD291E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CE23CD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1E44337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3977E4C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3.150,00</w:t>
            </w:r>
          </w:p>
        </w:tc>
        <w:tc>
          <w:tcPr>
            <w:tcW w:w="1070" w:type="dxa"/>
            <w:tcBorders>
              <w:top w:val="single" w:sz="4" w:space="0" w:color="auto"/>
              <w:left w:val="nil"/>
              <w:bottom w:val="single" w:sz="4" w:space="0" w:color="auto"/>
              <w:right w:val="single" w:sz="4" w:space="0" w:color="auto"/>
            </w:tcBorders>
            <w:noWrap/>
            <w:vAlign w:val="bottom"/>
            <w:hideMark/>
          </w:tcPr>
          <w:p w14:paraId="4791749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3.150,00</w:t>
            </w:r>
          </w:p>
        </w:tc>
        <w:tc>
          <w:tcPr>
            <w:tcW w:w="1095" w:type="dxa"/>
            <w:tcBorders>
              <w:top w:val="single" w:sz="4" w:space="0" w:color="auto"/>
              <w:left w:val="nil"/>
              <w:bottom w:val="single" w:sz="4" w:space="0" w:color="auto"/>
              <w:right w:val="single" w:sz="4" w:space="0" w:color="auto"/>
            </w:tcBorders>
            <w:noWrap/>
            <w:vAlign w:val="bottom"/>
            <w:hideMark/>
          </w:tcPr>
          <w:p w14:paraId="3233E40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3.124,92</w:t>
            </w:r>
          </w:p>
        </w:tc>
        <w:tc>
          <w:tcPr>
            <w:tcW w:w="918" w:type="dxa"/>
            <w:tcBorders>
              <w:top w:val="single" w:sz="4" w:space="0" w:color="auto"/>
              <w:left w:val="nil"/>
              <w:bottom w:val="single" w:sz="4" w:space="0" w:color="auto"/>
              <w:right w:val="single" w:sz="4" w:space="0" w:color="auto"/>
            </w:tcBorders>
            <w:noWrap/>
            <w:vAlign w:val="bottom"/>
            <w:hideMark/>
          </w:tcPr>
          <w:p w14:paraId="0BBFF2C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99,20%</w:t>
            </w:r>
          </w:p>
        </w:tc>
      </w:tr>
      <w:tr w:rsidR="00416D67" w:rsidRPr="00416D67" w14:paraId="70D4715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233B57C" w14:textId="77777777" w:rsidR="00416D67" w:rsidRPr="00416D67" w:rsidRDefault="00416D67" w:rsidP="00416D67">
            <w:pPr>
              <w:rPr>
                <w:rFonts w:ascii="Arial" w:hAnsi="Arial" w:cs="Arial"/>
                <w:sz w:val="14"/>
                <w:szCs w:val="14"/>
              </w:rPr>
            </w:pPr>
            <w:r w:rsidRPr="00416D67">
              <w:rPr>
                <w:rFonts w:ascii="Arial" w:hAnsi="Arial" w:cs="Arial"/>
                <w:sz w:val="14"/>
                <w:szCs w:val="14"/>
              </w:rPr>
              <w:t>3232</w:t>
            </w:r>
          </w:p>
        </w:tc>
        <w:tc>
          <w:tcPr>
            <w:tcW w:w="8106" w:type="dxa"/>
            <w:tcBorders>
              <w:top w:val="single" w:sz="4" w:space="0" w:color="auto"/>
              <w:left w:val="nil"/>
              <w:bottom w:val="single" w:sz="4" w:space="0" w:color="auto"/>
              <w:right w:val="single" w:sz="4" w:space="0" w:color="auto"/>
            </w:tcBorders>
            <w:noWrap/>
            <w:vAlign w:val="bottom"/>
            <w:hideMark/>
          </w:tcPr>
          <w:p w14:paraId="44C65833" w14:textId="77777777" w:rsidR="00416D67" w:rsidRPr="00416D67" w:rsidRDefault="00416D67" w:rsidP="00416D67">
            <w:pPr>
              <w:rPr>
                <w:rFonts w:ascii="Arial" w:hAnsi="Arial" w:cs="Arial"/>
                <w:sz w:val="14"/>
                <w:szCs w:val="14"/>
              </w:rPr>
            </w:pPr>
            <w:r w:rsidRPr="00416D67">
              <w:rPr>
                <w:rFonts w:ascii="Arial" w:hAnsi="Arial" w:cs="Arial"/>
                <w:sz w:val="14"/>
                <w:szCs w:val="14"/>
              </w:rPr>
              <w:t>Usluge tekućeg i investicijskog  održavanja</w:t>
            </w:r>
          </w:p>
        </w:tc>
        <w:tc>
          <w:tcPr>
            <w:tcW w:w="1095" w:type="dxa"/>
            <w:tcBorders>
              <w:top w:val="single" w:sz="4" w:space="0" w:color="auto"/>
              <w:left w:val="nil"/>
              <w:bottom w:val="single" w:sz="4" w:space="0" w:color="auto"/>
              <w:right w:val="single" w:sz="4" w:space="0" w:color="auto"/>
            </w:tcBorders>
            <w:noWrap/>
            <w:vAlign w:val="bottom"/>
            <w:hideMark/>
          </w:tcPr>
          <w:p w14:paraId="083263A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025262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C357A0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3.124,92</w:t>
            </w:r>
          </w:p>
        </w:tc>
        <w:tc>
          <w:tcPr>
            <w:tcW w:w="918" w:type="dxa"/>
            <w:tcBorders>
              <w:top w:val="single" w:sz="4" w:space="0" w:color="auto"/>
              <w:left w:val="nil"/>
              <w:bottom w:val="single" w:sz="4" w:space="0" w:color="auto"/>
              <w:right w:val="single" w:sz="4" w:space="0" w:color="auto"/>
            </w:tcBorders>
            <w:noWrap/>
            <w:vAlign w:val="bottom"/>
            <w:hideMark/>
          </w:tcPr>
          <w:p w14:paraId="2A96A8B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E10FF4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10CFB2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A100004</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0A0C24B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Aktivnost: Izrada strategije zelene urbane obnove OM </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EEA667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31.487,70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516A9E9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31.487,70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25367F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30.625,00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54C754E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97,26%</w:t>
            </w:r>
          </w:p>
        </w:tc>
      </w:tr>
      <w:tr w:rsidR="00416D67" w:rsidRPr="00416D67" w14:paraId="1A9111EF"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D1E441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 Pomoći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D265B5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31.487,70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38B6C6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31.487,70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6CB7E8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30.625,00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7C2786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97,26%</w:t>
            </w:r>
          </w:p>
        </w:tc>
      </w:tr>
      <w:tr w:rsidR="00416D67" w:rsidRPr="00416D67" w14:paraId="1518BC5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A69B87E"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5.6.6 Pomoći EU  (program razvoja kružnog </w:t>
            </w:r>
            <w:proofErr w:type="spellStart"/>
            <w:r w:rsidRPr="00416D67">
              <w:rPr>
                <w:rFonts w:ascii="Arial" w:hAnsi="Arial" w:cs="Arial"/>
                <w:b/>
                <w:bCs/>
                <w:color w:val="333333"/>
                <w:sz w:val="14"/>
                <w:szCs w:val="14"/>
              </w:rPr>
              <w:t>gospod</w:t>
            </w:r>
            <w:proofErr w:type="spellEnd"/>
            <w:r w:rsidRPr="00416D67">
              <w:rPr>
                <w:rFonts w:ascii="Arial" w:hAnsi="Arial" w:cs="Arial"/>
                <w:b/>
                <w:bCs/>
                <w:color w:val="333333"/>
                <w:sz w:val="14"/>
                <w:szCs w:val="14"/>
              </w:rPr>
              <w:t xml:space="preserve"> prostorom i </w:t>
            </w:r>
            <w:proofErr w:type="spellStart"/>
            <w:r w:rsidRPr="00416D67">
              <w:rPr>
                <w:rFonts w:ascii="Arial" w:hAnsi="Arial" w:cs="Arial"/>
                <w:b/>
                <w:bCs/>
                <w:color w:val="333333"/>
                <w:sz w:val="14"/>
                <w:szCs w:val="14"/>
              </w:rPr>
              <w:t>zgrad</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4D79C3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31.487,70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E9150D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31.487,70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7D6ED9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30.625,00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B64CCF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97,26%</w:t>
            </w:r>
          </w:p>
        </w:tc>
      </w:tr>
      <w:tr w:rsidR="00416D67" w:rsidRPr="00416D67" w14:paraId="357E567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0FCF7B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33B9141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5E443E5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31.487,70</w:t>
            </w:r>
          </w:p>
        </w:tc>
        <w:tc>
          <w:tcPr>
            <w:tcW w:w="1070" w:type="dxa"/>
            <w:tcBorders>
              <w:top w:val="single" w:sz="4" w:space="0" w:color="auto"/>
              <w:left w:val="nil"/>
              <w:bottom w:val="single" w:sz="4" w:space="0" w:color="auto"/>
              <w:right w:val="single" w:sz="4" w:space="0" w:color="auto"/>
            </w:tcBorders>
            <w:noWrap/>
            <w:vAlign w:val="bottom"/>
            <w:hideMark/>
          </w:tcPr>
          <w:p w14:paraId="7B19AD0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31.487,70</w:t>
            </w:r>
          </w:p>
        </w:tc>
        <w:tc>
          <w:tcPr>
            <w:tcW w:w="1095" w:type="dxa"/>
            <w:tcBorders>
              <w:top w:val="single" w:sz="4" w:space="0" w:color="auto"/>
              <w:left w:val="nil"/>
              <w:bottom w:val="single" w:sz="4" w:space="0" w:color="auto"/>
              <w:right w:val="single" w:sz="4" w:space="0" w:color="auto"/>
            </w:tcBorders>
            <w:noWrap/>
            <w:vAlign w:val="bottom"/>
            <w:hideMark/>
          </w:tcPr>
          <w:p w14:paraId="2310FD8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30.625,00</w:t>
            </w:r>
          </w:p>
        </w:tc>
        <w:tc>
          <w:tcPr>
            <w:tcW w:w="918" w:type="dxa"/>
            <w:tcBorders>
              <w:top w:val="single" w:sz="4" w:space="0" w:color="auto"/>
              <w:left w:val="nil"/>
              <w:bottom w:val="single" w:sz="4" w:space="0" w:color="auto"/>
              <w:right w:val="single" w:sz="4" w:space="0" w:color="auto"/>
            </w:tcBorders>
            <w:noWrap/>
            <w:vAlign w:val="bottom"/>
            <w:hideMark/>
          </w:tcPr>
          <w:p w14:paraId="5DDAFF3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97,26%</w:t>
            </w:r>
          </w:p>
        </w:tc>
      </w:tr>
      <w:tr w:rsidR="00416D67" w:rsidRPr="00416D67" w14:paraId="131547E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AC72F5A" w14:textId="77777777" w:rsidR="00416D67" w:rsidRPr="00416D67" w:rsidRDefault="00416D67" w:rsidP="00416D67">
            <w:pPr>
              <w:rPr>
                <w:rFonts w:ascii="Arial" w:hAnsi="Arial" w:cs="Arial"/>
                <w:sz w:val="14"/>
                <w:szCs w:val="14"/>
              </w:rPr>
            </w:pPr>
            <w:r w:rsidRPr="00416D67">
              <w:rPr>
                <w:rFonts w:ascii="Arial" w:hAnsi="Arial" w:cs="Arial"/>
                <w:sz w:val="14"/>
                <w:szCs w:val="14"/>
              </w:rPr>
              <w:t>3237</w:t>
            </w:r>
          </w:p>
        </w:tc>
        <w:tc>
          <w:tcPr>
            <w:tcW w:w="8106" w:type="dxa"/>
            <w:tcBorders>
              <w:top w:val="single" w:sz="4" w:space="0" w:color="auto"/>
              <w:left w:val="nil"/>
              <w:bottom w:val="single" w:sz="4" w:space="0" w:color="auto"/>
              <w:right w:val="single" w:sz="4" w:space="0" w:color="auto"/>
            </w:tcBorders>
            <w:noWrap/>
            <w:vAlign w:val="bottom"/>
            <w:hideMark/>
          </w:tcPr>
          <w:p w14:paraId="567064AA" w14:textId="77777777" w:rsidR="00416D67" w:rsidRPr="00416D67" w:rsidRDefault="00416D67" w:rsidP="00416D67">
            <w:pPr>
              <w:rPr>
                <w:rFonts w:ascii="Arial" w:hAnsi="Arial" w:cs="Arial"/>
                <w:sz w:val="14"/>
                <w:szCs w:val="14"/>
              </w:rPr>
            </w:pPr>
            <w:r w:rsidRPr="00416D67">
              <w:rPr>
                <w:rFonts w:ascii="Arial" w:hAnsi="Arial" w:cs="Arial"/>
                <w:sz w:val="14"/>
                <w:szCs w:val="14"/>
              </w:rPr>
              <w:t>Intelektualne i osobne usluge</w:t>
            </w:r>
          </w:p>
        </w:tc>
        <w:tc>
          <w:tcPr>
            <w:tcW w:w="1095" w:type="dxa"/>
            <w:tcBorders>
              <w:top w:val="single" w:sz="4" w:space="0" w:color="auto"/>
              <w:left w:val="nil"/>
              <w:bottom w:val="single" w:sz="4" w:space="0" w:color="auto"/>
              <w:right w:val="single" w:sz="4" w:space="0" w:color="auto"/>
            </w:tcBorders>
            <w:noWrap/>
            <w:vAlign w:val="bottom"/>
            <w:hideMark/>
          </w:tcPr>
          <w:p w14:paraId="30D2A6D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C57AB8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A5CF61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30.625,00</w:t>
            </w:r>
          </w:p>
        </w:tc>
        <w:tc>
          <w:tcPr>
            <w:tcW w:w="918" w:type="dxa"/>
            <w:tcBorders>
              <w:top w:val="single" w:sz="4" w:space="0" w:color="auto"/>
              <w:left w:val="nil"/>
              <w:bottom w:val="single" w:sz="4" w:space="0" w:color="auto"/>
              <w:right w:val="single" w:sz="4" w:space="0" w:color="auto"/>
            </w:tcBorders>
            <w:noWrap/>
            <w:vAlign w:val="bottom"/>
            <w:hideMark/>
          </w:tcPr>
          <w:p w14:paraId="0B59E79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39E2A4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274DC9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A100014</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483F34A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Aktivnost: Poticajna naknada za smanjenje količine </w:t>
            </w:r>
            <w:proofErr w:type="spellStart"/>
            <w:r w:rsidRPr="00416D67">
              <w:rPr>
                <w:rFonts w:ascii="Arial" w:hAnsi="Arial" w:cs="Arial"/>
                <w:b/>
                <w:bCs/>
                <w:sz w:val="14"/>
                <w:szCs w:val="14"/>
              </w:rPr>
              <w:t>mješanog</w:t>
            </w:r>
            <w:proofErr w:type="spellEnd"/>
            <w:r w:rsidRPr="00416D67">
              <w:rPr>
                <w:rFonts w:ascii="Arial" w:hAnsi="Arial" w:cs="Arial"/>
                <w:b/>
                <w:bCs/>
                <w:sz w:val="14"/>
                <w:szCs w:val="14"/>
              </w:rPr>
              <w:t xml:space="preserve"> komunalnog otpada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BD362B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9.500,00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377F49A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9.500,00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93A05A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7.097,06</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31F6C98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74,71%</w:t>
            </w:r>
          </w:p>
        </w:tc>
      </w:tr>
      <w:tr w:rsidR="00416D67" w:rsidRPr="00416D67" w14:paraId="3075912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5C9487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5ED4F6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C0AE96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9A99C0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7.097,06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AD31FB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74,71%</w:t>
            </w:r>
          </w:p>
        </w:tc>
      </w:tr>
      <w:tr w:rsidR="00416D67" w:rsidRPr="00416D67" w14:paraId="1EC7F11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94DF91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F5A514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6ED142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02A92E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7.097,06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C51877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74,71%</w:t>
            </w:r>
          </w:p>
        </w:tc>
      </w:tr>
      <w:tr w:rsidR="00416D67" w:rsidRPr="00416D67" w14:paraId="3D223AE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7791D6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7C68EF2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60AB67A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9.500,00</w:t>
            </w:r>
          </w:p>
        </w:tc>
        <w:tc>
          <w:tcPr>
            <w:tcW w:w="1070" w:type="dxa"/>
            <w:tcBorders>
              <w:top w:val="single" w:sz="4" w:space="0" w:color="auto"/>
              <w:left w:val="nil"/>
              <w:bottom w:val="single" w:sz="4" w:space="0" w:color="auto"/>
              <w:right w:val="single" w:sz="4" w:space="0" w:color="auto"/>
            </w:tcBorders>
            <w:noWrap/>
            <w:vAlign w:val="bottom"/>
            <w:hideMark/>
          </w:tcPr>
          <w:p w14:paraId="2AB3A22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9.500,00</w:t>
            </w:r>
          </w:p>
        </w:tc>
        <w:tc>
          <w:tcPr>
            <w:tcW w:w="1095" w:type="dxa"/>
            <w:tcBorders>
              <w:top w:val="single" w:sz="4" w:space="0" w:color="auto"/>
              <w:left w:val="nil"/>
              <w:bottom w:val="single" w:sz="4" w:space="0" w:color="auto"/>
              <w:right w:val="single" w:sz="4" w:space="0" w:color="auto"/>
            </w:tcBorders>
            <w:noWrap/>
            <w:vAlign w:val="bottom"/>
            <w:hideMark/>
          </w:tcPr>
          <w:p w14:paraId="4861302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7.097,06</w:t>
            </w:r>
          </w:p>
        </w:tc>
        <w:tc>
          <w:tcPr>
            <w:tcW w:w="918" w:type="dxa"/>
            <w:tcBorders>
              <w:top w:val="single" w:sz="4" w:space="0" w:color="auto"/>
              <w:left w:val="nil"/>
              <w:bottom w:val="single" w:sz="4" w:space="0" w:color="auto"/>
              <w:right w:val="single" w:sz="4" w:space="0" w:color="auto"/>
            </w:tcBorders>
            <w:noWrap/>
            <w:vAlign w:val="bottom"/>
            <w:hideMark/>
          </w:tcPr>
          <w:p w14:paraId="5381FF0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74,71%</w:t>
            </w:r>
          </w:p>
        </w:tc>
      </w:tr>
      <w:tr w:rsidR="00416D67" w:rsidRPr="00416D67" w14:paraId="3971377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539F3E6" w14:textId="77777777" w:rsidR="00416D67" w:rsidRPr="00416D67" w:rsidRDefault="00416D67" w:rsidP="00416D67">
            <w:pPr>
              <w:rPr>
                <w:rFonts w:ascii="Arial" w:hAnsi="Arial" w:cs="Arial"/>
                <w:sz w:val="14"/>
                <w:szCs w:val="14"/>
              </w:rPr>
            </w:pPr>
            <w:r w:rsidRPr="00416D67">
              <w:rPr>
                <w:rFonts w:ascii="Arial" w:hAnsi="Arial" w:cs="Arial"/>
                <w:sz w:val="14"/>
                <w:szCs w:val="14"/>
              </w:rPr>
              <w:t>3295</w:t>
            </w:r>
          </w:p>
        </w:tc>
        <w:tc>
          <w:tcPr>
            <w:tcW w:w="8106" w:type="dxa"/>
            <w:tcBorders>
              <w:top w:val="single" w:sz="4" w:space="0" w:color="auto"/>
              <w:left w:val="nil"/>
              <w:bottom w:val="single" w:sz="4" w:space="0" w:color="auto"/>
              <w:right w:val="single" w:sz="4" w:space="0" w:color="auto"/>
            </w:tcBorders>
            <w:noWrap/>
            <w:vAlign w:val="bottom"/>
            <w:hideMark/>
          </w:tcPr>
          <w:p w14:paraId="7B4EABCC" w14:textId="77777777" w:rsidR="00416D67" w:rsidRPr="00416D67" w:rsidRDefault="00416D67" w:rsidP="00416D67">
            <w:pPr>
              <w:rPr>
                <w:rFonts w:ascii="Arial" w:hAnsi="Arial" w:cs="Arial"/>
                <w:sz w:val="14"/>
                <w:szCs w:val="14"/>
              </w:rPr>
            </w:pPr>
            <w:r w:rsidRPr="00416D67">
              <w:rPr>
                <w:rFonts w:ascii="Arial" w:hAnsi="Arial" w:cs="Arial"/>
                <w:sz w:val="14"/>
                <w:szCs w:val="14"/>
              </w:rPr>
              <w:t>Pristojbe i naknade</w:t>
            </w:r>
          </w:p>
        </w:tc>
        <w:tc>
          <w:tcPr>
            <w:tcW w:w="1095" w:type="dxa"/>
            <w:tcBorders>
              <w:top w:val="single" w:sz="4" w:space="0" w:color="auto"/>
              <w:left w:val="nil"/>
              <w:bottom w:val="single" w:sz="4" w:space="0" w:color="auto"/>
              <w:right w:val="single" w:sz="4" w:space="0" w:color="auto"/>
            </w:tcBorders>
            <w:noWrap/>
            <w:vAlign w:val="bottom"/>
            <w:hideMark/>
          </w:tcPr>
          <w:p w14:paraId="1421AAD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AA4E6E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33C21F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7.097,06</w:t>
            </w:r>
          </w:p>
        </w:tc>
        <w:tc>
          <w:tcPr>
            <w:tcW w:w="918" w:type="dxa"/>
            <w:tcBorders>
              <w:top w:val="single" w:sz="4" w:space="0" w:color="auto"/>
              <w:left w:val="nil"/>
              <w:bottom w:val="single" w:sz="4" w:space="0" w:color="auto"/>
              <w:right w:val="single" w:sz="4" w:space="0" w:color="auto"/>
            </w:tcBorders>
            <w:noWrap/>
            <w:vAlign w:val="bottom"/>
            <w:hideMark/>
          </w:tcPr>
          <w:p w14:paraId="44EFAA9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BD4CB9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76A397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A600005</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512C0EA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Provođenje aktivnosti programa zaštite divljači</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23C11B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5.505,00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7581420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5.505,00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ACF9DA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5.505,00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09DFDAA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4252747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D92D77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560BCE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5.505,00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B3AFCF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5.505,00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107B24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5.505,00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F4E1A4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281ACB3C"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04A402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B8B48D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5.505,00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9756C7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5.505,00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8CFED4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5.505,00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BCE658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70B23AB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6F37DB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662987F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62516C4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5.505,00</w:t>
            </w:r>
          </w:p>
        </w:tc>
        <w:tc>
          <w:tcPr>
            <w:tcW w:w="1070" w:type="dxa"/>
            <w:tcBorders>
              <w:top w:val="single" w:sz="4" w:space="0" w:color="auto"/>
              <w:left w:val="nil"/>
              <w:bottom w:val="single" w:sz="4" w:space="0" w:color="auto"/>
              <w:right w:val="single" w:sz="4" w:space="0" w:color="auto"/>
            </w:tcBorders>
            <w:noWrap/>
            <w:vAlign w:val="bottom"/>
            <w:hideMark/>
          </w:tcPr>
          <w:p w14:paraId="68B3314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5.505,00</w:t>
            </w:r>
          </w:p>
        </w:tc>
        <w:tc>
          <w:tcPr>
            <w:tcW w:w="1095" w:type="dxa"/>
            <w:tcBorders>
              <w:top w:val="single" w:sz="4" w:space="0" w:color="auto"/>
              <w:left w:val="nil"/>
              <w:bottom w:val="single" w:sz="4" w:space="0" w:color="auto"/>
              <w:right w:val="single" w:sz="4" w:space="0" w:color="auto"/>
            </w:tcBorders>
            <w:noWrap/>
            <w:vAlign w:val="bottom"/>
            <w:hideMark/>
          </w:tcPr>
          <w:p w14:paraId="3D75B8E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5.505,00</w:t>
            </w:r>
          </w:p>
        </w:tc>
        <w:tc>
          <w:tcPr>
            <w:tcW w:w="918" w:type="dxa"/>
            <w:tcBorders>
              <w:top w:val="single" w:sz="4" w:space="0" w:color="auto"/>
              <w:left w:val="nil"/>
              <w:bottom w:val="single" w:sz="4" w:space="0" w:color="auto"/>
              <w:right w:val="single" w:sz="4" w:space="0" w:color="auto"/>
            </w:tcBorders>
            <w:noWrap/>
            <w:vAlign w:val="bottom"/>
            <w:hideMark/>
          </w:tcPr>
          <w:p w14:paraId="6843160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5A4452A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083E663" w14:textId="77777777" w:rsidR="00416D67" w:rsidRPr="00416D67" w:rsidRDefault="00416D67" w:rsidP="00416D67">
            <w:pPr>
              <w:rPr>
                <w:rFonts w:ascii="Arial" w:hAnsi="Arial" w:cs="Arial"/>
                <w:sz w:val="14"/>
                <w:szCs w:val="14"/>
              </w:rPr>
            </w:pPr>
            <w:r w:rsidRPr="00416D67">
              <w:rPr>
                <w:rFonts w:ascii="Arial" w:hAnsi="Arial" w:cs="Arial"/>
                <w:sz w:val="14"/>
                <w:szCs w:val="14"/>
              </w:rPr>
              <w:t>3237</w:t>
            </w:r>
          </w:p>
        </w:tc>
        <w:tc>
          <w:tcPr>
            <w:tcW w:w="8106" w:type="dxa"/>
            <w:tcBorders>
              <w:top w:val="single" w:sz="4" w:space="0" w:color="auto"/>
              <w:left w:val="nil"/>
              <w:bottom w:val="single" w:sz="4" w:space="0" w:color="auto"/>
              <w:right w:val="single" w:sz="4" w:space="0" w:color="auto"/>
            </w:tcBorders>
            <w:noWrap/>
            <w:vAlign w:val="bottom"/>
            <w:hideMark/>
          </w:tcPr>
          <w:p w14:paraId="5F2A1E55" w14:textId="77777777" w:rsidR="00416D67" w:rsidRPr="00416D67" w:rsidRDefault="00416D67" w:rsidP="00416D67">
            <w:pPr>
              <w:rPr>
                <w:rFonts w:ascii="Arial" w:hAnsi="Arial" w:cs="Arial"/>
                <w:sz w:val="14"/>
                <w:szCs w:val="14"/>
              </w:rPr>
            </w:pPr>
            <w:r w:rsidRPr="00416D67">
              <w:rPr>
                <w:rFonts w:ascii="Arial" w:hAnsi="Arial" w:cs="Arial"/>
                <w:sz w:val="14"/>
                <w:szCs w:val="14"/>
              </w:rPr>
              <w:t>Intelektualne i osobne usluge</w:t>
            </w:r>
          </w:p>
        </w:tc>
        <w:tc>
          <w:tcPr>
            <w:tcW w:w="1095" w:type="dxa"/>
            <w:tcBorders>
              <w:top w:val="single" w:sz="4" w:space="0" w:color="auto"/>
              <w:left w:val="nil"/>
              <w:bottom w:val="single" w:sz="4" w:space="0" w:color="auto"/>
              <w:right w:val="single" w:sz="4" w:space="0" w:color="auto"/>
            </w:tcBorders>
            <w:noWrap/>
            <w:vAlign w:val="bottom"/>
            <w:hideMark/>
          </w:tcPr>
          <w:p w14:paraId="6DDA8FD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4CC7B0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39797D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1.000,00</w:t>
            </w:r>
          </w:p>
        </w:tc>
        <w:tc>
          <w:tcPr>
            <w:tcW w:w="918" w:type="dxa"/>
            <w:tcBorders>
              <w:top w:val="single" w:sz="4" w:space="0" w:color="auto"/>
              <w:left w:val="nil"/>
              <w:bottom w:val="single" w:sz="4" w:space="0" w:color="auto"/>
              <w:right w:val="single" w:sz="4" w:space="0" w:color="auto"/>
            </w:tcBorders>
            <w:noWrap/>
            <w:vAlign w:val="bottom"/>
            <w:hideMark/>
          </w:tcPr>
          <w:p w14:paraId="49A857F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5ED728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A24F23F" w14:textId="77777777" w:rsidR="00416D67" w:rsidRPr="00416D67" w:rsidRDefault="00416D67" w:rsidP="00416D67">
            <w:pPr>
              <w:rPr>
                <w:rFonts w:ascii="Arial" w:hAnsi="Arial" w:cs="Arial"/>
                <w:sz w:val="14"/>
                <w:szCs w:val="14"/>
              </w:rPr>
            </w:pPr>
            <w:r w:rsidRPr="00416D67">
              <w:rPr>
                <w:rFonts w:ascii="Arial" w:hAnsi="Arial" w:cs="Arial"/>
                <w:sz w:val="14"/>
                <w:szCs w:val="14"/>
              </w:rPr>
              <w:t>3239</w:t>
            </w:r>
          </w:p>
        </w:tc>
        <w:tc>
          <w:tcPr>
            <w:tcW w:w="8106" w:type="dxa"/>
            <w:tcBorders>
              <w:top w:val="single" w:sz="4" w:space="0" w:color="auto"/>
              <w:left w:val="nil"/>
              <w:bottom w:val="single" w:sz="4" w:space="0" w:color="auto"/>
              <w:right w:val="single" w:sz="4" w:space="0" w:color="auto"/>
            </w:tcBorders>
            <w:noWrap/>
            <w:vAlign w:val="bottom"/>
            <w:hideMark/>
          </w:tcPr>
          <w:p w14:paraId="466E193A" w14:textId="77777777" w:rsidR="00416D67" w:rsidRPr="00416D67" w:rsidRDefault="00416D67" w:rsidP="00416D67">
            <w:pPr>
              <w:rPr>
                <w:rFonts w:ascii="Arial" w:hAnsi="Arial" w:cs="Arial"/>
                <w:sz w:val="14"/>
                <w:szCs w:val="14"/>
              </w:rPr>
            </w:pPr>
            <w:r w:rsidRPr="00416D67">
              <w:rPr>
                <w:rFonts w:ascii="Arial" w:hAnsi="Arial" w:cs="Arial"/>
                <w:sz w:val="14"/>
                <w:szCs w:val="14"/>
              </w:rPr>
              <w:t>Ostale usluge</w:t>
            </w:r>
          </w:p>
        </w:tc>
        <w:tc>
          <w:tcPr>
            <w:tcW w:w="1095" w:type="dxa"/>
            <w:tcBorders>
              <w:top w:val="single" w:sz="4" w:space="0" w:color="auto"/>
              <w:left w:val="nil"/>
              <w:bottom w:val="single" w:sz="4" w:space="0" w:color="auto"/>
              <w:right w:val="single" w:sz="4" w:space="0" w:color="auto"/>
            </w:tcBorders>
            <w:noWrap/>
            <w:vAlign w:val="bottom"/>
            <w:hideMark/>
          </w:tcPr>
          <w:p w14:paraId="08CAA4B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11D770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26C98D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4.505,00</w:t>
            </w:r>
          </w:p>
        </w:tc>
        <w:tc>
          <w:tcPr>
            <w:tcW w:w="918" w:type="dxa"/>
            <w:tcBorders>
              <w:top w:val="single" w:sz="4" w:space="0" w:color="auto"/>
              <w:left w:val="nil"/>
              <w:bottom w:val="single" w:sz="4" w:space="0" w:color="auto"/>
              <w:right w:val="single" w:sz="4" w:space="0" w:color="auto"/>
            </w:tcBorders>
            <w:noWrap/>
            <w:vAlign w:val="bottom"/>
            <w:hideMark/>
          </w:tcPr>
          <w:p w14:paraId="5B2F702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209FF6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14FD5B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K100003</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2EC6FFE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Kapitalni projekt: Nabava opreme za </w:t>
            </w:r>
            <w:proofErr w:type="spellStart"/>
            <w:r w:rsidRPr="00416D67">
              <w:rPr>
                <w:rFonts w:ascii="Arial" w:hAnsi="Arial" w:cs="Arial"/>
                <w:b/>
                <w:bCs/>
                <w:sz w:val="14"/>
                <w:szCs w:val="14"/>
              </w:rPr>
              <w:t>reciklažno</w:t>
            </w:r>
            <w:proofErr w:type="spellEnd"/>
            <w:r w:rsidRPr="00416D67">
              <w:rPr>
                <w:rFonts w:ascii="Arial" w:hAnsi="Arial" w:cs="Arial"/>
                <w:b/>
                <w:bCs/>
                <w:sz w:val="14"/>
                <w:szCs w:val="14"/>
              </w:rPr>
              <w:t xml:space="preserve"> dvorište (rolo kontejner, </w:t>
            </w:r>
            <w:proofErr w:type="spellStart"/>
            <w:r w:rsidRPr="00416D67">
              <w:rPr>
                <w:rFonts w:ascii="Arial" w:hAnsi="Arial" w:cs="Arial"/>
                <w:b/>
                <w:bCs/>
                <w:sz w:val="14"/>
                <w:szCs w:val="14"/>
              </w:rPr>
              <w:t>preskontejner</w:t>
            </w:r>
            <w:proofErr w:type="spellEnd"/>
            <w:r w:rsidRPr="00416D67">
              <w:rPr>
                <w:rFonts w:ascii="Arial" w:hAnsi="Arial" w:cs="Arial"/>
                <w:b/>
                <w:bCs/>
                <w:sz w:val="14"/>
                <w:szCs w:val="14"/>
              </w:rPr>
              <w:t xml:space="preserve"> )</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3536D9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13.500,00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52A0610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13.500,00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DB6DFD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1BB74CC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5B44AD5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9815B1"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9850A2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FE2843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FF7A90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B1BF9A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1103F78C"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4BBD01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42B774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28C703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0B973A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597863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0FD07C3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03C5EF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07152BC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523CAA7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13.500,00</w:t>
            </w:r>
          </w:p>
        </w:tc>
        <w:tc>
          <w:tcPr>
            <w:tcW w:w="1070" w:type="dxa"/>
            <w:tcBorders>
              <w:top w:val="single" w:sz="4" w:space="0" w:color="auto"/>
              <w:left w:val="nil"/>
              <w:bottom w:val="single" w:sz="4" w:space="0" w:color="auto"/>
              <w:right w:val="single" w:sz="4" w:space="0" w:color="auto"/>
            </w:tcBorders>
            <w:noWrap/>
            <w:vAlign w:val="bottom"/>
            <w:hideMark/>
          </w:tcPr>
          <w:p w14:paraId="7C653E4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13.500,00</w:t>
            </w:r>
          </w:p>
        </w:tc>
        <w:tc>
          <w:tcPr>
            <w:tcW w:w="1095" w:type="dxa"/>
            <w:tcBorders>
              <w:top w:val="single" w:sz="4" w:space="0" w:color="auto"/>
              <w:left w:val="nil"/>
              <w:bottom w:val="single" w:sz="4" w:space="0" w:color="auto"/>
              <w:right w:val="single" w:sz="4" w:space="0" w:color="auto"/>
            </w:tcBorders>
            <w:noWrap/>
            <w:vAlign w:val="bottom"/>
            <w:hideMark/>
          </w:tcPr>
          <w:p w14:paraId="5313CEF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39F8909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3C97F2D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C398DF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K500001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5708039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Kapitalni projekt: Kapitalna pomoć za izgradnju županijskog centra za gospodarenje otpadom</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97F716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7.965,00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592F692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7.965,00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AE2792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7.564,36</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2D4EA18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94,97%</w:t>
            </w:r>
          </w:p>
        </w:tc>
      </w:tr>
      <w:tr w:rsidR="00416D67" w:rsidRPr="00416D67" w14:paraId="1F04E2E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C4BF56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9132FD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7.965,00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01F0B6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7.965,00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204F5D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7.564,36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357EBF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94,97%</w:t>
            </w:r>
          </w:p>
        </w:tc>
      </w:tr>
      <w:tr w:rsidR="00416D67" w:rsidRPr="00416D67" w14:paraId="4C3FE96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981DF9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66C2AC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7.965,00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EB1FC9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7.965,00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D34271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7.564,36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4CB747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94,97%</w:t>
            </w:r>
          </w:p>
        </w:tc>
      </w:tr>
      <w:tr w:rsidR="00416D67" w:rsidRPr="00416D67" w14:paraId="188E56F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AE9C4A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36</w:t>
            </w:r>
          </w:p>
        </w:tc>
        <w:tc>
          <w:tcPr>
            <w:tcW w:w="8106" w:type="dxa"/>
            <w:tcBorders>
              <w:top w:val="single" w:sz="4" w:space="0" w:color="auto"/>
              <w:left w:val="nil"/>
              <w:bottom w:val="single" w:sz="4" w:space="0" w:color="auto"/>
              <w:right w:val="single" w:sz="4" w:space="0" w:color="auto"/>
            </w:tcBorders>
            <w:noWrap/>
            <w:vAlign w:val="bottom"/>
            <w:hideMark/>
          </w:tcPr>
          <w:p w14:paraId="052AD36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Pomoći dane u inozemstvo i unutar općeg proračuna</w:t>
            </w:r>
          </w:p>
        </w:tc>
        <w:tc>
          <w:tcPr>
            <w:tcW w:w="1095" w:type="dxa"/>
            <w:tcBorders>
              <w:top w:val="single" w:sz="4" w:space="0" w:color="auto"/>
              <w:left w:val="nil"/>
              <w:bottom w:val="single" w:sz="4" w:space="0" w:color="auto"/>
              <w:right w:val="single" w:sz="4" w:space="0" w:color="auto"/>
            </w:tcBorders>
            <w:noWrap/>
            <w:vAlign w:val="bottom"/>
            <w:hideMark/>
          </w:tcPr>
          <w:p w14:paraId="56FDC76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7.965,00</w:t>
            </w:r>
          </w:p>
        </w:tc>
        <w:tc>
          <w:tcPr>
            <w:tcW w:w="1070" w:type="dxa"/>
            <w:tcBorders>
              <w:top w:val="single" w:sz="4" w:space="0" w:color="auto"/>
              <w:left w:val="nil"/>
              <w:bottom w:val="single" w:sz="4" w:space="0" w:color="auto"/>
              <w:right w:val="single" w:sz="4" w:space="0" w:color="auto"/>
            </w:tcBorders>
            <w:noWrap/>
            <w:vAlign w:val="bottom"/>
            <w:hideMark/>
          </w:tcPr>
          <w:p w14:paraId="60D6925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7.965,00</w:t>
            </w:r>
          </w:p>
        </w:tc>
        <w:tc>
          <w:tcPr>
            <w:tcW w:w="1095" w:type="dxa"/>
            <w:tcBorders>
              <w:top w:val="single" w:sz="4" w:space="0" w:color="auto"/>
              <w:left w:val="nil"/>
              <w:bottom w:val="single" w:sz="4" w:space="0" w:color="auto"/>
              <w:right w:val="single" w:sz="4" w:space="0" w:color="auto"/>
            </w:tcBorders>
            <w:noWrap/>
            <w:vAlign w:val="bottom"/>
            <w:hideMark/>
          </w:tcPr>
          <w:p w14:paraId="22B976C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7.564,36</w:t>
            </w:r>
          </w:p>
        </w:tc>
        <w:tc>
          <w:tcPr>
            <w:tcW w:w="918" w:type="dxa"/>
            <w:tcBorders>
              <w:top w:val="single" w:sz="4" w:space="0" w:color="auto"/>
              <w:left w:val="nil"/>
              <w:bottom w:val="single" w:sz="4" w:space="0" w:color="auto"/>
              <w:right w:val="single" w:sz="4" w:space="0" w:color="auto"/>
            </w:tcBorders>
            <w:noWrap/>
            <w:vAlign w:val="bottom"/>
            <w:hideMark/>
          </w:tcPr>
          <w:p w14:paraId="400EF30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94,97%</w:t>
            </w:r>
          </w:p>
        </w:tc>
      </w:tr>
      <w:tr w:rsidR="00416D67" w:rsidRPr="00416D67" w14:paraId="5EE358F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7AB3280" w14:textId="77777777" w:rsidR="00416D67" w:rsidRPr="00416D67" w:rsidRDefault="00416D67" w:rsidP="00416D67">
            <w:pPr>
              <w:rPr>
                <w:rFonts w:ascii="Arial" w:hAnsi="Arial" w:cs="Arial"/>
                <w:sz w:val="14"/>
                <w:szCs w:val="14"/>
              </w:rPr>
            </w:pPr>
            <w:r w:rsidRPr="00416D67">
              <w:rPr>
                <w:rFonts w:ascii="Arial" w:hAnsi="Arial" w:cs="Arial"/>
                <w:sz w:val="14"/>
                <w:szCs w:val="14"/>
              </w:rPr>
              <w:t>3632</w:t>
            </w:r>
          </w:p>
        </w:tc>
        <w:tc>
          <w:tcPr>
            <w:tcW w:w="8106" w:type="dxa"/>
            <w:tcBorders>
              <w:top w:val="single" w:sz="4" w:space="0" w:color="auto"/>
              <w:left w:val="nil"/>
              <w:bottom w:val="single" w:sz="4" w:space="0" w:color="auto"/>
              <w:right w:val="single" w:sz="4" w:space="0" w:color="auto"/>
            </w:tcBorders>
            <w:noWrap/>
            <w:vAlign w:val="bottom"/>
            <w:hideMark/>
          </w:tcPr>
          <w:p w14:paraId="6DBD1A22" w14:textId="77777777" w:rsidR="00416D67" w:rsidRPr="00416D67" w:rsidRDefault="00416D67" w:rsidP="00416D67">
            <w:pPr>
              <w:rPr>
                <w:rFonts w:ascii="Arial" w:hAnsi="Arial" w:cs="Arial"/>
                <w:sz w:val="14"/>
                <w:szCs w:val="14"/>
              </w:rPr>
            </w:pPr>
            <w:r w:rsidRPr="00416D67">
              <w:rPr>
                <w:rFonts w:ascii="Arial" w:hAnsi="Arial" w:cs="Arial"/>
                <w:sz w:val="14"/>
                <w:szCs w:val="14"/>
              </w:rPr>
              <w:t>Kapitalne pomoći drugom proračunu i izvanproračunskim korisnicima</w:t>
            </w:r>
          </w:p>
        </w:tc>
        <w:tc>
          <w:tcPr>
            <w:tcW w:w="1095" w:type="dxa"/>
            <w:tcBorders>
              <w:top w:val="single" w:sz="4" w:space="0" w:color="auto"/>
              <w:left w:val="nil"/>
              <w:bottom w:val="single" w:sz="4" w:space="0" w:color="auto"/>
              <w:right w:val="single" w:sz="4" w:space="0" w:color="auto"/>
            </w:tcBorders>
            <w:noWrap/>
            <w:vAlign w:val="bottom"/>
            <w:hideMark/>
          </w:tcPr>
          <w:p w14:paraId="0AA08F0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C9CB39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2A1DDA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7.564,36</w:t>
            </w:r>
          </w:p>
        </w:tc>
        <w:tc>
          <w:tcPr>
            <w:tcW w:w="918" w:type="dxa"/>
            <w:tcBorders>
              <w:top w:val="single" w:sz="4" w:space="0" w:color="auto"/>
              <w:left w:val="nil"/>
              <w:bottom w:val="single" w:sz="4" w:space="0" w:color="auto"/>
              <w:right w:val="single" w:sz="4" w:space="0" w:color="auto"/>
            </w:tcBorders>
            <w:noWrap/>
            <w:vAlign w:val="bottom"/>
            <w:hideMark/>
          </w:tcPr>
          <w:p w14:paraId="06C2166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3783C1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2D9083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K600001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6B1D3C4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Kapitalni projekt: Kapitalna donacija Lovačko društvo Marčana izrada  projektne dokumentacije za lovački dom</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B9EA49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9.500,00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701D409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9.500,00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D43FE3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247BFBD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4000263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A737C4"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813577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90FFE7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5A32EC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04707B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10F30F1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C6D5E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70A24C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B313F1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B4EC8B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87739D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36602A8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797273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5CC77F5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6C6CB55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9.500,00</w:t>
            </w:r>
          </w:p>
        </w:tc>
        <w:tc>
          <w:tcPr>
            <w:tcW w:w="1070" w:type="dxa"/>
            <w:tcBorders>
              <w:top w:val="single" w:sz="4" w:space="0" w:color="auto"/>
              <w:left w:val="nil"/>
              <w:bottom w:val="single" w:sz="4" w:space="0" w:color="auto"/>
              <w:right w:val="single" w:sz="4" w:space="0" w:color="auto"/>
            </w:tcBorders>
            <w:noWrap/>
            <w:vAlign w:val="bottom"/>
            <w:hideMark/>
          </w:tcPr>
          <w:p w14:paraId="2176E10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9.500,00</w:t>
            </w:r>
          </w:p>
        </w:tc>
        <w:tc>
          <w:tcPr>
            <w:tcW w:w="1095" w:type="dxa"/>
            <w:tcBorders>
              <w:top w:val="single" w:sz="4" w:space="0" w:color="auto"/>
              <w:left w:val="nil"/>
              <w:bottom w:val="single" w:sz="4" w:space="0" w:color="auto"/>
              <w:right w:val="single" w:sz="4" w:space="0" w:color="auto"/>
            </w:tcBorders>
            <w:noWrap/>
            <w:vAlign w:val="bottom"/>
            <w:hideMark/>
          </w:tcPr>
          <w:p w14:paraId="68A338A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58C2706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591BE68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224BDBC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4010</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533B224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Program: Održavanje komunalne infrastrukture</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1E9E03F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485.435,00</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2F0AC0D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488.835,00</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4A95EFF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459.005,67</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7522F4F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93,90%</w:t>
            </w:r>
          </w:p>
        </w:tc>
      </w:tr>
      <w:tr w:rsidR="00416D67" w:rsidRPr="00416D67" w14:paraId="70BEAAA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E683B7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1FBD027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Održavanje nerazvrstanih cesta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11473B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204.125,00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78A7D6D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204.125,00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9EA127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201.399,17</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03D3D5D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98,66%</w:t>
            </w:r>
          </w:p>
        </w:tc>
      </w:tr>
      <w:tr w:rsidR="00416D67" w:rsidRPr="00416D67" w14:paraId="2E9A5C8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DA5F94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358D13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92.025,00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15EFC3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92.025,00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3FE2CD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91.958,50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90ACE5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99,93%</w:t>
            </w:r>
          </w:p>
        </w:tc>
      </w:tr>
      <w:tr w:rsidR="00416D67" w:rsidRPr="00416D67" w14:paraId="4251E83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2DCBC8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lastRenderedPageBreak/>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93948D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92.025,00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5ABD97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92.025,00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CC1712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91.958,50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41EF2B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99,93%</w:t>
            </w:r>
          </w:p>
        </w:tc>
      </w:tr>
      <w:tr w:rsidR="00416D67" w:rsidRPr="00416D67" w14:paraId="61AFA21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B4747D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589D1C7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1E58DA2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92.025,00</w:t>
            </w:r>
          </w:p>
        </w:tc>
        <w:tc>
          <w:tcPr>
            <w:tcW w:w="1070" w:type="dxa"/>
            <w:tcBorders>
              <w:top w:val="single" w:sz="4" w:space="0" w:color="auto"/>
              <w:left w:val="nil"/>
              <w:bottom w:val="single" w:sz="4" w:space="0" w:color="auto"/>
              <w:right w:val="single" w:sz="4" w:space="0" w:color="auto"/>
            </w:tcBorders>
            <w:noWrap/>
            <w:vAlign w:val="bottom"/>
            <w:hideMark/>
          </w:tcPr>
          <w:p w14:paraId="51B56EA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92.025,00</w:t>
            </w:r>
          </w:p>
        </w:tc>
        <w:tc>
          <w:tcPr>
            <w:tcW w:w="1095" w:type="dxa"/>
            <w:tcBorders>
              <w:top w:val="single" w:sz="4" w:space="0" w:color="auto"/>
              <w:left w:val="nil"/>
              <w:bottom w:val="single" w:sz="4" w:space="0" w:color="auto"/>
              <w:right w:val="single" w:sz="4" w:space="0" w:color="auto"/>
            </w:tcBorders>
            <w:noWrap/>
            <w:vAlign w:val="bottom"/>
            <w:hideMark/>
          </w:tcPr>
          <w:p w14:paraId="38637CE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91.958,50</w:t>
            </w:r>
          </w:p>
        </w:tc>
        <w:tc>
          <w:tcPr>
            <w:tcW w:w="918" w:type="dxa"/>
            <w:tcBorders>
              <w:top w:val="single" w:sz="4" w:space="0" w:color="auto"/>
              <w:left w:val="nil"/>
              <w:bottom w:val="single" w:sz="4" w:space="0" w:color="auto"/>
              <w:right w:val="single" w:sz="4" w:space="0" w:color="auto"/>
            </w:tcBorders>
            <w:noWrap/>
            <w:vAlign w:val="bottom"/>
            <w:hideMark/>
          </w:tcPr>
          <w:p w14:paraId="5BBC4BA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99,93%</w:t>
            </w:r>
          </w:p>
        </w:tc>
      </w:tr>
      <w:tr w:rsidR="00416D67" w:rsidRPr="00416D67" w14:paraId="0AC13E0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9EACE7C" w14:textId="77777777" w:rsidR="00416D67" w:rsidRPr="00416D67" w:rsidRDefault="00416D67" w:rsidP="00416D67">
            <w:pPr>
              <w:rPr>
                <w:rFonts w:ascii="Arial" w:hAnsi="Arial" w:cs="Arial"/>
                <w:sz w:val="14"/>
                <w:szCs w:val="14"/>
              </w:rPr>
            </w:pPr>
            <w:r w:rsidRPr="00416D67">
              <w:rPr>
                <w:rFonts w:ascii="Arial" w:hAnsi="Arial" w:cs="Arial"/>
                <w:sz w:val="14"/>
                <w:szCs w:val="14"/>
              </w:rPr>
              <w:t>3234</w:t>
            </w:r>
          </w:p>
        </w:tc>
        <w:tc>
          <w:tcPr>
            <w:tcW w:w="8106" w:type="dxa"/>
            <w:tcBorders>
              <w:top w:val="single" w:sz="4" w:space="0" w:color="auto"/>
              <w:left w:val="nil"/>
              <w:bottom w:val="single" w:sz="4" w:space="0" w:color="auto"/>
              <w:right w:val="single" w:sz="4" w:space="0" w:color="auto"/>
            </w:tcBorders>
            <w:noWrap/>
            <w:vAlign w:val="bottom"/>
            <w:hideMark/>
          </w:tcPr>
          <w:p w14:paraId="30003B5F" w14:textId="77777777" w:rsidR="00416D67" w:rsidRPr="00416D67" w:rsidRDefault="00416D67" w:rsidP="00416D67">
            <w:pPr>
              <w:rPr>
                <w:rFonts w:ascii="Arial" w:hAnsi="Arial" w:cs="Arial"/>
                <w:sz w:val="14"/>
                <w:szCs w:val="14"/>
              </w:rPr>
            </w:pPr>
            <w:r w:rsidRPr="00416D67">
              <w:rPr>
                <w:rFonts w:ascii="Arial" w:hAnsi="Arial" w:cs="Arial"/>
                <w:sz w:val="14"/>
                <w:szCs w:val="14"/>
              </w:rPr>
              <w:t>Komunalne usluge</w:t>
            </w:r>
          </w:p>
        </w:tc>
        <w:tc>
          <w:tcPr>
            <w:tcW w:w="1095" w:type="dxa"/>
            <w:tcBorders>
              <w:top w:val="single" w:sz="4" w:space="0" w:color="auto"/>
              <w:left w:val="nil"/>
              <w:bottom w:val="single" w:sz="4" w:space="0" w:color="auto"/>
              <w:right w:val="single" w:sz="4" w:space="0" w:color="auto"/>
            </w:tcBorders>
            <w:noWrap/>
            <w:vAlign w:val="bottom"/>
            <w:hideMark/>
          </w:tcPr>
          <w:p w14:paraId="13F27A9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854B1F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43D224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91.958,50</w:t>
            </w:r>
          </w:p>
        </w:tc>
        <w:tc>
          <w:tcPr>
            <w:tcW w:w="918" w:type="dxa"/>
            <w:tcBorders>
              <w:top w:val="single" w:sz="4" w:space="0" w:color="auto"/>
              <w:left w:val="nil"/>
              <w:bottom w:val="single" w:sz="4" w:space="0" w:color="auto"/>
              <w:right w:val="single" w:sz="4" w:space="0" w:color="auto"/>
            </w:tcBorders>
            <w:noWrap/>
            <w:vAlign w:val="bottom"/>
            <w:hideMark/>
          </w:tcPr>
          <w:p w14:paraId="7859092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CEB06A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75DEE0"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EF3F7A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112.100,00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07108C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112.100,00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B699F6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109.440,67</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E15946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97,63%</w:t>
            </w:r>
          </w:p>
        </w:tc>
      </w:tr>
      <w:tr w:rsidR="00416D67" w:rsidRPr="00416D67" w14:paraId="02F974B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F6B7A0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4.1. Prihodi za posebne namjene komunalna naknada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935497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112.100,00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C503BC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112.100,00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D127AE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109.440,67</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90153D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97,63%</w:t>
            </w:r>
          </w:p>
        </w:tc>
      </w:tr>
      <w:tr w:rsidR="00416D67" w:rsidRPr="00416D67" w14:paraId="02D421D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6FF204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74869D3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6B4AFC4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112.100,00</w:t>
            </w:r>
          </w:p>
        </w:tc>
        <w:tc>
          <w:tcPr>
            <w:tcW w:w="1070" w:type="dxa"/>
            <w:tcBorders>
              <w:top w:val="single" w:sz="4" w:space="0" w:color="auto"/>
              <w:left w:val="nil"/>
              <w:bottom w:val="single" w:sz="4" w:space="0" w:color="auto"/>
              <w:right w:val="single" w:sz="4" w:space="0" w:color="auto"/>
            </w:tcBorders>
            <w:noWrap/>
            <w:vAlign w:val="bottom"/>
            <w:hideMark/>
          </w:tcPr>
          <w:p w14:paraId="36BD4F2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112.100,00</w:t>
            </w:r>
          </w:p>
        </w:tc>
        <w:tc>
          <w:tcPr>
            <w:tcW w:w="1095" w:type="dxa"/>
            <w:tcBorders>
              <w:top w:val="single" w:sz="4" w:space="0" w:color="auto"/>
              <w:left w:val="nil"/>
              <w:bottom w:val="single" w:sz="4" w:space="0" w:color="auto"/>
              <w:right w:val="single" w:sz="4" w:space="0" w:color="auto"/>
            </w:tcBorders>
            <w:noWrap/>
            <w:vAlign w:val="bottom"/>
            <w:hideMark/>
          </w:tcPr>
          <w:p w14:paraId="1792E59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109.440,67</w:t>
            </w:r>
          </w:p>
        </w:tc>
        <w:tc>
          <w:tcPr>
            <w:tcW w:w="918" w:type="dxa"/>
            <w:tcBorders>
              <w:top w:val="single" w:sz="4" w:space="0" w:color="auto"/>
              <w:left w:val="nil"/>
              <w:bottom w:val="single" w:sz="4" w:space="0" w:color="auto"/>
              <w:right w:val="single" w:sz="4" w:space="0" w:color="auto"/>
            </w:tcBorders>
            <w:noWrap/>
            <w:vAlign w:val="bottom"/>
            <w:hideMark/>
          </w:tcPr>
          <w:p w14:paraId="797E717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97,63%</w:t>
            </w:r>
          </w:p>
        </w:tc>
      </w:tr>
      <w:tr w:rsidR="00416D67" w:rsidRPr="00416D67" w14:paraId="72767CE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F2260AA" w14:textId="77777777" w:rsidR="00416D67" w:rsidRPr="00416D67" w:rsidRDefault="00416D67" w:rsidP="00416D67">
            <w:pPr>
              <w:rPr>
                <w:rFonts w:ascii="Arial" w:hAnsi="Arial" w:cs="Arial"/>
                <w:sz w:val="14"/>
                <w:szCs w:val="14"/>
              </w:rPr>
            </w:pPr>
            <w:r w:rsidRPr="00416D67">
              <w:rPr>
                <w:rFonts w:ascii="Arial" w:hAnsi="Arial" w:cs="Arial"/>
                <w:sz w:val="14"/>
                <w:szCs w:val="14"/>
              </w:rPr>
              <w:t>3234</w:t>
            </w:r>
          </w:p>
        </w:tc>
        <w:tc>
          <w:tcPr>
            <w:tcW w:w="8106" w:type="dxa"/>
            <w:tcBorders>
              <w:top w:val="single" w:sz="4" w:space="0" w:color="auto"/>
              <w:left w:val="nil"/>
              <w:bottom w:val="single" w:sz="4" w:space="0" w:color="auto"/>
              <w:right w:val="single" w:sz="4" w:space="0" w:color="auto"/>
            </w:tcBorders>
            <w:noWrap/>
            <w:vAlign w:val="bottom"/>
            <w:hideMark/>
          </w:tcPr>
          <w:p w14:paraId="04E31867" w14:textId="77777777" w:rsidR="00416D67" w:rsidRPr="00416D67" w:rsidRDefault="00416D67" w:rsidP="00416D67">
            <w:pPr>
              <w:rPr>
                <w:rFonts w:ascii="Arial" w:hAnsi="Arial" w:cs="Arial"/>
                <w:sz w:val="14"/>
                <w:szCs w:val="14"/>
              </w:rPr>
            </w:pPr>
            <w:r w:rsidRPr="00416D67">
              <w:rPr>
                <w:rFonts w:ascii="Arial" w:hAnsi="Arial" w:cs="Arial"/>
                <w:sz w:val="14"/>
                <w:szCs w:val="14"/>
              </w:rPr>
              <w:t>Komunalne usluge</w:t>
            </w:r>
          </w:p>
        </w:tc>
        <w:tc>
          <w:tcPr>
            <w:tcW w:w="1095" w:type="dxa"/>
            <w:tcBorders>
              <w:top w:val="single" w:sz="4" w:space="0" w:color="auto"/>
              <w:left w:val="nil"/>
              <w:bottom w:val="single" w:sz="4" w:space="0" w:color="auto"/>
              <w:right w:val="single" w:sz="4" w:space="0" w:color="auto"/>
            </w:tcBorders>
            <w:noWrap/>
            <w:vAlign w:val="bottom"/>
            <w:hideMark/>
          </w:tcPr>
          <w:p w14:paraId="172BEC3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B1156F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343086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109.440,67</w:t>
            </w:r>
          </w:p>
        </w:tc>
        <w:tc>
          <w:tcPr>
            <w:tcW w:w="918" w:type="dxa"/>
            <w:tcBorders>
              <w:top w:val="single" w:sz="4" w:space="0" w:color="auto"/>
              <w:left w:val="nil"/>
              <w:bottom w:val="single" w:sz="4" w:space="0" w:color="auto"/>
              <w:right w:val="single" w:sz="4" w:space="0" w:color="auto"/>
            </w:tcBorders>
            <w:noWrap/>
            <w:vAlign w:val="bottom"/>
            <w:hideMark/>
          </w:tcPr>
          <w:p w14:paraId="2DA6C8E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1F088B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6A2266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A100002</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55A7DC5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Održavanje javnih površina na kojima nije dopušten promet motornim vozilima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3BDB64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6.500,00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40076BA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6.990,00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7B9008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6.992,63</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0F55998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100,04%</w:t>
            </w:r>
          </w:p>
        </w:tc>
      </w:tr>
      <w:tr w:rsidR="00416D67" w:rsidRPr="00416D67" w14:paraId="08495E7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3B9D42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B0CF02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A65D80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6.990,00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01DE9B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6.992,63</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69D36B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100,04%</w:t>
            </w:r>
          </w:p>
        </w:tc>
      </w:tr>
      <w:tr w:rsidR="00416D67" w:rsidRPr="00416D67" w14:paraId="6004AF5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1B95CB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4.1. Prihodi za posebne namjene komunalna naknada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F2774E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7BCD59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6.990,00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25B665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6.992,63</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770DE1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100,04%</w:t>
            </w:r>
          </w:p>
        </w:tc>
      </w:tr>
      <w:tr w:rsidR="00416D67" w:rsidRPr="00416D67" w14:paraId="517CB1E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EC82D3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507AA9A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0CCB91B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6.500,00</w:t>
            </w:r>
          </w:p>
        </w:tc>
        <w:tc>
          <w:tcPr>
            <w:tcW w:w="1070" w:type="dxa"/>
            <w:tcBorders>
              <w:top w:val="single" w:sz="4" w:space="0" w:color="auto"/>
              <w:left w:val="nil"/>
              <w:bottom w:val="single" w:sz="4" w:space="0" w:color="auto"/>
              <w:right w:val="single" w:sz="4" w:space="0" w:color="auto"/>
            </w:tcBorders>
            <w:noWrap/>
            <w:vAlign w:val="bottom"/>
            <w:hideMark/>
          </w:tcPr>
          <w:p w14:paraId="78A1BA5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6.990,00</w:t>
            </w:r>
          </w:p>
        </w:tc>
        <w:tc>
          <w:tcPr>
            <w:tcW w:w="1095" w:type="dxa"/>
            <w:tcBorders>
              <w:top w:val="single" w:sz="4" w:space="0" w:color="auto"/>
              <w:left w:val="nil"/>
              <w:bottom w:val="single" w:sz="4" w:space="0" w:color="auto"/>
              <w:right w:val="single" w:sz="4" w:space="0" w:color="auto"/>
            </w:tcBorders>
            <w:noWrap/>
            <w:vAlign w:val="bottom"/>
            <w:hideMark/>
          </w:tcPr>
          <w:p w14:paraId="6F77C4B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6.992,63</w:t>
            </w:r>
          </w:p>
        </w:tc>
        <w:tc>
          <w:tcPr>
            <w:tcW w:w="918" w:type="dxa"/>
            <w:tcBorders>
              <w:top w:val="single" w:sz="4" w:space="0" w:color="auto"/>
              <w:left w:val="nil"/>
              <w:bottom w:val="single" w:sz="4" w:space="0" w:color="auto"/>
              <w:right w:val="single" w:sz="4" w:space="0" w:color="auto"/>
            </w:tcBorders>
            <w:noWrap/>
            <w:vAlign w:val="bottom"/>
            <w:hideMark/>
          </w:tcPr>
          <w:p w14:paraId="60C3C58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100,04%</w:t>
            </w:r>
          </w:p>
        </w:tc>
      </w:tr>
      <w:tr w:rsidR="00416D67" w:rsidRPr="00416D67" w14:paraId="3156933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7C245DC" w14:textId="77777777" w:rsidR="00416D67" w:rsidRPr="00416D67" w:rsidRDefault="00416D67" w:rsidP="00416D67">
            <w:pPr>
              <w:rPr>
                <w:rFonts w:ascii="Arial" w:hAnsi="Arial" w:cs="Arial"/>
                <w:sz w:val="14"/>
                <w:szCs w:val="14"/>
              </w:rPr>
            </w:pPr>
            <w:r w:rsidRPr="00416D67">
              <w:rPr>
                <w:rFonts w:ascii="Arial" w:hAnsi="Arial" w:cs="Arial"/>
                <w:sz w:val="14"/>
                <w:szCs w:val="14"/>
              </w:rPr>
              <w:t>3234</w:t>
            </w:r>
          </w:p>
        </w:tc>
        <w:tc>
          <w:tcPr>
            <w:tcW w:w="8106" w:type="dxa"/>
            <w:tcBorders>
              <w:top w:val="single" w:sz="4" w:space="0" w:color="auto"/>
              <w:left w:val="nil"/>
              <w:bottom w:val="single" w:sz="4" w:space="0" w:color="auto"/>
              <w:right w:val="single" w:sz="4" w:space="0" w:color="auto"/>
            </w:tcBorders>
            <w:noWrap/>
            <w:vAlign w:val="bottom"/>
            <w:hideMark/>
          </w:tcPr>
          <w:p w14:paraId="32FED952" w14:textId="77777777" w:rsidR="00416D67" w:rsidRPr="00416D67" w:rsidRDefault="00416D67" w:rsidP="00416D67">
            <w:pPr>
              <w:rPr>
                <w:rFonts w:ascii="Arial" w:hAnsi="Arial" w:cs="Arial"/>
                <w:sz w:val="14"/>
                <w:szCs w:val="14"/>
              </w:rPr>
            </w:pPr>
            <w:r w:rsidRPr="00416D67">
              <w:rPr>
                <w:rFonts w:ascii="Arial" w:hAnsi="Arial" w:cs="Arial"/>
                <w:sz w:val="14"/>
                <w:szCs w:val="14"/>
              </w:rPr>
              <w:t>Komunalne usluge</w:t>
            </w:r>
          </w:p>
        </w:tc>
        <w:tc>
          <w:tcPr>
            <w:tcW w:w="1095" w:type="dxa"/>
            <w:tcBorders>
              <w:top w:val="single" w:sz="4" w:space="0" w:color="auto"/>
              <w:left w:val="nil"/>
              <w:bottom w:val="single" w:sz="4" w:space="0" w:color="auto"/>
              <w:right w:val="single" w:sz="4" w:space="0" w:color="auto"/>
            </w:tcBorders>
            <w:noWrap/>
            <w:vAlign w:val="bottom"/>
            <w:hideMark/>
          </w:tcPr>
          <w:p w14:paraId="75E3F4C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53370C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17987E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6.992,63</w:t>
            </w:r>
          </w:p>
        </w:tc>
        <w:tc>
          <w:tcPr>
            <w:tcW w:w="918" w:type="dxa"/>
            <w:tcBorders>
              <w:top w:val="single" w:sz="4" w:space="0" w:color="auto"/>
              <w:left w:val="nil"/>
              <w:bottom w:val="single" w:sz="4" w:space="0" w:color="auto"/>
              <w:right w:val="single" w:sz="4" w:space="0" w:color="auto"/>
            </w:tcBorders>
            <w:noWrap/>
            <w:vAlign w:val="bottom"/>
            <w:hideMark/>
          </w:tcPr>
          <w:p w14:paraId="0E60C44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F017EE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15A5A0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A100003</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623CAF7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Održavanje građevina javne odvodnje oborinskih voda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D24117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4.200,00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7BBDF22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4.200,00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0FF43F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2.265,63</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1BDF425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53,94%</w:t>
            </w:r>
          </w:p>
        </w:tc>
      </w:tr>
      <w:tr w:rsidR="00416D67" w:rsidRPr="00416D67" w14:paraId="22C2950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76EB96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DCAF7C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4.200,00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E8FC3C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4.200,00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C56EEF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2.265,63</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E19E71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53,94%</w:t>
            </w:r>
          </w:p>
        </w:tc>
      </w:tr>
      <w:tr w:rsidR="00416D67" w:rsidRPr="00416D67" w14:paraId="47509DC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DDCE2B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4.1. Prihodi za posebne namjene komunalna naknada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DF1B1B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4.200,00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C3C68C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4.200,00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48CF20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2.265,63</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E2D34D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53,94%</w:t>
            </w:r>
          </w:p>
        </w:tc>
      </w:tr>
      <w:tr w:rsidR="00416D67" w:rsidRPr="00416D67" w14:paraId="4F67FDC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AC0CEC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51CA789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5F805AA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4.200,00</w:t>
            </w:r>
          </w:p>
        </w:tc>
        <w:tc>
          <w:tcPr>
            <w:tcW w:w="1070" w:type="dxa"/>
            <w:tcBorders>
              <w:top w:val="single" w:sz="4" w:space="0" w:color="auto"/>
              <w:left w:val="nil"/>
              <w:bottom w:val="single" w:sz="4" w:space="0" w:color="auto"/>
              <w:right w:val="single" w:sz="4" w:space="0" w:color="auto"/>
            </w:tcBorders>
            <w:noWrap/>
            <w:vAlign w:val="bottom"/>
            <w:hideMark/>
          </w:tcPr>
          <w:p w14:paraId="5A2345F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4.200,00</w:t>
            </w:r>
          </w:p>
        </w:tc>
        <w:tc>
          <w:tcPr>
            <w:tcW w:w="1095" w:type="dxa"/>
            <w:tcBorders>
              <w:top w:val="single" w:sz="4" w:space="0" w:color="auto"/>
              <w:left w:val="nil"/>
              <w:bottom w:val="single" w:sz="4" w:space="0" w:color="auto"/>
              <w:right w:val="single" w:sz="4" w:space="0" w:color="auto"/>
            </w:tcBorders>
            <w:noWrap/>
            <w:vAlign w:val="bottom"/>
            <w:hideMark/>
          </w:tcPr>
          <w:p w14:paraId="163FC12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2.265,63</w:t>
            </w:r>
          </w:p>
        </w:tc>
        <w:tc>
          <w:tcPr>
            <w:tcW w:w="918" w:type="dxa"/>
            <w:tcBorders>
              <w:top w:val="single" w:sz="4" w:space="0" w:color="auto"/>
              <w:left w:val="nil"/>
              <w:bottom w:val="single" w:sz="4" w:space="0" w:color="auto"/>
              <w:right w:val="single" w:sz="4" w:space="0" w:color="auto"/>
            </w:tcBorders>
            <w:noWrap/>
            <w:vAlign w:val="bottom"/>
            <w:hideMark/>
          </w:tcPr>
          <w:p w14:paraId="26E2371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53,94%</w:t>
            </w:r>
          </w:p>
        </w:tc>
      </w:tr>
      <w:tr w:rsidR="00416D67" w:rsidRPr="00416D67" w14:paraId="4E7479D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37F1993" w14:textId="77777777" w:rsidR="00416D67" w:rsidRPr="00416D67" w:rsidRDefault="00416D67" w:rsidP="00416D67">
            <w:pPr>
              <w:rPr>
                <w:rFonts w:ascii="Arial" w:hAnsi="Arial" w:cs="Arial"/>
                <w:sz w:val="14"/>
                <w:szCs w:val="14"/>
              </w:rPr>
            </w:pPr>
            <w:r w:rsidRPr="00416D67">
              <w:rPr>
                <w:rFonts w:ascii="Arial" w:hAnsi="Arial" w:cs="Arial"/>
                <w:sz w:val="14"/>
                <w:szCs w:val="14"/>
              </w:rPr>
              <w:t>3234</w:t>
            </w:r>
          </w:p>
        </w:tc>
        <w:tc>
          <w:tcPr>
            <w:tcW w:w="8106" w:type="dxa"/>
            <w:tcBorders>
              <w:top w:val="single" w:sz="4" w:space="0" w:color="auto"/>
              <w:left w:val="nil"/>
              <w:bottom w:val="single" w:sz="4" w:space="0" w:color="auto"/>
              <w:right w:val="single" w:sz="4" w:space="0" w:color="auto"/>
            </w:tcBorders>
            <w:noWrap/>
            <w:vAlign w:val="bottom"/>
            <w:hideMark/>
          </w:tcPr>
          <w:p w14:paraId="1E050049" w14:textId="77777777" w:rsidR="00416D67" w:rsidRPr="00416D67" w:rsidRDefault="00416D67" w:rsidP="00416D67">
            <w:pPr>
              <w:rPr>
                <w:rFonts w:ascii="Arial" w:hAnsi="Arial" w:cs="Arial"/>
                <w:sz w:val="14"/>
                <w:szCs w:val="14"/>
              </w:rPr>
            </w:pPr>
            <w:r w:rsidRPr="00416D67">
              <w:rPr>
                <w:rFonts w:ascii="Arial" w:hAnsi="Arial" w:cs="Arial"/>
                <w:sz w:val="14"/>
                <w:szCs w:val="14"/>
              </w:rPr>
              <w:t>Komunalne usluge</w:t>
            </w:r>
          </w:p>
        </w:tc>
        <w:tc>
          <w:tcPr>
            <w:tcW w:w="1095" w:type="dxa"/>
            <w:tcBorders>
              <w:top w:val="single" w:sz="4" w:space="0" w:color="auto"/>
              <w:left w:val="nil"/>
              <w:bottom w:val="single" w:sz="4" w:space="0" w:color="auto"/>
              <w:right w:val="single" w:sz="4" w:space="0" w:color="auto"/>
            </w:tcBorders>
            <w:noWrap/>
            <w:vAlign w:val="bottom"/>
            <w:hideMark/>
          </w:tcPr>
          <w:p w14:paraId="40E8A8D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8A316E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3B275F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2.265,63</w:t>
            </w:r>
          </w:p>
        </w:tc>
        <w:tc>
          <w:tcPr>
            <w:tcW w:w="918" w:type="dxa"/>
            <w:tcBorders>
              <w:top w:val="single" w:sz="4" w:space="0" w:color="auto"/>
              <w:left w:val="nil"/>
              <w:bottom w:val="single" w:sz="4" w:space="0" w:color="auto"/>
              <w:right w:val="single" w:sz="4" w:space="0" w:color="auto"/>
            </w:tcBorders>
            <w:noWrap/>
            <w:vAlign w:val="bottom"/>
            <w:hideMark/>
          </w:tcPr>
          <w:p w14:paraId="506504C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09669F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57408F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A100004</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2F8A063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Održavanje javnih zelenih površina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D1C3A5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73.310,00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1EF668A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72.389,00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E19BB1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64.490,57</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6C2B34D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89,09%</w:t>
            </w:r>
          </w:p>
        </w:tc>
      </w:tr>
      <w:tr w:rsidR="00416D67" w:rsidRPr="00416D67" w14:paraId="7E1BCF4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56C883E"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FB385F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54.880,00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528487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54.880,00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570423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54.757,49</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EA8002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99,78%</w:t>
            </w:r>
          </w:p>
        </w:tc>
      </w:tr>
      <w:tr w:rsidR="00416D67" w:rsidRPr="00416D67" w14:paraId="205084D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BEAFC0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0D4804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54.880,00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349D97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54.880,00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3279FF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54.757,49</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23181E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99,78%</w:t>
            </w:r>
          </w:p>
        </w:tc>
      </w:tr>
      <w:tr w:rsidR="00416D67" w:rsidRPr="00416D67" w14:paraId="65D889B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C04AF0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6ABB7C9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35A810B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54.880,00</w:t>
            </w:r>
          </w:p>
        </w:tc>
        <w:tc>
          <w:tcPr>
            <w:tcW w:w="1070" w:type="dxa"/>
            <w:tcBorders>
              <w:top w:val="single" w:sz="4" w:space="0" w:color="auto"/>
              <w:left w:val="nil"/>
              <w:bottom w:val="single" w:sz="4" w:space="0" w:color="auto"/>
              <w:right w:val="single" w:sz="4" w:space="0" w:color="auto"/>
            </w:tcBorders>
            <w:noWrap/>
            <w:vAlign w:val="bottom"/>
            <w:hideMark/>
          </w:tcPr>
          <w:p w14:paraId="0B95FE1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54.880,00</w:t>
            </w:r>
          </w:p>
        </w:tc>
        <w:tc>
          <w:tcPr>
            <w:tcW w:w="1095" w:type="dxa"/>
            <w:tcBorders>
              <w:top w:val="single" w:sz="4" w:space="0" w:color="auto"/>
              <w:left w:val="nil"/>
              <w:bottom w:val="single" w:sz="4" w:space="0" w:color="auto"/>
              <w:right w:val="single" w:sz="4" w:space="0" w:color="auto"/>
            </w:tcBorders>
            <w:noWrap/>
            <w:vAlign w:val="bottom"/>
            <w:hideMark/>
          </w:tcPr>
          <w:p w14:paraId="1442A33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54.757,49</w:t>
            </w:r>
          </w:p>
        </w:tc>
        <w:tc>
          <w:tcPr>
            <w:tcW w:w="918" w:type="dxa"/>
            <w:tcBorders>
              <w:top w:val="single" w:sz="4" w:space="0" w:color="auto"/>
              <w:left w:val="nil"/>
              <w:bottom w:val="single" w:sz="4" w:space="0" w:color="auto"/>
              <w:right w:val="single" w:sz="4" w:space="0" w:color="auto"/>
            </w:tcBorders>
            <w:noWrap/>
            <w:vAlign w:val="bottom"/>
            <w:hideMark/>
          </w:tcPr>
          <w:p w14:paraId="5B7D029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99,78%</w:t>
            </w:r>
          </w:p>
        </w:tc>
      </w:tr>
      <w:tr w:rsidR="00416D67" w:rsidRPr="00416D67" w14:paraId="03E19BE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F27C975" w14:textId="77777777" w:rsidR="00416D67" w:rsidRPr="00416D67" w:rsidRDefault="00416D67" w:rsidP="00416D67">
            <w:pPr>
              <w:rPr>
                <w:rFonts w:ascii="Arial" w:hAnsi="Arial" w:cs="Arial"/>
                <w:sz w:val="14"/>
                <w:szCs w:val="14"/>
              </w:rPr>
            </w:pPr>
            <w:r w:rsidRPr="00416D67">
              <w:rPr>
                <w:rFonts w:ascii="Arial" w:hAnsi="Arial" w:cs="Arial"/>
                <w:sz w:val="14"/>
                <w:szCs w:val="14"/>
              </w:rPr>
              <w:t>3234</w:t>
            </w:r>
          </w:p>
        </w:tc>
        <w:tc>
          <w:tcPr>
            <w:tcW w:w="8106" w:type="dxa"/>
            <w:tcBorders>
              <w:top w:val="single" w:sz="4" w:space="0" w:color="auto"/>
              <w:left w:val="nil"/>
              <w:bottom w:val="single" w:sz="4" w:space="0" w:color="auto"/>
              <w:right w:val="single" w:sz="4" w:space="0" w:color="auto"/>
            </w:tcBorders>
            <w:noWrap/>
            <w:vAlign w:val="bottom"/>
            <w:hideMark/>
          </w:tcPr>
          <w:p w14:paraId="74686C23" w14:textId="77777777" w:rsidR="00416D67" w:rsidRPr="00416D67" w:rsidRDefault="00416D67" w:rsidP="00416D67">
            <w:pPr>
              <w:rPr>
                <w:rFonts w:ascii="Arial" w:hAnsi="Arial" w:cs="Arial"/>
                <w:sz w:val="14"/>
                <w:szCs w:val="14"/>
              </w:rPr>
            </w:pPr>
            <w:r w:rsidRPr="00416D67">
              <w:rPr>
                <w:rFonts w:ascii="Arial" w:hAnsi="Arial" w:cs="Arial"/>
                <w:sz w:val="14"/>
                <w:szCs w:val="14"/>
              </w:rPr>
              <w:t>Komunalne usluge</w:t>
            </w:r>
          </w:p>
        </w:tc>
        <w:tc>
          <w:tcPr>
            <w:tcW w:w="1095" w:type="dxa"/>
            <w:tcBorders>
              <w:top w:val="single" w:sz="4" w:space="0" w:color="auto"/>
              <w:left w:val="nil"/>
              <w:bottom w:val="single" w:sz="4" w:space="0" w:color="auto"/>
              <w:right w:val="single" w:sz="4" w:space="0" w:color="auto"/>
            </w:tcBorders>
            <w:noWrap/>
            <w:vAlign w:val="bottom"/>
            <w:hideMark/>
          </w:tcPr>
          <w:p w14:paraId="6509645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45C221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D95CD0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54.757,49</w:t>
            </w:r>
          </w:p>
        </w:tc>
        <w:tc>
          <w:tcPr>
            <w:tcW w:w="918" w:type="dxa"/>
            <w:tcBorders>
              <w:top w:val="single" w:sz="4" w:space="0" w:color="auto"/>
              <w:left w:val="nil"/>
              <w:bottom w:val="single" w:sz="4" w:space="0" w:color="auto"/>
              <w:right w:val="single" w:sz="4" w:space="0" w:color="auto"/>
            </w:tcBorders>
            <w:noWrap/>
            <w:vAlign w:val="bottom"/>
            <w:hideMark/>
          </w:tcPr>
          <w:p w14:paraId="06E7C0F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E29019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126587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71C908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18.430,00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DE0F62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17.509,00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A4F8E6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9.733,08</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9160E2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55,59%</w:t>
            </w:r>
          </w:p>
        </w:tc>
      </w:tr>
      <w:tr w:rsidR="00416D67" w:rsidRPr="00416D67" w14:paraId="7B35DA6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62F1CE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4.1. Prihodi za posebne namjene komunalna naknada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875A1D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18.430,00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3CE849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17.509,00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4C1FD6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9.733,08</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1245DF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55,59%</w:t>
            </w:r>
          </w:p>
        </w:tc>
      </w:tr>
      <w:tr w:rsidR="00416D67" w:rsidRPr="00416D67" w14:paraId="25E9D9F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C09273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66325BF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3500188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18.430,00</w:t>
            </w:r>
          </w:p>
        </w:tc>
        <w:tc>
          <w:tcPr>
            <w:tcW w:w="1070" w:type="dxa"/>
            <w:tcBorders>
              <w:top w:val="single" w:sz="4" w:space="0" w:color="auto"/>
              <w:left w:val="nil"/>
              <w:bottom w:val="single" w:sz="4" w:space="0" w:color="auto"/>
              <w:right w:val="single" w:sz="4" w:space="0" w:color="auto"/>
            </w:tcBorders>
            <w:noWrap/>
            <w:vAlign w:val="bottom"/>
            <w:hideMark/>
          </w:tcPr>
          <w:p w14:paraId="5FB9090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17.509,00</w:t>
            </w:r>
          </w:p>
        </w:tc>
        <w:tc>
          <w:tcPr>
            <w:tcW w:w="1095" w:type="dxa"/>
            <w:tcBorders>
              <w:top w:val="single" w:sz="4" w:space="0" w:color="auto"/>
              <w:left w:val="nil"/>
              <w:bottom w:val="single" w:sz="4" w:space="0" w:color="auto"/>
              <w:right w:val="single" w:sz="4" w:space="0" w:color="auto"/>
            </w:tcBorders>
            <w:noWrap/>
            <w:vAlign w:val="bottom"/>
            <w:hideMark/>
          </w:tcPr>
          <w:p w14:paraId="589BDDD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9.733,08</w:t>
            </w:r>
          </w:p>
        </w:tc>
        <w:tc>
          <w:tcPr>
            <w:tcW w:w="918" w:type="dxa"/>
            <w:tcBorders>
              <w:top w:val="single" w:sz="4" w:space="0" w:color="auto"/>
              <w:left w:val="nil"/>
              <w:bottom w:val="single" w:sz="4" w:space="0" w:color="auto"/>
              <w:right w:val="single" w:sz="4" w:space="0" w:color="auto"/>
            </w:tcBorders>
            <w:noWrap/>
            <w:vAlign w:val="bottom"/>
            <w:hideMark/>
          </w:tcPr>
          <w:p w14:paraId="6E9A062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55,59%</w:t>
            </w:r>
          </w:p>
        </w:tc>
      </w:tr>
      <w:tr w:rsidR="00416D67" w:rsidRPr="00416D67" w14:paraId="615D83C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75C62CE" w14:textId="77777777" w:rsidR="00416D67" w:rsidRPr="00416D67" w:rsidRDefault="00416D67" w:rsidP="00416D67">
            <w:pPr>
              <w:rPr>
                <w:rFonts w:ascii="Arial" w:hAnsi="Arial" w:cs="Arial"/>
                <w:sz w:val="14"/>
                <w:szCs w:val="14"/>
              </w:rPr>
            </w:pPr>
            <w:r w:rsidRPr="00416D67">
              <w:rPr>
                <w:rFonts w:ascii="Arial" w:hAnsi="Arial" w:cs="Arial"/>
                <w:sz w:val="14"/>
                <w:szCs w:val="14"/>
              </w:rPr>
              <w:t>3234</w:t>
            </w:r>
          </w:p>
        </w:tc>
        <w:tc>
          <w:tcPr>
            <w:tcW w:w="8106" w:type="dxa"/>
            <w:tcBorders>
              <w:top w:val="single" w:sz="4" w:space="0" w:color="auto"/>
              <w:left w:val="nil"/>
              <w:bottom w:val="single" w:sz="4" w:space="0" w:color="auto"/>
              <w:right w:val="single" w:sz="4" w:space="0" w:color="auto"/>
            </w:tcBorders>
            <w:noWrap/>
            <w:vAlign w:val="bottom"/>
            <w:hideMark/>
          </w:tcPr>
          <w:p w14:paraId="4E472C89" w14:textId="77777777" w:rsidR="00416D67" w:rsidRPr="00416D67" w:rsidRDefault="00416D67" w:rsidP="00416D67">
            <w:pPr>
              <w:rPr>
                <w:rFonts w:ascii="Arial" w:hAnsi="Arial" w:cs="Arial"/>
                <w:sz w:val="14"/>
                <w:szCs w:val="14"/>
              </w:rPr>
            </w:pPr>
            <w:r w:rsidRPr="00416D67">
              <w:rPr>
                <w:rFonts w:ascii="Arial" w:hAnsi="Arial" w:cs="Arial"/>
                <w:sz w:val="14"/>
                <w:szCs w:val="14"/>
              </w:rPr>
              <w:t>Komunalne usluge</w:t>
            </w:r>
          </w:p>
        </w:tc>
        <w:tc>
          <w:tcPr>
            <w:tcW w:w="1095" w:type="dxa"/>
            <w:tcBorders>
              <w:top w:val="single" w:sz="4" w:space="0" w:color="auto"/>
              <w:left w:val="nil"/>
              <w:bottom w:val="single" w:sz="4" w:space="0" w:color="auto"/>
              <w:right w:val="single" w:sz="4" w:space="0" w:color="auto"/>
            </w:tcBorders>
            <w:noWrap/>
            <w:vAlign w:val="bottom"/>
            <w:hideMark/>
          </w:tcPr>
          <w:p w14:paraId="1B846A5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1F0A55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80489C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9.733,08</w:t>
            </w:r>
          </w:p>
        </w:tc>
        <w:tc>
          <w:tcPr>
            <w:tcW w:w="918" w:type="dxa"/>
            <w:tcBorders>
              <w:top w:val="single" w:sz="4" w:space="0" w:color="auto"/>
              <w:left w:val="nil"/>
              <w:bottom w:val="single" w:sz="4" w:space="0" w:color="auto"/>
              <w:right w:val="single" w:sz="4" w:space="0" w:color="auto"/>
            </w:tcBorders>
            <w:noWrap/>
            <w:vAlign w:val="bottom"/>
            <w:hideMark/>
          </w:tcPr>
          <w:p w14:paraId="7126321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B646EF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B959C9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A100005</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15A5669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Održavanje građevina, uređaja i predmeta javne namjene</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55E3E0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0B7E2D5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29F4A0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11.719,40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33E821C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78,13%</w:t>
            </w:r>
          </w:p>
        </w:tc>
      </w:tr>
      <w:tr w:rsidR="00416D67" w:rsidRPr="00416D67" w14:paraId="2B19C88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02CA6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11AEFC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16DD83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E0CD34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11.719,40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D11489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78,13%</w:t>
            </w:r>
          </w:p>
        </w:tc>
      </w:tr>
      <w:tr w:rsidR="00416D67" w:rsidRPr="00416D67" w14:paraId="580DC9D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2DD0F0"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4.1. Prihodi za posebne namjene komunalna naknada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3B5330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9732A9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236ED8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11.719,40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0423C3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78,13%</w:t>
            </w:r>
          </w:p>
        </w:tc>
      </w:tr>
      <w:tr w:rsidR="00416D67" w:rsidRPr="00416D67" w14:paraId="582AD4F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4058AE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03AFCB6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0A1A89A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15.000,00</w:t>
            </w:r>
          </w:p>
        </w:tc>
        <w:tc>
          <w:tcPr>
            <w:tcW w:w="1070" w:type="dxa"/>
            <w:tcBorders>
              <w:top w:val="single" w:sz="4" w:space="0" w:color="auto"/>
              <w:left w:val="nil"/>
              <w:bottom w:val="single" w:sz="4" w:space="0" w:color="auto"/>
              <w:right w:val="single" w:sz="4" w:space="0" w:color="auto"/>
            </w:tcBorders>
            <w:noWrap/>
            <w:vAlign w:val="bottom"/>
            <w:hideMark/>
          </w:tcPr>
          <w:p w14:paraId="371EB83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15.000,00</w:t>
            </w:r>
          </w:p>
        </w:tc>
        <w:tc>
          <w:tcPr>
            <w:tcW w:w="1095" w:type="dxa"/>
            <w:tcBorders>
              <w:top w:val="single" w:sz="4" w:space="0" w:color="auto"/>
              <w:left w:val="nil"/>
              <w:bottom w:val="single" w:sz="4" w:space="0" w:color="auto"/>
              <w:right w:val="single" w:sz="4" w:space="0" w:color="auto"/>
            </w:tcBorders>
            <w:noWrap/>
            <w:vAlign w:val="bottom"/>
            <w:hideMark/>
          </w:tcPr>
          <w:p w14:paraId="308DB77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11.719,40</w:t>
            </w:r>
          </w:p>
        </w:tc>
        <w:tc>
          <w:tcPr>
            <w:tcW w:w="918" w:type="dxa"/>
            <w:tcBorders>
              <w:top w:val="single" w:sz="4" w:space="0" w:color="auto"/>
              <w:left w:val="nil"/>
              <w:bottom w:val="single" w:sz="4" w:space="0" w:color="auto"/>
              <w:right w:val="single" w:sz="4" w:space="0" w:color="auto"/>
            </w:tcBorders>
            <w:noWrap/>
            <w:vAlign w:val="bottom"/>
            <w:hideMark/>
          </w:tcPr>
          <w:p w14:paraId="47C47E3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78,13%</w:t>
            </w:r>
          </w:p>
        </w:tc>
      </w:tr>
      <w:tr w:rsidR="00416D67" w:rsidRPr="00416D67" w14:paraId="4B9BA04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E396238" w14:textId="77777777" w:rsidR="00416D67" w:rsidRPr="00416D67" w:rsidRDefault="00416D67" w:rsidP="00416D67">
            <w:pPr>
              <w:rPr>
                <w:rFonts w:ascii="Arial" w:hAnsi="Arial" w:cs="Arial"/>
                <w:sz w:val="14"/>
                <w:szCs w:val="14"/>
              </w:rPr>
            </w:pPr>
            <w:r w:rsidRPr="00416D67">
              <w:rPr>
                <w:rFonts w:ascii="Arial" w:hAnsi="Arial" w:cs="Arial"/>
                <w:sz w:val="14"/>
                <w:szCs w:val="14"/>
              </w:rPr>
              <w:t>3234</w:t>
            </w:r>
          </w:p>
        </w:tc>
        <w:tc>
          <w:tcPr>
            <w:tcW w:w="8106" w:type="dxa"/>
            <w:tcBorders>
              <w:top w:val="single" w:sz="4" w:space="0" w:color="auto"/>
              <w:left w:val="nil"/>
              <w:bottom w:val="single" w:sz="4" w:space="0" w:color="auto"/>
              <w:right w:val="single" w:sz="4" w:space="0" w:color="auto"/>
            </w:tcBorders>
            <w:noWrap/>
            <w:vAlign w:val="bottom"/>
            <w:hideMark/>
          </w:tcPr>
          <w:p w14:paraId="7A79F1A8" w14:textId="77777777" w:rsidR="00416D67" w:rsidRPr="00416D67" w:rsidRDefault="00416D67" w:rsidP="00416D67">
            <w:pPr>
              <w:rPr>
                <w:rFonts w:ascii="Arial" w:hAnsi="Arial" w:cs="Arial"/>
                <w:sz w:val="14"/>
                <w:szCs w:val="14"/>
              </w:rPr>
            </w:pPr>
            <w:r w:rsidRPr="00416D67">
              <w:rPr>
                <w:rFonts w:ascii="Arial" w:hAnsi="Arial" w:cs="Arial"/>
                <w:sz w:val="14"/>
                <w:szCs w:val="14"/>
              </w:rPr>
              <w:t>Komunalne usluge</w:t>
            </w:r>
          </w:p>
        </w:tc>
        <w:tc>
          <w:tcPr>
            <w:tcW w:w="1095" w:type="dxa"/>
            <w:tcBorders>
              <w:top w:val="single" w:sz="4" w:space="0" w:color="auto"/>
              <w:left w:val="nil"/>
              <w:bottom w:val="single" w:sz="4" w:space="0" w:color="auto"/>
              <w:right w:val="single" w:sz="4" w:space="0" w:color="auto"/>
            </w:tcBorders>
            <w:noWrap/>
            <w:vAlign w:val="bottom"/>
            <w:hideMark/>
          </w:tcPr>
          <w:p w14:paraId="3338A8D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FB27F8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DD3FB3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11.719,40</w:t>
            </w:r>
          </w:p>
        </w:tc>
        <w:tc>
          <w:tcPr>
            <w:tcW w:w="918" w:type="dxa"/>
            <w:tcBorders>
              <w:top w:val="single" w:sz="4" w:space="0" w:color="auto"/>
              <w:left w:val="nil"/>
              <w:bottom w:val="single" w:sz="4" w:space="0" w:color="auto"/>
              <w:right w:val="single" w:sz="4" w:space="0" w:color="auto"/>
            </w:tcBorders>
            <w:noWrap/>
            <w:vAlign w:val="bottom"/>
            <w:hideMark/>
          </w:tcPr>
          <w:p w14:paraId="6859799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4FC196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C60A3A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A100006</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1272172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Održavanje groblja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DF0025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3B95EFF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8.431,00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2247B7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8.461,69</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4CA1C47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100,36%</w:t>
            </w:r>
          </w:p>
        </w:tc>
      </w:tr>
      <w:tr w:rsidR="00416D67" w:rsidRPr="00416D67" w14:paraId="042BE86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6683A8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79ADF8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B7D3F1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8.431,00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EEB20E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8.461,69</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D5A81A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100,36%</w:t>
            </w:r>
          </w:p>
        </w:tc>
      </w:tr>
      <w:tr w:rsidR="00416D67" w:rsidRPr="00416D67" w14:paraId="202E72A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37FE5B4"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4.1. Prihodi za posebne namjene komunalna naknada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C9BF0E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5757E7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8.431,00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781B66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8.461,69</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63F947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100,36%</w:t>
            </w:r>
          </w:p>
        </w:tc>
      </w:tr>
      <w:tr w:rsidR="00416D67" w:rsidRPr="00416D67" w14:paraId="31CDAD0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0F1C5C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463CBA2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22BE751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8.000,00</w:t>
            </w:r>
          </w:p>
        </w:tc>
        <w:tc>
          <w:tcPr>
            <w:tcW w:w="1070" w:type="dxa"/>
            <w:tcBorders>
              <w:top w:val="single" w:sz="4" w:space="0" w:color="auto"/>
              <w:left w:val="nil"/>
              <w:bottom w:val="single" w:sz="4" w:space="0" w:color="auto"/>
              <w:right w:val="single" w:sz="4" w:space="0" w:color="auto"/>
            </w:tcBorders>
            <w:noWrap/>
            <w:vAlign w:val="bottom"/>
            <w:hideMark/>
          </w:tcPr>
          <w:p w14:paraId="7F9E9DB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8.431,00</w:t>
            </w:r>
          </w:p>
        </w:tc>
        <w:tc>
          <w:tcPr>
            <w:tcW w:w="1095" w:type="dxa"/>
            <w:tcBorders>
              <w:top w:val="single" w:sz="4" w:space="0" w:color="auto"/>
              <w:left w:val="nil"/>
              <w:bottom w:val="single" w:sz="4" w:space="0" w:color="auto"/>
              <w:right w:val="single" w:sz="4" w:space="0" w:color="auto"/>
            </w:tcBorders>
            <w:noWrap/>
            <w:vAlign w:val="bottom"/>
            <w:hideMark/>
          </w:tcPr>
          <w:p w14:paraId="03145AD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8.461,69</w:t>
            </w:r>
          </w:p>
        </w:tc>
        <w:tc>
          <w:tcPr>
            <w:tcW w:w="918" w:type="dxa"/>
            <w:tcBorders>
              <w:top w:val="single" w:sz="4" w:space="0" w:color="auto"/>
              <w:left w:val="nil"/>
              <w:bottom w:val="single" w:sz="4" w:space="0" w:color="auto"/>
              <w:right w:val="single" w:sz="4" w:space="0" w:color="auto"/>
            </w:tcBorders>
            <w:noWrap/>
            <w:vAlign w:val="bottom"/>
            <w:hideMark/>
          </w:tcPr>
          <w:p w14:paraId="3EED547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100,36%</w:t>
            </w:r>
          </w:p>
        </w:tc>
      </w:tr>
      <w:tr w:rsidR="00416D67" w:rsidRPr="00416D67" w14:paraId="3A9DE6F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A73A994" w14:textId="77777777" w:rsidR="00416D67" w:rsidRPr="00416D67" w:rsidRDefault="00416D67" w:rsidP="00416D67">
            <w:pPr>
              <w:rPr>
                <w:rFonts w:ascii="Arial" w:hAnsi="Arial" w:cs="Arial"/>
                <w:sz w:val="14"/>
                <w:szCs w:val="14"/>
              </w:rPr>
            </w:pPr>
            <w:r w:rsidRPr="00416D67">
              <w:rPr>
                <w:rFonts w:ascii="Arial" w:hAnsi="Arial" w:cs="Arial"/>
                <w:sz w:val="14"/>
                <w:szCs w:val="14"/>
              </w:rPr>
              <w:t>3234</w:t>
            </w:r>
          </w:p>
        </w:tc>
        <w:tc>
          <w:tcPr>
            <w:tcW w:w="8106" w:type="dxa"/>
            <w:tcBorders>
              <w:top w:val="single" w:sz="4" w:space="0" w:color="auto"/>
              <w:left w:val="nil"/>
              <w:bottom w:val="single" w:sz="4" w:space="0" w:color="auto"/>
              <w:right w:val="single" w:sz="4" w:space="0" w:color="auto"/>
            </w:tcBorders>
            <w:noWrap/>
            <w:vAlign w:val="bottom"/>
            <w:hideMark/>
          </w:tcPr>
          <w:p w14:paraId="023D69E9" w14:textId="77777777" w:rsidR="00416D67" w:rsidRPr="00416D67" w:rsidRDefault="00416D67" w:rsidP="00416D67">
            <w:pPr>
              <w:rPr>
                <w:rFonts w:ascii="Arial" w:hAnsi="Arial" w:cs="Arial"/>
                <w:sz w:val="14"/>
                <w:szCs w:val="14"/>
              </w:rPr>
            </w:pPr>
            <w:r w:rsidRPr="00416D67">
              <w:rPr>
                <w:rFonts w:ascii="Arial" w:hAnsi="Arial" w:cs="Arial"/>
                <w:sz w:val="14"/>
                <w:szCs w:val="14"/>
              </w:rPr>
              <w:t>Komunalne usluge</w:t>
            </w:r>
          </w:p>
        </w:tc>
        <w:tc>
          <w:tcPr>
            <w:tcW w:w="1095" w:type="dxa"/>
            <w:tcBorders>
              <w:top w:val="single" w:sz="4" w:space="0" w:color="auto"/>
              <w:left w:val="nil"/>
              <w:bottom w:val="single" w:sz="4" w:space="0" w:color="auto"/>
              <w:right w:val="single" w:sz="4" w:space="0" w:color="auto"/>
            </w:tcBorders>
            <w:noWrap/>
            <w:vAlign w:val="bottom"/>
            <w:hideMark/>
          </w:tcPr>
          <w:p w14:paraId="0914CCA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DFB5D8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F3F425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8.461,69</w:t>
            </w:r>
          </w:p>
        </w:tc>
        <w:tc>
          <w:tcPr>
            <w:tcW w:w="918" w:type="dxa"/>
            <w:tcBorders>
              <w:top w:val="single" w:sz="4" w:space="0" w:color="auto"/>
              <w:left w:val="nil"/>
              <w:bottom w:val="single" w:sz="4" w:space="0" w:color="auto"/>
              <w:right w:val="single" w:sz="4" w:space="0" w:color="auto"/>
            </w:tcBorders>
            <w:noWrap/>
            <w:vAlign w:val="bottom"/>
            <w:hideMark/>
          </w:tcPr>
          <w:p w14:paraId="28E0295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095271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6B3343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A100007</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33E7776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Održavanje čistoće javnih površina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1DB83B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65.100,00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6D58647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65.100,00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312D51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51.975,74</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3484AAB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79,84%</w:t>
            </w:r>
          </w:p>
        </w:tc>
      </w:tr>
      <w:tr w:rsidR="00416D67" w:rsidRPr="00416D67" w14:paraId="6E2E27F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509483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0243BE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65.100,00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91BB3A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65.100,00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6C9307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51.975,74</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F54402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79,84%</w:t>
            </w:r>
          </w:p>
        </w:tc>
      </w:tr>
      <w:tr w:rsidR="00416D67" w:rsidRPr="00416D67" w14:paraId="545830E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BBFAB4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4.1. Prihodi za posebne namjene komunalna naknada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31ADBE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28.800,00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871D77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28.800,00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2631DA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29.656,72</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F75C6C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102,97%</w:t>
            </w:r>
          </w:p>
        </w:tc>
      </w:tr>
      <w:tr w:rsidR="00416D67" w:rsidRPr="00416D67" w14:paraId="59C5D0E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6586ED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19A05FE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388B22A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28.800,00</w:t>
            </w:r>
          </w:p>
        </w:tc>
        <w:tc>
          <w:tcPr>
            <w:tcW w:w="1070" w:type="dxa"/>
            <w:tcBorders>
              <w:top w:val="single" w:sz="4" w:space="0" w:color="auto"/>
              <w:left w:val="nil"/>
              <w:bottom w:val="single" w:sz="4" w:space="0" w:color="auto"/>
              <w:right w:val="single" w:sz="4" w:space="0" w:color="auto"/>
            </w:tcBorders>
            <w:noWrap/>
            <w:vAlign w:val="bottom"/>
            <w:hideMark/>
          </w:tcPr>
          <w:p w14:paraId="4CBDAB2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28.800,00</w:t>
            </w:r>
          </w:p>
        </w:tc>
        <w:tc>
          <w:tcPr>
            <w:tcW w:w="1095" w:type="dxa"/>
            <w:tcBorders>
              <w:top w:val="single" w:sz="4" w:space="0" w:color="auto"/>
              <w:left w:val="nil"/>
              <w:bottom w:val="single" w:sz="4" w:space="0" w:color="auto"/>
              <w:right w:val="single" w:sz="4" w:space="0" w:color="auto"/>
            </w:tcBorders>
            <w:noWrap/>
            <w:vAlign w:val="bottom"/>
            <w:hideMark/>
          </w:tcPr>
          <w:p w14:paraId="235ABC8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29.656,72</w:t>
            </w:r>
          </w:p>
        </w:tc>
        <w:tc>
          <w:tcPr>
            <w:tcW w:w="918" w:type="dxa"/>
            <w:tcBorders>
              <w:top w:val="single" w:sz="4" w:space="0" w:color="auto"/>
              <w:left w:val="nil"/>
              <w:bottom w:val="single" w:sz="4" w:space="0" w:color="auto"/>
              <w:right w:val="single" w:sz="4" w:space="0" w:color="auto"/>
            </w:tcBorders>
            <w:noWrap/>
            <w:vAlign w:val="bottom"/>
            <w:hideMark/>
          </w:tcPr>
          <w:p w14:paraId="6AFF289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102,97%</w:t>
            </w:r>
          </w:p>
        </w:tc>
      </w:tr>
      <w:tr w:rsidR="00416D67" w:rsidRPr="00416D67" w14:paraId="418600B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4EBD482" w14:textId="77777777" w:rsidR="00416D67" w:rsidRPr="00416D67" w:rsidRDefault="00416D67" w:rsidP="00416D67">
            <w:pPr>
              <w:rPr>
                <w:rFonts w:ascii="Arial" w:hAnsi="Arial" w:cs="Arial"/>
                <w:sz w:val="14"/>
                <w:szCs w:val="14"/>
              </w:rPr>
            </w:pPr>
            <w:r w:rsidRPr="00416D67">
              <w:rPr>
                <w:rFonts w:ascii="Arial" w:hAnsi="Arial" w:cs="Arial"/>
                <w:sz w:val="14"/>
                <w:szCs w:val="14"/>
              </w:rPr>
              <w:t>3234</w:t>
            </w:r>
          </w:p>
        </w:tc>
        <w:tc>
          <w:tcPr>
            <w:tcW w:w="8106" w:type="dxa"/>
            <w:tcBorders>
              <w:top w:val="single" w:sz="4" w:space="0" w:color="auto"/>
              <w:left w:val="nil"/>
              <w:bottom w:val="single" w:sz="4" w:space="0" w:color="auto"/>
              <w:right w:val="single" w:sz="4" w:space="0" w:color="auto"/>
            </w:tcBorders>
            <w:noWrap/>
            <w:vAlign w:val="bottom"/>
            <w:hideMark/>
          </w:tcPr>
          <w:p w14:paraId="3644479C" w14:textId="77777777" w:rsidR="00416D67" w:rsidRPr="00416D67" w:rsidRDefault="00416D67" w:rsidP="00416D67">
            <w:pPr>
              <w:rPr>
                <w:rFonts w:ascii="Arial" w:hAnsi="Arial" w:cs="Arial"/>
                <w:sz w:val="14"/>
                <w:szCs w:val="14"/>
              </w:rPr>
            </w:pPr>
            <w:r w:rsidRPr="00416D67">
              <w:rPr>
                <w:rFonts w:ascii="Arial" w:hAnsi="Arial" w:cs="Arial"/>
                <w:sz w:val="14"/>
                <w:szCs w:val="14"/>
              </w:rPr>
              <w:t>Komunalne usluge</w:t>
            </w:r>
          </w:p>
        </w:tc>
        <w:tc>
          <w:tcPr>
            <w:tcW w:w="1095" w:type="dxa"/>
            <w:tcBorders>
              <w:top w:val="single" w:sz="4" w:space="0" w:color="auto"/>
              <w:left w:val="nil"/>
              <w:bottom w:val="single" w:sz="4" w:space="0" w:color="auto"/>
              <w:right w:val="single" w:sz="4" w:space="0" w:color="auto"/>
            </w:tcBorders>
            <w:noWrap/>
            <w:vAlign w:val="bottom"/>
            <w:hideMark/>
          </w:tcPr>
          <w:p w14:paraId="747BF0F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1D8A7B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FA641A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29.656,72</w:t>
            </w:r>
          </w:p>
        </w:tc>
        <w:tc>
          <w:tcPr>
            <w:tcW w:w="918" w:type="dxa"/>
            <w:tcBorders>
              <w:top w:val="single" w:sz="4" w:space="0" w:color="auto"/>
              <w:left w:val="nil"/>
              <w:bottom w:val="single" w:sz="4" w:space="0" w:color="auto"/>
              <w:right w:val="single" w:sz="4" w:space="0" w:color="auto"/>
            </w:tcBorders>
            <w:noWrap/>
            <w:vAlign w:val="bottom"/>
            <w:hideMark/>
          </w:tcPr>
          <w:p w14:paraId="2832D79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8B9233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CD566A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4.3.1 Turistička  pristojba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1D02B8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36.300,00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A2199A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36.300,00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60F7DF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22.319,02</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B5F793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61,48%</w:t>
            </w:r>
          </w:p>
        </w:tc>
      </w:tr>
      <w:tr w:rsidR="00416D67" w:rsidRPr="00416D67" w14:paraId="00EC919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187F94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5872D08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47B71D5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36.300,00</w:t>
            </w:r>
          </w:p>
        </w:tc>
        <w:tc>
          <w:tcPr>
            <w:tcW w:w="1070" w:type="dxa"/>
            <w:tcBorders>
              <w:top w:val="single" w:sz="4" w:space="0" w:color="auto"/>
              <w:left w:val="nil"/>
              <w:bottom w:val="single" w:sz="4" w:space="0" w:color="auto"/>
              <w:right w:val="single" w:sz="4" w:space="0" w:color="auto"/>
            </w:tcBorders>
            <w:noWrap/>
            <w:vAlign w:val="bottom"/>
            <w:hideMark/>
          </w:tcPr>
          <w:p w14:paraId="56EE7F4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36.300,00</w:t>
            </w:r>
          </w:p>
        </w:tc>
        <w:tc>
          <w:tcPr>
            <w:tcW w:w="1095" w:type="dxa"/>
            <w:tcBorders>
              <w:top w:val="single" w:sz="4" w:space="0" w:color="auto"/>
              <w:left w:val="nil"/>
              <w:bottom w:val="single" w:sz="4" w:space="0" w:color="auto"/>
              <w:right w:val="single" w:sz="4" w:space="0" w:color="auto"/>
            </w:tcBorders>
            <w:noWrap/>
            <w:vAlign w:val="bottom"/>
            <w:hideMark/>
          </w:tcPr>
          <w:p w14:paraId="1695C8B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22.319,02</w:t>
            </w:r>
          </w:p>
        </w:tc>
        <w:tc>
          <w:tcPr>
            <w:tcW w:w="918" w:type="dxa"/>
            <w:tcBorders>
              <w:top w:val="single" w:sz="4" w:space="0" w:color="auto"/>
              <w:left w:val="nil"/>
              <w:bottom w:val="single" w:sz="4" w:space="0" w:color="auto"/>
              <w:right w:val="single" w:sz="4" w:space="0" w:color="auto"/>
            </w:tcBorders>
            <w:noWrap/>
            <w:vAlign w:val="bottom"/>
            <w:hideMark/>
          </w:tcPr>
          <w:p w14:paraId="0B42135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61,48%</w:t>
            </w:r>
          </w:p>
        </w:tc>
      </w:tr>
      <w:tr w:rsidR="00416D67" w:rsidRPr="00416D67" w14:paraId="31AA345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E998B3F" w14:textId="77777777" w:rsidR="00416D67" w:rsidRPr="00416D67" w:rsidRDefault="00416D67" w:rsidP="00416D67">
            <w:pPr>
              <w:rPr>
                <w:rFonts w:ascii="Arial" w:hAnsi="Arial" w:cs="Arial"/>
                <w:sz w:val="14"/>
                <w:szCs w:val="14"/>
              </w:rPr>
            </w:pPr>
            <w:r w:rsidRPr="00416D67">
              <w:rPr>
                <w:rFonts w:ascii="Arial" w:hAnsi="Arial" w:cs="Arial"/>
                <w:sz w:val="14"/>
                <w:szCs w:val="14"/>
              </w:rPr>
              <w:t>3234</w:t>
            </w:r>
          </w:p>
        </w:tc>
        <w:tc>
          <w:tcPr>
            <w:tcW w:w="8106" w:type="dxa"/>
            <w:tcBorders>
              <w:top w:val="single" w:sz="4" w:space="0" w:color="auto"/>
              <w:left w:val="nil"/>
              <w:bottom w:val="single" w:sz="4" w:space="0" w:color="auto"/>
              <w:right w:val="single" w:sz="4" w:space="0" w:color="auto"/>
            </w:tcBorders>
            <w:noWrap/>
            <w:vAlign w:val="bottom"/>
            <w:hideMark/>
          </w:tcPr>
          <w:p w14:paraId="337FB75F" w14:textId="77777777" w:rsidR="00416D67" w:rsidRPr="00416D67" w:rsidRDefault="00416D67" w:rsidP="00416D67">
            <w:pPr>
              <w:rPr>
                <w:rFonts w:ascii="Arial" w:hAnsi="Arial" w:cs="Arial"/>
                <w:sz w:val="14"/>
                <w:szCs w:val="14"/>
              </w:rPr>
            </w:pPr>
            <w:r w:rsidRPr="00416D67">
              <w:rPr>
                <w:rFonts w:ascii="Arial" w:hAnsi="Arial" w:cs="Arial"/>
                <w:sz w:val="14"/>
                <w:szCs w:val="14"/>
              </w:rPr>
              <w:t>Komunalne usluge</w:t>
            </w:r>
          </w:p>
        </w:tc>
        <w:tc>
          <w:tcPr>
            <w:tcW w:w="1095" w:type="dxa"/>
            <w:tcBorders>
              <w:top w:val="single" w:sz="4" w:space="0" w:color="auto"/>
              <w:left w:val="nil"/>
              <w:bottom w:val="single" w:sz="4" w:space="0" w:color="auto"/>
              <w:right w:val="single" w:sz="4" w:space="0" w:color="auto"/>
            </w:tcBorders>
            <w:noWrap/>
            <w:vAlign w:val="bottom"/>
            <w:hideMark/>
          </w:tcPr>
          <w:p w14:paraId="45AA816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93426D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0C338B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22.319,02</w:t>
            </w:r>
          </w:p>
        </w:tc>
        <w:tc>
          <w:tcPr>
            <w:tcW w:w="918" w:type="dxa"/>
            <w:tcBorders>
              <w:top w:val="single" w:sz="4" w:space="0" w:color="auto"/>
              <w:left w:val="nil"/>
              <w:bottom w:val="single" w:sz="4" w:space="0" w:color="auto"/>
              <w:right w:val="single" w:sz="4" w:space="0" w:color="auto"/>
            </w:tcBorders>
            <w:noWrap/>
            <w:vAlign w:val="bottom"/>
            <w:hideMark/>
          </w:tcPr>
          <w:p w14:paraId="7C645F5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BBA5D8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9A5EBC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lastRenderedPageBreak/>
              <w:t>A100009</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1D522D4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Utrošak javne rasvjete</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49F87F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43.000,00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272F9E5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43.000,00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8D95AD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42.083,56</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758007D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97,87%</w:t>
            </w:r>
          </w:p>
        </w:tc>
      </w:tr>
      <w:tr w:rsidR="00416D67" w:rsidRPr="00416D67" w14:paraId="28E94BD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7A2354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4E35BC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43.000,00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143EF5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43.000,00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64138C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42.083,56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F2C7DF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97,87%</w:t>
            </w:r>
          </w:p>
        </w:tc>
      </w:tr>
      <w:tr w:rsidR="00416D67" w:rsidRPr="00416D67" w14:paraId="5D78175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90E57A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645B3D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43.000,00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B119AA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43.000,00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D668DB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42.083,56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257CD9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97,87%</w:t>
            </w:r>
          </w:p>
        </w:tc>
      </w:tr>
      <w:tr w:rsidR="00416D67" w:rsidRPr="00416D67" w14:paraId="2D7D7B9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3234DF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5C742C1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6FCC633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43.000,00</w:t>
            </w:r>
          </w:p>
        </w:tc>
        <w:tc>
          <w:tcPr>
            <w:tcW w:w="1070" w:type="dxa"/>
            <w:tcBorders>
              <w:top w:val="single" w:sz="4" w:space="0" w:color="auto"/>
              <w:left w:val="nil"/>
              <w:bottom w:val="single" w:sz="4" w:space="0" w:color="auto"/>
              <w:right w:val="single" w:sz="4" w:space="0" w:color="auto"/>
            </w:tcBorders>
            <w:noWrap/>
            <w:vAlign w:val="bottom"/>
            <w:hideMark/>
          </w:tcPr>
          <w:p w14:paraId="0F08292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43.000,00</w:t>
            </w:r>
          </w:p>
        </w:tc>
        <w:tc>
          <w:tcPr>
            <w:tcW w:w="1095" w:type="dxa"/>
            <w:tcBorders>
              <w:top w:val="single" w:sz="4" w:space="0" w:color="auto"/>
              <w:left w:val="nil"/>
              <w:bottom w:val="single" w:sz="4" w:space="0" w:color="auto"/>
              <w:right w:val="single" w:sz="4" w:space="0" w:color="auto"/>
            </w:tcBorders>
            <w:noWrap/>
            <w:vAlign w:val="bottom"/>
            <w:hideMark/>
          </w:tcPr>
          <w:p w14:paraId="471F78B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42.083,56</w:t>
            </w:r>
          </w:p>
        </w:tc>
        <w:tc>
          <w:tcPr>
            <w:tcW w:w="918" w:type="dxa"/>
            <w:tcBorders>
              <w:top w:val="single" w:sz="4" w:space="0" w:color="auto"/>
              <w:left w:val="nil"/>
              <w:bottom w:val="single" w:sz="4" w:space="0" w:color="auto"/>
              <w:right w:val="single" w:sz="4" w:space="0" w:color="auto"/>
            </w:tcBorders>
            <w:noWrap/>
            <w:vAlign w:val="bottom"/>
            <w:hideMark/>
          </w:tcPr>
          <w:p w14:paraId="1D67ADA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97,87%</w:t>
            </w:r>
          </w:p>
        </w:tc>
      </w:tr>
      <w:tr w:rsidR="00416D67" w:rsidRPr="00416D67" w14:paraId="025C8D0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1FC2CB9" w14:textId="77777777" w:rsidR="00416D67" w:rsidRPr="00416D67" w:rsidRDefault="00416D67" w:rsidP="00416D67">
            <w:pPr>
              <w:rPr>
                <w:rFonts w:ascii="Arial" w:hAnsi="Arial" w:cs="Arial"/>
                <w:sz w:val="14"/>
                <w:szCs w:val="14"/>
              </w:rPr>
            </w:pPr>
            <w:r w:rsidRPr="00416D67">
              <w:rPr>
                <w:rFonts w:ascii="Arial" w:hAnsi="Arial" w:cs="Arial"/>
                <w:sz w:val="14"/>
                <w:szCs w:val="14"/>
              </w:rPr>
              <w:t>3223</w:t>
            </w:r>
          </w:p>
        </w:tc>
        <w:tc>
          <w:tcPr>
            <w:tcW w:w="8106" w:type="dxa"/>
            <w:tcBorders>
              <w:top w:val="single" w:sz="4" w:space="0" w:color="auto"/>
              <w:left w:val="nil"/>
              <w:bottom w:val="single" w:sz="4" w:space="0" w:color="auto"/>
              <w:right w:val="single" w:sz="4" w:space="0" w:color="auto"/>
            </w:tcBorders>
            <w:noWrap/>
            <w:vAlign w:val="bottom"/>
            <w:hideMark/>
          </w:tcPr>
          <w:p w14:paraId="024C8443" w14:textId="77777777" w:rsidR="00416D67" w:rsidRPr="00416D67" w:rsidRDefault="00416D67" w:rsidP="00416D67">
            <w:pPr>
              <w:rPr>
                <w:rFonts w:ascii="Arial" w:hAnsi="Arial" w:cs="Arial"/>
                <w:sz w:val="14"/>
                <w:szCs w:val="14"/>
              </w:rPr>
            </w:pPr>
            <w:r w:rsidRPr="00416D67">
              <w:rPr>
                <w:rFonts w:ascii="Arial" w:hAnsi="Arial" w:cs="Arial"/>
                <w:sz w:val="14"/>
                <w:szCs w:val="14"/>
              </w:rPr>
              <w:t>Energija</w:t>
            </w:r>
          </w:p>
        </w:tc>
        <w:tc>
          <w:tcPr>
            <w:tcW w:w="1095" w:type="dxa"/>
            <w:tcBorders>
              <w:top w:val="single" w:sz="4" w:space="0" w:color="auto"/>
              <w:left w:val="nil"/>
              <w:bottom w:val="single" w:sz="4" w:space="0" w:color="auto"/>
              <w:right w:val="single" w:sz="4" w:space="0" w:color="auto"/>
            </w:tcBorders>
            <w:noWrap/>
            <w:vAlign w:val="bottom"/>
            <w:hideMark/>
          </w:tcPr>
          <w:p w14:paraId="4C7AA3A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7E5290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D6460A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42.083,56</w:t>
            </w:r>
          </w:p>
        </w:tc>
        <w:tc>
          <w:tcPr>
            <w:tcW w:w="918" w:type="dxa"/>
            <w:tcBorders>
              <w:top w:val="single" w:sz="4" w:space="0" w:color="auto"/>
              <w:left w:val="nil"/>
              <w:bottom w:val="single" w:sz="4" w:space="0" w:color="auto"/>
              <w:right w:val="single" w:sz="4" w:space="0" w:color="auto"/>
            </w:tcBorders>
            <w:noWrap/>
            <w:vAlign w:val="bottom"/>
            <w:hideMark/>
          </w:tcPr>
          <w:p w14:paraId="1EDC3EA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A822CD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39AD86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A100011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566D9EB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Održavanje javne rasvjete</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66FEB5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4EA530C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23.400,00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24DA5B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23.407,58</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67DAA89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100,03%</w:t>
            </w:r>
          </w:p>
        </w:tc>
      </w:tr>
      <w:tr w:rsidR="00416D67" w:rsidRPr="00416D67" w14:paraId="43A48AD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EFE8C8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6628DE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DEBD0C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23.400,00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AB5630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23.407,58</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BA492E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100,03%</w:t>
            </w:r>
          </w:p>
        </w:tc>
      </w:tr>
      <w:tr w:rsidR="00416D67" w:rsidRPr="00416D67" w14:paraId="1EEA26F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A6E9181"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ED0B4F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7BB3CE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23.400,00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51D17B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23.407,58</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8242D4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100,03%</w:t>
            </w:r>
          </w:p>
        </w:tc>
      </w:tr>
      <w:tr w:rsidR="00416D67" w:rsidRPr="00416D67" w14:paraId="1C13A49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7E54BF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529FF6B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5DC9400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20.000,00</w:t>
            </w:r>
          </w:p>
        </w:tc>
        <w:tc>
          <w:tcPr>
            <w:tcW w:w="1070" w:type="dxa"/>
            <w:tcBorders>
              <w:top w:val="single" w:sz="4" w:space="0" w:color="auto"/>
              <w:left w:val="nil"/>
              <w:bottom w:val="single" w:sz="4" w:space="0" w:color="auto"/>
              <w:right w:val="single" w:sz="4" w:space="0" w:color="auto"/>
            </w:tcBorders>
            <w:noWrap/>
            <w:vAlign w:val="bottom"/>
            <w:hideMark/>
          </w:tcPr>
          <w:p w14:paraId="0CA9E2B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23.400,00</w:t>
            </w:r>
          </w:p>
        </w:tc>
        <w:tc>
          <w:tcPr>
            <w:tcW w:w="1095" w:type="dxa"/>
            <w:tcBorders>
              <w:top w:val="single" w:sz="4" w:space="0" w:color="auto"/>
              <w:left w:val="nil"/>
              <w:bottom w:val="single" w:sz="4" w:space="0" w:color="auto"/>
              <w:right w:val="single" w:sz="4" w:space="0" w:color="auto"/>
            </w:tcBorders>
            <w:noWrap/>
            <w:vAlign w:val="bottom"/>
            <w:hideMark/>
          </w:tcPr>
          <w:p w14:paraId="6C6BA40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23.407,58</w:t>
            </w:r>
          </w:p>
        </w:tc>
        <w:tc>
          <w:tcPr>
            <w:tcW w:w="918" w:type="dxa"/>
            <w:tcBorders>
              <w:top w:val="single" w:sz="4" w:space="0" w:color="auto"/>
              <w:left w:val="nil"/>
              <w:bottom w:val="single" w:sz="4" w:space="0" w:color="auto"/>
              <w:right w:val="single" w:sz="4" w:space="0" w:color="auto"/>
            </w:tcBorders>
            <w:noWrap/>
            <w:vAlign w:val="bottom"/>
            <w:hideMark/>
          </w:tcPr>
          <w:p w14:paraId="7881868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100,03%</w:t>
            </w:r>
          </w:p>
        </w:tc>
      </w:tr>
      <w:tr w:rsidR="00416D67" w:rsidRPr="00416D67" w14:paraId="25B3EE9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89D2452" w14:textId="77777777" w:rsidR="00416D67" w:rsidRPr="00416D67" w:rsidRDefault="00416D67" w:rsidP="00416D67">
            <w:pPr>
              <w:rPr>
                <w:rFonts w:ascii="Arial" w:hAnsi="Arial" w:cs="Arial"/>
                <w:sz w:val="14"/>
                <w:szCs w:val="14"/>
              </w:rPr>
            </w:pPr>
            <w:r w:rsidRPr="00416D67">
              <w:rPr>
                <w:rFonts w:ascii="Arial" w:hAnsi="Arial" w:cs="Arial"/>
                <w:sz w:val="14"/>
                <w:szCs w:val="14"/>
              </w:rPr>
              <w:t>3232</w:t>
            </w:r>
          </w:p>
        </w:tc>
        <w:tc>
          <w:tcPr>
            <w:tcW w:w="8106" w:type="dxa"/>
            <w:tcBorders>
              <w:top w:val="single" w:sz="4" w:space="0" w:color="auto"/>
              <w:left w:val="nil"/>
              <w:bottom w:val="single" w:sz="4" w:space="0" w:color="auto"/>
              <w:right w:val="single" w:sz="4" w:space="0" w:color="auto"/>
            </w:tcBorders>
            <w:noWrap/>
            <w:vAlign w:val="bottom"/>
            <w:hideMark/>
          </w:tcPr>
          <w:p w14:paraId="7F8728DD" w14:textId="77777777" w:rsidR="00416D67" w:rsidRPr="00416D67" w:rsidRDefault="00416D67" w:rsidP="00416D67">
            <w:pPr>
              <w:rPr>
                <w:rFonts w:ascii="Arial" w:hAnsi="Arial" w:cs="Arial"/>
                <w:sz w:val="14"/>
                <w:szCs w:val="14"/>
              </w:rPr>
            </w:pPr>
            <w:r w:rsidRPr="00416D67">
              <w:rPr>
                <w:rFonts w:ascii="Arial" w:hAnsi="Arial" w:cs="Arial"/>
                <w:sz w:val="14"/>
                <w:szCs w:val="14"/>
              </w:rPr>
              <w:t>Usluge tekućeg i investicijskog  održavanja</w:t>
            </w:r>
          </w:p>
        </w:tc>
        <w:tc>
          <w:tcPr>
            <w:tcW w:w="1095" w:type="dxa"/>
            <w:tcBorders>
              <w:top w:val="single" w:sz="4" w:space="0" w:color="auto"/>
              <w:left w:val="nil"/>
              <w:bottom w:val="single" w:sz="4" w:space="0" w:color="auto"/>
              <w:right w:val="single" w:sz="4" w:space="0" w:color="auto"/>
            </w:tcBorders>
            <w:noWrap/>
            <w:vAlign w:val="bottom"/>
            <w:hideMark/>
          </w:tcPr>
          <w:p w14:paraId="7F37A6A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5009AE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34341B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23.407,58</w:t>
            </w:r>
          </w:p>
        </w:tc>
        <w:tc>
          <w:tcPr>
            <w:tcW w:w="918" w:type="dxa"/>
            <w:tcBorders>
              <w:top w:val="single" w:sz="4" w:space="0" w:color="auto"/>
              <w:left w:val="nil"/>
              <w:bottom w:val="single" w:sz="4" w:space="0" w:color="auto"/>
              <w:right w:val="single" w:sz="4" w:space="0" w:color="auto"/>
            </w:tcBorders>
            <w:noWrap/>
            <w:vAlign w:val="bottom"/>
            <w:hideMark/>
          </w:tcPr>
          <w:p w14:paraId="563E0E3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3B1D0C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2D4901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A100012</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2FA9750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Održavanje javnih parkirališta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2FBC59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2.700,00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5FD740B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2.700,00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FDA7BA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2.566,26</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5BC79BD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95,05%</w:t>
            </w:r>
          </w:p>
        </w:tc>
      </w:tr>
      <w:tr w:rsidR="00416D67" w:rsidRPr="00416D67" w14:paraId="34C8F6D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7A36E6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3. Vlastiti prihodi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3CF7F3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1.230,00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A516A3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1.230,00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064305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1.260,00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E9E950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102,44%</w:t>
            </w:r>
          </w:p>
        </w:tc>
      </w:tr>
      <w:tr w:rsidR="00416D67" w:rsidRPr="00416D67" w14:paraId="5E572E5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CB2EEF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3.1. 03 Vlastiti prihodi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785AD6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1.230,00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E59388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1.230,00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FDB830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1.260,00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33E0BC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102,44%</w:t>
            </w:r>
          </w:p>
        </w:tc>
      </w:tr>
      <w:tr w:rsidR="00416D67" w:rsidRPr="00416D67" w14:paraId="5A52022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199469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00354B2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178FB65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1.230,00</w:t>
            </w:r>
          </w:p>
        </w:tc>
        <w:tc>
          <w:tcPr>
            <w:tcW w:w="1070" w:type="dxa"/>
            <w:tcBorders>
              <w:top w:val="single" w:sz="4" w:space="0" w:color="auto"/>
              <w:left w:val="nil"/>
              <w:bottom w:val="single" w:sz="4" w:space="0" w:color="auto"/>
              <w:right w:val="single" w:sz="4" w:space="0" w:color="auto"/>
            </w:tcBorders>
            <w:noWrap/>
            <w:vAlign w:val="bottom"/>
            <w:hideMark/>
          </w:tcPr>
          <w:p w14:paraId="7F51CA9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1.230,00</w:t>
            </w:r>
          </w:p>
        </w:tc>
        <w:tc>
          <w:tcPr>
            <w:tcW w:w="1095" w:type="dxa"/>
            <w:tcBorders>
              <w:top w:val="single" w:sz="4" w:space="0" w:color="auto"/>
              <w:left w:val="nil"/>
              <w:bottom w:val="single" w:sz="4" w:space="0" w:color="auto"/>
              <w:right w:val="single" w:sz="4" w:space="0" w:color="auto"/>
            </w:tcBorders>
            <w:noWrap/>
            <w:vAlign w:val="bottom"/>
            <w:hideMark/>
          </w:tcPr>
          <w:p w14:paraId="7FD50B0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1.260,00</w:t>
            </w:r>
          </w:p>
        </w:tc>
        <w:tc>
          <w:tcPr>
            <w:tcW w:w="918" w:type="dxa"/>
            <w:tcBorders>
              <w:top w:val="single" w:sz="4" w:space="0" w:color="auto"/>
              <w:left w:val="nil"/>
              <w:bottom w:val="single" w:sz="4" w:space="0" w:color="auto"/>
              <w:right w:val="single" w:sz="4" w:space="0" w:color="auto"/>
            </w:tcBorders>
            <w:noWrap/>
            <w:vAlign w:val="bottom"/>
            <w:hideMark/>
          </w:tcPr>
          <w:p w14:paraId="2B14DC3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102,44%</w:t>
            </w:r>
          </w:p>
        </w:tc>
      </w:tr>
      <w:tr w:rsidR="00416D67" w:rsidRPr="00416D67" w14:paraId="7395E0A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7286A08" w14:textId="77777777" w:rsidR="00416D67" w:rsidRPr="00416D67" w:rsidRDefault="00416D67" w:rsidP="00416D67">
            <w:pPr>
              <w:rPr>
                <w:rFonts w:ascii="Arial" w:hAnsi="Arial" w:cs="Arial"/>
                <w:sz w:val="14"/>
                <w:szCs w:val="14"/>
              </w:rPr>
            </w:pPr>
            <w:r w:rsidRPr="00416D67">
              <w:rPr>
                <w:rFonts w:ascii="Arial" w:hAnsi="Arial" w:cs="Arial"/>
                <w:sz w:val="14"/>
                <w:szCs w:val="14"/>
              </w:rPr>
              <w:t>3234</w:t>
            </w:r>
          </w:p>
        </w:tc>
        <w:tc>
          <w:tcPr>
            <w:tcW w:w="8106" w:type="dxa"/>
            <w:tcBorders>
              <w:top w:val="single" w:sz="4" w:space="0" w:color="auto"/>
              <w:left w:val="nil"/>
              <w:bottom w:val="single" w:sz="4" w:space="0" w:color="auto"/>
              <w:right w:val="single" w:sz="4" w:space="0" w:color="auto"/>
            </w:tcBorders>
            <w:noWrap/>
            <w:vAlign w:val="bottom"/>
            <w:hideMark/>
          </w:tcPr>
          <w:p w14:paraId="047877AC" w14:textId="77777777" w:rsidR="00416D67" w:rsidRPr="00416D67" w:rsidRDefault="00416D67" w:rsidP="00416D67">
            <w:pPr>
              <w:rPr>
                <w:rFonts w:ascii="Arial" w:hAnsi="Arial" w:cs="Arial"/>
                <w:sz w:val="14"/>
                <w:szCs w:val="14"/>
              </w:rPr>
            </w:pPr>
            <w:r w:rsidRPr="00416D67">
              <w:rPr>
                <w:rFonts w:ascii="Arial" w:hAnsi="Arial" w:cs="Arial"/>
                <w:sz w:val="14"/>
                <w:szCs w:val="14"/>
              </w:rPr>
              <w:t>Komunalne usluge</w:t>
            </w:r>
          </w:p>
        </w:tc>
        <w:tc>
          <w:tcPr>
            <w:tcW w:w="1095" w:type="dxa"/>
            <w:tcBorders>
              <w:top w:val="single" w:sz="4" w:space="0" w:color="auto"/>
              <w:left w:val="nil"/>
              <w:bottom w:val="single" w:sz="4" w:space="0" w:color="auto"/>
              <w:right w:val="single" w:sz="4" w:space="0" w:color="auto"/>
            </w:tcBorders>
            <w:noWrap/>
            <w:vAlign w:val="bottom"/>
            <w:hideMark/>
          </w:tcPr>
          <w:p w14:paraId="1C93AEE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8A93D8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FA9BEE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1.260,00</w:t>
            </w:r>
          </w:p>
        </w:tc>
        <w:tc>
          <w:tcPr>
            <w:tcW w:w="918" w:type="dxa"/>
            <w:tcBorders>
              <w:top w:val="single" w:sz="4" w:space="0" w:color="auto"/>
              <w:left w:val="nil"/>
              <w:bottom w:val="single" w:sz="4" w:space="0" w:color="auto"/>
              <w:right w:val="single" w:sz="4" w:space="0" w:color="auto"/>
            </w:tcBorders>
            <w:noWrap/>
            <w:vAlign w:val="bottom"/>
            <w:hideMark/>
          </w:tcPr>
          <w:p w14:paraId="6E0C93F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63C396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7D7F97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38A879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1.470,00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47FEC7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1.470,00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A9F77C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1.306,26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2C40D3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88,86%</w:t>
            </w:r>
          </w:p>
        </w:tc>
      </w:tr>
      <w:tr w:rsidR="00416D67" w:rsidRPr="00416D67" w14:paraId="2396E46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F73A56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4.1. Prihodi za posebne namjene komunalna naknada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29DFB1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1.470,00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1B7BAC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1.470,00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084B74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1.306,26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E7758C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88,86%</w:t>
            </w:r>
          </w:p>
        </w:tc>
      </w:tr>
      <w:tr w:rsidR="00416D67" w:rsidRPr="00416D67" w14:paraId="2B7F4B1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EC4154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7371664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606D02F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1.470,00</w:t>
            </w:r>
          </w:p>
        </w:tc>
        <w:tc>
          <w:tcPr>
            <w:tcW w:w="1070" w:type="dxa"/>
            <w:tcBorders>
              <w:top w:val="single" w:sz="4" w:space="0" w:color="auto"/>
              <w:left w:val="nil"/>
              <w:bottom w:val="single" w:sz="4" w:space="0" w:color="auto"/>
              <w:right w:val="single" w:sz="4" w:space="0" w:color="auto"/>
            </w:tcBorders>
            <w:noWrap/>
            <w:vAlign w:val="bottom"/>
            <w:hideMark/>
          </w:tcPr>
          <w:p w14:paraId="5117837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1.470,00</w:t>
            </w:r>
          </w:p>
        </w:tc>
        <w:tc>
          <w:tcPr>
            <w:tcW w:w="1095" w:type="dxa"/>
            <w:tcBorders>
              <w:top w:val="single" w:sz="4" w:space="0" w:color="auto"/>
              <w:left w:val="nil"/>
              <w:bottom w:val="single" w:sz="4" w:space="0" w:color="auto"/>
              <w:right w:val="single" w:sz="4" w:space="0" w:color="auto"/>
            </w:tcBorders>
            <w:noWrap/>
            <w:vAlign w:val="bottom"/>
            <w:hideMark/>
          </w:tcPr>
          <w:p w14:paraId="0E1C306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1.306,26</w:t>
            </w:r>
          </w:p>
        </w:tc>
        <w:tc>
          <w:tcPr>
            <w:tcW w:w="918" w:type="dxa"/>
            <w:tcBorders>
              <w:top w:val="single" w:sz="4" w:space="0" w:color="auto"/>
              <w:left w:val="nil"/>
              <w:bottom w:val="single" w:sz="4" w:space="0" w:color="auto"/>
              <w:right w:val="single" w:sz="4" w:space="0" w:color="auto"/>
            </w:tcBorders>
            <w:noWrap/>
            <w:vAlign w:val="bottom"/>
            <w:hideMark/>
          </w:tcPr>
          <w:p w14:paraId="6A787DC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88,86%</w:t>
            </w:r>
          </w:p>
        </w:tc>
      </w:tr>
      <w:tr w:rsidR="00416D67" w:rsidRPr="00416D67" w14:paraId="571EDE1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D715400" w14:textId="77777777" w:rsidR="00416D67" w:rsidRPr="00416D67" w:rsidRDefault="00416D67" w:rsidP="00416D67">
            <w:pPr>
              <w:rPr>
                <w:rFonts w:ascii="Arial" w:hAnsi="Arial" w:cs="Arial"/>
                <w:sz w:val="14"/>
                <w:szCs w:val="14"/>
              </w:rPr>
            </w:pPr>
            <w:r w:rsidRPr="00416D67">
              <w:rPr>
                <w:rFonts w:ascii="Arial" w:hAnsi="Arial" w:cs="Arial"/>
                <w:sz w:val="14"/>
                <w:szCs w:val="14"/>
              </w:rPr>
              <w:t>3234</w:t>
            </w:r>
          </w:p>
        </w:tc>
        <w:tc>
          <w:tcPr>
            <w:tcW w:w="8106" w:type="dxa"/>
            <w:tcBorders>
              <w:top w:val="single" w:sz="4" w:space="0" w:color="auto"/>
              <w:left w:val="nil"/>
              <w:bottom w:val="single" w:sz="4" w:space="0" w:color="auto"/>
              <w:right w:val="single" w:sz="4" w:space="0" w:color="auto"/>
            </w:tcBorders>
            <w:noWrap/>
            <w:vAlign w:val="bottom"/>
            <w:hideMark/>
          </w:tcPr>
          <w:p w14:paraId="0FB0743F" w14:textId="77777777" w:rsidR="00416D67" w:rsidRPr="00416D67" w:rsidRDefault="00416D67" w:rsidP="00416D67">
            <w:pPr>
              <w:rPr>
                <w:rFonts w:ascii="Arial" w:hAnsi="Arial" w:cs="Arial"/>
                <w:sz w:val="14"/>
                <w:szCs w:val="14"/>
              </w:rPr>
            </w:pPr>
            <w:r w:rsidRPr="00416D67">
              <w:rPr>
                <w:rFonts w:ascii="Arial" w:hAnsi="Arial" w:cs="Arial"/>
                <w:sz w:val="14"/>
                <w:szCs w:val="14"/>
              </w:rPr>
              <w:t>Komunalne usluge</w:t>
            </w:r>
          </w:p>
        </w:tc>
        <w:tc>
          <w:tcPr>
            <w:tcW w:w="1095" w:type="dxa"/>
            <w:tcBorders>
              <w:top w:val="single" w:sz="4" w:space="0" w:color="auto"/>
              <w:left w:val="nil"/>
              <w:bottom w:val="single" w:sz="4" w:space="0" w:color="auto"/>
              <w:right w:val="single" w:sz="4" w:space="0" w:color="auto"/>
            </w:tcBorders>
            <w:noWrap/>
            <w:vAlign w:val="bottom"/>
            <w:hideMark/>
          </w:tcPr>
          <w:p w14:paraId="7F684C1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F3CA2F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445B56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1.306,26</w:t>
            </w:r>
          </w:p>
        </w:tc>
        <w:tc>
          <w:tcPr>
            <w:tcW w:w="918" w:type="dxa"/>
            <w:tcBorders>
              <w:top w:val="single" w:sz="4" w:space="0" w:color="auto"/>
              <w:left w:val="nil"/>
              <w:bottom w:val="single" w:sz="4" w:space="0" w:color="auto"/>
              <w:right w:val="single" w:sz="4" w:space="0" w:color="auto"/>
            </w:tcBorders>
            <w:noWrap/>
            <w:vAlign w:val="bottom"/>
            <w:hideMark/>
          </w:tcPr>
          <w:p w14:paraId="714DF78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F6B81D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63A508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A100013</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162F10E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Održavanje javnih nekomercijalnih plaža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6A9001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39.500,00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3C74F10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39.500,00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D4EA93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38.319,38</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7DBEE53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97,01%</w:t>
            </w:r>
          </w:p>
        </w:tc>
      </w:tr>
      <w:tr w:rsidR="00416D67" w:rsidRPr="00416D67" w14:paraId="3D600DD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A5FC98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7C3060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39.500,00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FCB073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39.500,00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ADFDC0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38.319,38</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9091B1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97,01%</w:t>
            </w:r>
          </w:p>
        </w:tc>
      </w:tr>
      <w:tr w:rsidR="00416D67" w:rsidRPr="00416D67" w14:paraId="1CFAE4DC"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8FF4FC4"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4.1. Prihodi za posebne namjene komunalna naknada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5A3CC3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7DD8AA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91C34F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10.789,89</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A2949A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93,83%</w:t>
            </w:r>
          </w:p>
        </w:tc>
      </w:tr>
      <w:tr w:rsidR="00416D67" w:rsidRPr="00416D67" w14:paraId="67E9526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02A7C1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58E7C36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4E40AEC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11.500,00</w:t>
            </w:r>
          </w:p>
        </w:tc>
        <w:tc>
          <w:tcPr>
            <w:tcW w:w="1070" w:type="dxa"/>
            <w:tcBorders>
              <w:top w:val="single" w:sz="4" w:space="0" w:color="auto"/>
              <w:left w:val="nil"/>
              <w:bottom w:val="single" w:sz="4" w:space="0" w:color="auto"/>
              <w:right w:val="single" w:sz="4" w:space="0" w:color="auto"/>
            </w:tcBorders>
            <w:noWrap/>
            <w:vAlign w:val="bottom"/>
            <w:hideMark/>
          </w:tcPr>
          <w:p w14:paraId="227D9FA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11.500,00</w:t>
            </w:r>
          </w:p>
        </w:tc>
        <w:tc>
          <w:tcPr>
            <w:tcW w:w="1095" w:type="dxa"/>
            <w:tcBorders>
              <w:top w:val="single" w:sz="4" w:space="0" w:color="auto"/>
              <w:left w:val="nil"/>
              <w:bottom w:val="single" w:sz="4" w:space="0" w:color="auto"/>
              <w:right w:val="single" w:sz="4" w:space="0" w:color="auto"/>
            </w:tcBorders>
            <w:noWrap/>
            <w:vAlign w:val="bottom"/>
            <w:hideMark/>
          </w:tcPr>
          <w:p w14:paraId="486356B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10.789,89</w:t>
            </w:r>
          </w:p>
        </w:tc>
        <w:tc>
          <w:tcPr>
            <w:tcW w:w="918" w:type="dxa"/>
            <w:tcBorders>
              <w:top w:val="single" w:sz="4" w:space="0" w:color="auto"/>
              <w:left w:val="nil"/>
              <w:bottom w:val="single" w:sz="4" w:space="0" w:color="auto"/>
              <w:right w:val="single" w:sz="4" w:space="0" w:color="auto"/>
            </w:tcBorders>
            <w:noWrap/>
            <w:vAlign w:val="bottom"/>
            <w:hideMark/>
          </w:tcPr>
          <w:p w14:paraId="26034E8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93,83%</w:t>
            </w:r>
          </w:p>
        </w:tc>
      </w:tr>
      <w:tr w:rsidR="00416D67" w:rsidRPr="00416D67" w14:paraId="2262775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D0B6227" w14:textId="77777777" w:rsidR="00416D67" w:rsidRPr="00416D67" w:rsidRDefault="00416D67" w:rsidP="00416D67">
            <w:pPr>
              <w:rPr>
                <w:rFonts w:ascii="Arial" w:hAnsi="Arial" w:cs="Arial"/>
                <w:sz w:val="14"/>
                <w:szCs w:val="14"/>
              </w:rPr>
            </w:pPr>
            <w:r w:rsidRPr="00416D67">
              <w:rPr>
                <w:rFonts w:ascii="Arial" w:hAnsi="Arial" w:cs="Arial"/>
                <w:sz w:val="14"/>
                <w:szCs w:val="14"/>
              </w:rPr>
              <w:t>3234</w:t>
            </w:r>
          </w:p>
        </w:tc>
        <w:tc>
          <w:tcPr>
            <w:tcW w:w="8106" w:type="dxa"/>
            <w:tcBorders>
              <w:top w:val="single" w:sz="4" w:space="0" w:color="auto"/>
              <w:left w:val="nil"/>
              <w:bottom w:val="single" w:sz="4" w:space="0" w:color="auto"/>
              <w:right w:val="single" w:sz="4" w:space="0" w:color="auto"/>
            </w:tcBorders>
            <w:noWrap/>
            <w:vAlign w:val="bottom"/>
            <w:hideMark/>
          </w:tcPr>
          <w:p w14:paraId="38C17478" w14:textId="77777777" w:rsidR="00416D67" w:rsidRPr="00416D67" w:rsidRDefault="00416D67" w:rsidP="00416D67">
            <w:pPr>
              <w:rPr>
                <w:rFonts w:ascii="Arial" w:hAnsi="Arial" w:cs="Arial"/>
                <w:sz w:val="14"/>
                <w:szCs w:val="14"/>
              </w:rPr>
            </w:pPr>
            <w:r w:rsidRPr="00416D67">
              <w:rPr>
                <w:rFonts w:ascii="Arial" w:hAnsi="Arial" w:cs="Arial"/>
                <w:sz w:val="14"/>
                <w:szCs w:val="14"/>
              </w:rPr>
              <w:t>Komunalne usluge</w:t>
            </w:r>
          </w:p>
        </w:tc>
        <w:tc>
          <w:tcPr>
            <w:tcW w:w="1095" w:type="dxa"/>
            <w:tcBorders>
              <w:top w:val="single" w:sz="4" w:space="0" w:color="auto"/>
              <w:left w:val="nil"/>
              <w:bottom w:val="single" w:sz="4" w:space="0" w:color="auto"/>
              <w:right w:val="single" w:sz="4" w:space="0" w:color="auto"/>
            </w:tcBorders>
            <w:noWrap/>
            <w:vAlign w:val="bottom"/>
            <w:hideMark/>
          </w:tcPr>
          <w:p w14:paraId="709DF4A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6BEF14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63ADF2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10.789,89</w:t>
            </w:r>
          </w:p>
        </w:tc>
        <w:tc>
          <w:tcPr>
            <w:tcW w:w="918" w:type="dxa"/>
            <w:tcBorders>
              <w:top w:val="single" w:sz="4" w:space="0" w:color="auto"/>
              <w:left w:val="nil"/>
              <w:bottom w:val="single" w:sz="4" w:space="0" w:color="auto"/>
              <w:right w:val="single" w:sz="4" w:space="0" w:color="auto"/>
            </w:tcBorders>
            <w:noWrap/>
            <w:vAlign w:val="bottom"/>
            <w:hideMark/>
          </w:tcPr>
          <w:p w14:paraId="6B90859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3DAB44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689B53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4.3.6 Koncesije i koncesijska odobrenja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BF948E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28.000,00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56DDA6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28.000,00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2603BC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27.529,49</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0E2B23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98,32%</w:t>
            </w:r>
          </w:p>
        </w:tc>
      </w:tr>
      <w:tr w:rsidR="00416D67" w:rsidRPr="00416D67" w14:paraId="4B862D3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843D82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0DC7EC0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49B72B5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28.000,00</w:t>
            </w:r>
          </w:p>
        </w:tc>
        <w:tc>
          <w:tcPr>
            <w:tcW w:w="1070" w:type="dxa"/>
            <w:tcBorders>
              <w:top w:val="single" w:sz="4" w:space="0" w:color="auto"/>
              <w:left w:val="nil"/>
              <w:bottom w:val="single" w:sz="4" w:space="0" w:color="auto"/>
              <w:right w:val="single" w:sz="4" w:space="0" w:color="auto"/>
            </w:tcBorders>
            <w:noWrap/>
            <w:vAlign w:val="bottom"/>
            <w:hideMark/>
          </w:tcPr>
          <w:p w14:paraId="1306EED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28.000,00</w:t>
            </w:r>
          </w:p>
        </w:tc>
        <w:tc>
          <w:tcPr>
            <w:tcW w:w="1095" w:type="dxa"/>
            <w:tcBorders>
              <w:top w:val="single" w:sz="4" w:space="0" w:color="auto"/>
              <w:left w:val="nil"/>
              <w:bottom w:val="single" w:sz="4" w:space="0" w:color="auto"/>
              <w:right w:val="single" w:sz="4" w:space="0" w:color="auto"/>
            </w:tcBorders>
            <w:noWrap/>
            <w:vAlign w:val="bottom"/>
            <w:hideMark/>
          </w:tcPr>
          <w:p w14:paraId="0C0685F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27.529,49</w:t>
            </w:r>
          </w:p>
        </w:tc>
        <w:tc>
          <w:tcPr>
            <w:tcW w:w="918" w:type="dxa"/>
            <w:tcBorders>
              <w:top w:val="single" w:sz="4" w:space="0" w:color="auto"/>
              <w:left w:val="nil"/>
              <w:bottom w:val="single" w:sz="4" w:space="0" w:color="auto"/>
              <w:right w:val="single" w:sz="4" w:space="0" w:color="auto"/>
            </w:tcBorders>
            <w:noWrap/>
            <w:vAlign w:val="bottom"/>
            <w:hideMark/>
          </w:tcPr>
          <w:p w14:paraId="714DAA2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98,32%</w:t>
            </w:r>
          </w:p>
        </w:tc>
      </w:tr>
      <w:tr w:rsidR="00416D67" w:rsidRPr="00416D67" w14:paraId="6563885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58202C7" w14:textId="77777777" w:rsidR="00416D67" w:rsidRPr="00416D67" w:rsidRDefault="00416D67" w:rsidP="00416D67">
            <w:pPr>
              <w:rPr>
                <w:rFonts w:ascii="Arial" w:hAnsi="Arial" w:cs="Arial"/>
                <w:sz w:val="14"/>
                <w:szCs w:val="14"/>
              </w:rPr>
            </w:pPr>
            <w:r w:rsidRPr="00416D67">
              <w:rPr>
                <w:rFonts w:ascii="Arial" w:hAnsi="Arial" w:cs="Arial"/>
                <w:sz w:val="14"/>
                <w:szCs w:val="14"/>
              </w:rPr>
              <w:t>3234</w:t>
            </w:r>
          </w:p>
        </w:tc>
        <w:tc>
          <w:tcPr>
            <w:tcW w:w="8106" w:type="dxa"/>
            <w:tcBorders>
              <w:top w:val="single" w:sz="4" w:space="0" w:color="auto"/>
              <w:left w:val="nil"/>
              <w:bottom w:val="single" w:sz="4" w:space="0" w:color="auto"/>
              <w:right w:val="single" w:sz="4" w:space="0" w:color="auto"/>
            </w:tcBorders>
            <w:noWrap/>
            <w:vAlign w:val="bottom"/>
            <w:hideMark/>
          </w:tcPr>
          <w:p w14:paraId="17B17E09" w14:textId="77777777" w:rsidR="00416D67" w:rsidRPr="00416D67" w:rsidRDefault="00416D67" w:rsidP="00416D67">
            <w:pPr>
              <w:rPr>
                <w:rFonts w:ascii="Arial" w:hAnsi="Arial" w:cs="Arial"/>
                <w:sz w:val="14"/>
                <w:szCs w:val="14"/>
              </w:rPr>
            </w:pPr>
            <w:r w:rsidRPr="00416D67">
              <w:rPr>
                <w:rFonts w:ascii="Arial" w:hAnsi="Arial" w:cs="Arial"/>
                <w:sz w:val="14"/>
                <w:szCs w:val="14"/>
              </w:rPr>
              <w:t>Komunalne usluge</w:t>
            </w:r>
          </w:p>
        </w:tc>
        <w:tc>
          <w:tcPr>
            <w:tcW w:w="1095" w:type="dxa"/>
            <w:tcBorders>
              <w:top w:val="single" w:sz="4" w:space="0" w:color="auto"/>
              <w:left w:val="nil"/>
              <w:bottom w:val="single" w:sz="4" w:space="0" w:color="auto"/>
              <w:right w:val="single" w:sz="4" w:space="0" w:color="auto"/>
            </w:tcBorders>
            <w:noWrap/>
            <w:vAlign w:val="bottom"/>
            <w:hideMark/>
          </w:tcPr>
          <w:p w14:paraId="0F3CEEE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2FA68A6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3198EB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27.529,49</w:t>
            </w:r>
          </w:p>
        </w:tc>
        <w:tc>
          <w:tcPr>
            <w:tcW w:w="918" w:type="dxa"/>
            <w:tcBorders>
              <w:top w:val="single" w:sz="4" w:space="0" w:color="auto"/>
              <w:left w:val="nil"/>
              <w:bottom w:val="single" w:sz="4" w:space="0" w:color="auto"/>
              <w:right w:val="single" w:sz="4" w:space="0" w:color="auto"/>
            </w:tcBorders>
            <w:noWrap/>
            <w:vAlign w:val="bottom"/>
            <w:hideMark/>
          </w:tcPr>
          <w:p w14:paraId="26855D9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1F90C3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67398A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A100014</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0BB406F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Dekoracija i iluminacija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47C632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02F4FA8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B3BF6B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5.324,06</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1673C27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133,10%</w:t>
            </w:r>
          </w:p>
        </w:tc>
      </w:tr>
      <w:tr w:rsidR="00416D67" w:rsidRPr="00416D67" w14:paraId="417342F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A57851E"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A9AC95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F2B92D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5ACC8F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5.324,06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0A7D3C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133,10%</w:t>
            </w:r>
          </w:p>
        </w:tc>
      </w:tr>
      <w:tr w:rsidR="00416D67" w:rsidRPr="00416D67" w14:paraId="22B7ED7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DDDE6B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4.1. Prihodi za posebne namjene komunalna naknada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4E9A52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271572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12A584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5.324,06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0896A1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133,10%</w:t>
            </w:r>
          </w:p>
        </w:tc>
      </w:tr>
      <w:tr w:rsidR="00416D67" w:rsidRPr="00416D67" w14:paraId="4B2E327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51CCFE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3D60D88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475FF72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4.000,00</w:t>
            </w:r>
          </w:p>
        </w:tc>
        <w:tc>
          <w:tcPr>
            <w:tcW w:w="1070" w:type="dxa"/>
            <w:tcBorders>
              <w:top w:val="single" w:sz="4" w:space="0" w:color="auto"/>
              <w:left w:val="nil"/>
              <w:bottom w:val="single" w:sz="4" w:space="0" w:color="auto"/>
              <w:right w:val="single" w:sz="4" w:space="0" w:color="auto"/>
            </w:tcBorders>
            <w:noWrap/>
            <w:vAlign w:val="bottom"/>
            <w:hideMark/>
          </w:tcPr>
          <w:p w14:paraId="4798946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4.000,00</w:t>
            </w:r>
          </w:p>
        </w:tc>
        <w:tc>
          <w:tcPr>
            <w:tcW w:w="1095" w:type="dxa"/>
            <w:tcBorders>
              <w:top w:val="single" w:sz="4" w:space="0" w:color="auto"/>
              <w:left w:val="nil"/>
              <w:bottom w:val="single" w:sz="4" w:space="0" w:color="auto"/>
              <w:right w:val="single" w:sz="4" w:space="0" w:color="auto"/>
            </w:tcBorders>
            <w:noWrap/>
            <w:vAlign w:val="bottom"/>
            <w:hideMark/>
          </w:tcPr>
          <w:p w14:paraId="43818D4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5.324,06</w:t>
            </w:r>
          </w:p>
        </w:tc>
        <w:tc>
          <w:tcPr>
            <w:tcW w:w="918" w:type="dxa"/>
            <w:tcBorders>
              <w:top w:val="single" w:sz="4" w:space="0" w:color="auto"/>
              <w:left w:val="nil"/>
              <w:bottom w:val="single" w:sz="4" w:space="0" w:color="auto"/>
              <w:right w:val="single" w:sz="4" w:space="0" w:color="auto"/>
            </w:tcBorders>
            <w:noWrap/>
            <w:vAlign w:val="bottom"/>
            <w:hideMark/>
          </w:tcPr>
          <w:p w14:paraId="5C15CB8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133,10%</w:t>
            </w:r>
          </w:p>
        </w:tc>
      </w:tr>
      <w:tr w:rsidR="00416D67" w:rsidRPr="00416D67" w14:paraId="535BC1F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651F390" w14:textId="77777777" w:rsidR="00416D67" w:rsidRPr="00416D67" w:rsidRDefault="00416D67" w:rsidP="00416D67">
            <w:pPr>
              <w:rPr>
                <w:rFonts w:ascii="Arial" w:hAnsi="Arial" w:cs="Arial"/>
                <w:sz w:val="14"/>
                <w:szCs w:val="14"/>
              </w:rPr>
            </w:pPr>
            <w:r w:rsidRPr="00416D67">
              <w:rPr>
                <w:rFonts w:ascii="Arial" w:hAnsi="Arial" w:cs="Arial"/>
                <w:sz w:val="14"/>
                <w:szCs w:val="14"/>
              </w:rPr>
              <w:t>3234</w:t>
            </w:r>
          </w:p>
        </w:tc>
        <w:tc>
          <w:tcPr>
            <w:tcW w:w="8106" w:type="dxa"/>
            <w:tcBorders>
              <w:top w:val="single" w:sz="4" w:space="0" w:color="auto"/>
              <w:left w:val="nil"/>
              <w:bottom w:val="single" w:sz="4" w:space="0" w:color="auto"/>
              <w:right w:val="single" w:sz="4" w:space="0" w:color="auto"/>
            </w:tcBorders>
            <w:noWrap/>
            <w:vAlign w:val="bottom"/>
            <w:hideMark/>
          </w:tcPr>
          <w:p w14:paraId="50F9C556" w14:textId="77777777" w:rsidR="00416D67" w:rsidRPr="00416D67" w:rsidRDefault="00416D67" w:rsidP="00416D67">
            <w:pPr>
              <w:rPr>
                <w:rFonts w:ascii="Arial" w:hAnsi="Arial" w:cs="Arial"/>
                <w:sz w:val="14"/>
                <w:szCs w:val="14"/>
              </w:rPr>
            </w:pPr>
            <w:r w:rsidRPr="00416D67">
              <w:rPr>
                <w:rFonts w:ascii="Arial" w:hAnsi="Arial" w:cs="Arial"/>
                <w:sz w:val="14"/>
                <w:szCs w:val="14"/>
              </w:rPr>
              <w:t>Komunalne usluge</w:t>
            </w:r>
          </w:p>
        </w:tc>
        <w:tc>
          <w:tcPr>
            <w:tcW w:w="1095" w:type="dxa"/>
            <w:tcBorders>
              <w:top w:val="single" w:sz="4" w:space="0" w:color="auto"/>
              <w:left w:val="nil"/>
              <w:bottom w:val="single" w:sz="4" w:space="0" w:color="auto"/>
              <w:right w:val="single" w:sz="4" w:space="0" w:color="auto"/>
            </w:tcBorders>
            <w:noWrap/>
            <w:vAlign w:val="bottom"/>
            <w:hideMark/>
          </w:tcPr>
          <w:p w14:paraId="19144EE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B23EBE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C1CE92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5.324,06</w:t>
            </w:r>
          </w:p>
        </w:tc>
        <w:tc>
          <w:tcPr>
            <w:tcW w:w="918" w:type="dxa"/>
            <w:tcBorders>
              <w:top w:val="single" w:sz="4" w:space="0" w:color="auto"/>
              <w:left w:val="nil"/>
              <w:bottom w:val="single" w:sz="4" w:space="0" w:color="auto"/>
              <w:right w:val="single" w:sz="4" w:space="0" w:color="auto"/>
            </w:tcBorders>
            <w:noWrap/>
            <w:vAlign w:val="bottom"/>
            <w:hideMark/>
          </w:tcPr>
          <w:p w14:paraId="2C299C3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207750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022D6A4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4011</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235363E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Program: Kapitalna potpora </w:t>
            </w:r>
            <w:proofErr w:type="spellStart"/>
            <w:r w:rsidRPr="00416D67">
              <w:rPr>
                <w:rFonts w:ascii="Arial" w:hAnsi="Arial" w:cs="Arial"/>
                <w:b/>
                <w:bCs/>
                <w:sz w:val="14"/>
                <w:szCs w:val="14"/>
              </w:rPr>
              <w:t>Mandalena</w:t>
            </w:r>
            <w:proofErr w:type="spellEnd"/>
            <w:r w:rsidRPr="00416D67">
              <w:rPr>
                <w:rFonts w:ascii="Arial" w:hAnsi="Arial" w:cs="Arial"/>
                <w:b/>
                <w:bCs/>
                <w:sz w:val="14"/>
                <w:szCs w:val="14"/>
              </w:rPr>
              <w:t xml:space="preserve"> </w:t>
            </w:r>
            <w:proofErr w:type="spellStart"/>
            <w:r w:rsidRPr="00416D67">
              <w:rPr>
                <w:rFonts w:ascii="Arial" w:hAnsi="Arial" w:cs="Arial"/>
                <w:b/>
                <w:bCs/>
                <w:sz w:val="14"/>
                <w:szCs w:val="14"/>
              </w:rPr>
              <w:t>doo</w:t>
            </w:r>
            <w:proofErr w:type="spellEnd"/>
            <w:r w:rsidRPr="00416D67">
              <w:rPr>
                <w:rFonts w:ascii="Arial" w:hAnsi="Arial" w:cs="Arial"/>
                <w:b/>
                <w:bCs/>
                <w:sz w:val="14"/>
                <w:szCs w:val="14"/>
              </w:rPr>
              <w:t xml:space="preserve"> nabava opreme</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512BCE7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47.500,00</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189D65C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45.125,00</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6956715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3447D01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2263666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322340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K100010</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42322B1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Kapitalni projekt: Kapitalna potpora </w:t>
            </w:r>
            <w:proofErr w:type="spellStart"/>
            <w:r w:rsidRPr="00416D67">
              <w:rPr>
                <w:rFonts w:ascii="Arial" w:hAnsi="Arial" w:cs="Arial"/>
                <w:b/>
                <w:bCs/>
                <w:sz w:val="14"/>
                <w:szCs w:val="14"/>
              </w:rPr>
              <w:t>Mandalena</w:t>
            </w:r>
            <w:proofErr w:type="spellEnd"/>
            <w:r w:rsidRPr="00416D67">
              <w:rPr>
                <w:rFonts w:ascii="Arial" w:hAnsi="Arial" w:cs="Arial"/>
                <w:b/>
                <w:bCs/>
                <w:sz w:val="14"/>
                <w:szCs w:val="14"/>
              </w:rPr>
              <w:t xml:space="preserve"> </w:t>
            </w:r>
            <w:proofErr w:type="spellStart"/>
            <w:r w:rsidRPr="00416D67">
              <w:rPr>
                <w:rFonts w:ascii="Arial" w:hAnsi="Arial" w:cs="Arial"/>
                <w:b/>
                <w:bCs/>
                <w:sz w:val="14"/>
                <w:szCs w:val="14"/>
              </w:rPr>
              <w:t>doo</w:t>
            </w:r>
            <w:proofErr w:type="spellEnd"/>
            <w:r w:rsidRPr="00416D67">
              <w:rPr>
                <w:rFonts w:ascii="Arial" w:hAnsi="Arial" w:cs="Arial"/>
                <w:b/>
                <w:bCs/>
                <w:sz w:val="14"/>
                <w:szCs w:val="14"/>
              </w:rPr>
              <w:t xml:space="preserve"> nabava opreme</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9ABB63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47.500,00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6B7A6A4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45.125,00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24BB06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3CBC645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4EDA3B2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A5B773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1F9935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47.500,00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E96049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45.125,00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C3BC19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B7FBF4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7BB252A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51BDC4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8DF31F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47.500,00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58DA3B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45.125,00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5CE26B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0AF99F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2B25F07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31993C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0748161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7384121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47.500,00</w:t>
            </w:r>
          </w:p>
        </w:tc>
        <w:tc>
          <w:tcPr>
            <w:tcW w:w="1070" w:type="dxa"/>
            <w:tcBorders>
              <w:top w:val="single" w:sz="4" w:space="0" w:color="auto"/>
              <w:left w:val="nil"/>
              <w:bottom w:val="single" w:sz="4" w:space="0" w:color="auto"/>
              <w:right w:val="single" w:sz="4" w:space="0" w:color="auto"/>
            </w:tcBorders>
            <w:noWrap/>
            <w:vAlign w:val="bottom"/>
            <w:hideMark/>
          </w:tcPr>
          <w:p w14:paraId="2CB649B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45.125,00</w:t>
            </w:r>
          </w:p>
        </w:tc>
        <w:tc>
          <w:tcPr>
            <w:tcW w:w="1095" w:type="dxa"/>
            <w:tcBorders>
              <w:top w:val="single" w:sz="4" w:space="0" w:color="auto"/>
              <w:left w:val="nil"/>
              <w:bottom w:val="single" w:sz="4" w:space="0" w:color="auto"/>
              <w:right w:val="single" w:sz="4" w:space="0" w:color="auto"/>
            </w:tcBorders>
            <w:noWrap/>
            <w:vAlign w:val="bottom"/>
            <w:hideMark/>
          </w:tcPr>
          <w:p w14:paraId="6836047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7B55F1B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5001364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6985CA2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4020</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4CA8653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Program: Program korištenja sredstava naknade za zadržavanje nezakonito izgrađenih zgrada na području Općine </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733F301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7.500,00</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5A25B98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7.500,00</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744B469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4.312,50</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06DFBA7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57,50%</w:t>
            </w:r>
          </w:p>
        </w:tc>
      </w:tr>
      <w:tr w:rsidR="00416D67" w:rsidRPr="00416D67" w14:paraId="6D9436F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98C33D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K100002</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72AD5DC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Kapitalni projekt: Uređenje parkirališta na k.č.br.458/25 k.o. Loborika na području </w:t>
            </w:r>
            <w:proofErr w:type="spellStart"/>
            <w:r w:rsidRPr="00416D67">
              <w:rPr>
                <w:rFonts w:ascii="Arial" w:hAnsi="Arial" w:cs="Arial"/>
                <w:b/>
                <w:bCs/>
                <w:sz w:val="14"/>
                <w:szCs w:val="14"/>
              </w:rPr>
              <w:t>Radeki</w:t>
            </w:r>
            <w:proofErr w:type="spellEnd"/>
            <w:r w:rsidRPr="00416D67">
              <w:rPr>
                <w:rFonts w:ascii="Arial" w:hAnsi="Arial" w:cs="Arial"/>
                <w:b/>
                <w:bCs/>
                <w:sz w:val="14"/>
                <w:szCs w:val="14"/>
              </w:rPr>
              <w:t xml:space="preserve"> polje- </w:t>
            </w:r>
            <w:proofErr w:type="spellStart"/>
            <w:r w:rsidRPr="00416D67">
              <w:rPr>
                <w:rFonts w:ascii="Arial" w:hAnsi="Arial" w:cs="Arial"/>
                <w:b/>
                <w:bCs/>
                <w:sz w:val="14"/>
                <w:szCs w:val="14"/>
              </w:rPr>
              <w:t>Busuja</w:t>
            </w:r>
            <w:proofErr w:type="spellEnd"/>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FF273C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134F874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D04C83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4.312,50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6B81CCA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107,81%</w:t>
            </w:r>
          </w:p>
        </w:tc>
      </w:tr>
      <w:tr w:rsidR="00416D67" w:rsidRPr="00416D67" w14:paraId="296FD41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A0EADE0"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031511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F012D6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B37DC4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4.312,50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9096B8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107,81%</w:t>
            </w:r>
          </w:p>
        </w:tc>
      </w:tr>
      <w:tr w:rsidR="00416D67" w:rsidRPr="00416D67" w14:paraId="2CC3275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22773D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4.3.5 Naknada za zadržavanje nezakonito </w:t>
            </w:r>
            <w:proofErr w:type="spellStart"/>
            <w:r w:rsidRPr="00416D67">
              <w:rPr>
                <w:rFonts w:ascii="Arial" w:hAnsi="Arial" w:cs="Arial"/>
                <w:b/>
                <w:bCs/>
                <w:color w:val="333333"/>
                <w:sz w:val="14"/>
                <w:szCs w:val="14"/>
              </w:rPr>
              <w:t>izgr.zgrada</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E937C2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B0FEDB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D1E783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4.312,50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4F7AD6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107,81%</w:t>
            </w:r>
          </w:p>
        </w:tc>
      </w:tr>
      <w:tr w:rsidR="00416D67" w:rsidRPr="00416D67" w14:paraId="09F927C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5C860C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0334E8D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1FD63FD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4.000,00</w:t>
            </w:r>
          </w:p>
        </w:tc>
        <w:tc>
          <w:tcPr>
            <w:tcW w:w="1070" w:type="dxa"/>
            <w:tcBorders>
              <w:top w:val="single" w:sz="4" w:space="0" w:color="auto"/>
              <w:left w:val="nil"/>
              <w:bottom w:val="single" w:sz="4" w:space="0" w:color="auto"/>
              <w:right w:val="single" w:sz="4" w:space="0" w:color="auto"/>
            </w:tcBorders>
            <w:noWrap/>
            <w:vAlign w:val="bottom"/>
            <w:hideMark/>
          </w:tcPr>
          <w:p w14:paraId="795B5DD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4.000,00</w:t>
            </w:r>
          </w:p>
        </w:tc>
        <w:tc>
          <w:tcPr>
            <w:tcW w:w="1095" w:type="dxa"/>
            <w:tcBorders>
              <w:top w:val="single" w:sz="4" w:space="0" w:color="auto"/>
              <w:left w:val="nil"/>
              <w:bottom w:val="single" w:sz="4" w:space="0" w:color="auto"/>
              <w:right w:val="single" w:sz="4" w:space="0" w:color="auto"/>
            </w:tcBorders>
            <w:noWrap/>
            <w:vAlign w:val="bottom"/>
            <w:hideMark/>
          </w:tcPr>
          <w:p w14:paraId="412AF57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4.312,50</w:t>
            </w:r>
          </w:p>
        </w:tc>
        <w:tc>
          <w:tcPr>
            <w:tcW w:w="918" w:type="dxa"/>
            <w:tcBorders>
              <w:top w:val="single" w:sz="4" w:space="0" w:color="auto"/>
              <w:left w:val="nil"/>
              <w:bottom w:val="single" w:sz="4" w:space="0" w:color="auto"/>
              <w:right w:val="single" w:sz="4" w:space="0" w:color="auto"/>
            </w:tcBorders>
            <w:noWrap/>
            <w:vAlign w:val="bottom"/>
            <w:hideMark/>
          </w:tcPr>
          <w:p w14:paraId="2816B3B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107,81%</w:t>
            </w:r>
          </w:p>
        </w:tc>
      </w:tr>
      <w:tr w:rsidR="00416D67" w:rsidRPr="00416D67" w14:paraId="7F9268A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677F541" w14:textId="77777777" w:rsidR="00416D67" w:rsidRPr="00416D67" w:rsidRDefault="00416D67" w:rsidP="00416D67">
            <w:pPr>
              <w:rPr>
                <w:rFonts w:ascii="Arial" w:hAnsi="Arial" w:cs="Arial"/>
                <w:sz w:val="14"/>
                <w:szCs w:val="14"/>
              </w:rPr>
            </w:pPr>
            <w:r w:rsidRPr="00416D67">
              <w:rPr>
                <w:rFonts w:ascii="Arial" w:hAnsi="Arial" w:cs="Arial"/>
                <w:sz w:val="14"/>
                <w:szCs w:val="14"/>
              </w:rPr>
              <w:t>4214</w:t>
            </w:r>
          </w:p>
        </w:tc>
        <w:tc>
          <w:tcPr>
            <w:tcW w:w="8106" w:type="dxa"/>
            <w:tcBorders>
              <w:top w:val="single" w:sz="4" w:space="0" w:color="auto"/>
              <w:left w:val="nil"/>
              <w:bottom w:val="single" w:sz="4" w:space="0" w:color="auto"/>
              <w:right w:val="single" w:sz="4" w:space="0" w:color="auto"/>
            </w:tcBorders>
            <w:noWrap/>
            <w:vAlign w:val="bottom"/>
            <w:hideMark/>
          </w:tcPr>
          <w:p w14:paraId="33089109" w14:textId="77777777" w:rsidR="00416D67" w:rsidRPr="00416D67" w:rsidRDefault="00416D67" w:rsidP="00416D67">
            <w:pPr>
              <w:rPr>
                <w:rFonts w:ascii="Arial" w:hAnsi="Arial" w:cs="Arial"/>
                <w:sz w:val="14"/>
                <w:szCs w:val="14"/>
              </w:rPr>
            </w:pPr>
            <w:r w:rsidRPr="00416D67">
              <w:rPr>
                <w:rFonts w:ascii="Arial" w:hAnsi="Arial" w:cs="Arial"/>
                <w:sz w:val="14"/>
                <w:szCs w:val="14"/>
              </w:rPr>
              <w:t>Ostali građevinski objekti</w:t>
            </w:r>
          </w:p>
        </w:tc>
        <w:tc>
          <w:tcPr>
            <w:tcW w:w="1095" w:type="dxa"/>
            <w:tcBorders>
              <w:top w:val="single" w:sz="4" w:space="0" w:color="auto"/>
              <w:left w:val="nil"/>
              <w:bottom w:val="single" w:sz="4" w:space="0" w:color="auto"/>
              <w:right w:val="single" w:sz="4" w:space="0" w:color="auto"/>
            </w:tcBorders>
            <w:noWrap/>
            <w:vAlign w:val="bottom"/>
            <w:hideMark/>
          </w:tcPr>
          <w:p w14:paraId="6AB0D89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D72F0C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D8BD1C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4.312,50</w:t>
            </w:r>
          </w:p>
        </w:tc>
        <w:tc>
          <w:tcPr>
            <w:tcW w:w="918" w:type="dxa"/>
            <w:tcBorders>
              <w:top w:val="single" w:sz="4" w:space="0" w:color="auto"/>
              <w:left w:val="nil"/>
              <w:bottom w:val="single" w:sz="4" w:space="0" w:color="auto"/>
              <w:right w:val="single" w:sz="4" w:space="0" w:color="auto"/>
            </w:tcBorders>
            <w:noWrap/>
            <w:vAlign w:val="bottom"/>
            <w:hideMark/>
          </w:tcPr>
          <w:p w14:paraId="57FC27D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9FBEDE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EC5DC4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K100003</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77A09BA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Kapitalni projekt: Sanacija i rekonstrukcija nerazvrstanih cesta </w:t>
            </w:r>
            <w:proofErr w:type="spellStart"/>
            <w:r w:rsidRPr="00416D67">
              <w:rPr>
                <w:rFonts w:ascii="Arial" w:hAnsi="Arial" w:cs="Arial"/>
                <w:b/>
                <w:bCs/>
                <w:sz w:val="14"/>
                <w:szCs w:val="14"/>
              </w:rPr>
              <w:t>Krnica</w:t>
            </w:r>
            <w:proofErr w:type="spellEnd"/>
            <w:r w:rsidRPr="00416D67">
              <w:rPr>
                <w:rFonts w:ascii="Arial" w:hAnsi="Arial" w:cs="Arial"/>
                <w:b/>
                <w:bCs/>
                <w:sz w:val="14"/>
                <w:szCs w:val="14"/>
              </w:rPr>
              <w:t xml:space="preserve">, dio k.č.br. 2742/2, k.č.br. 1220/9, dužine 87 </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781672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3.500,00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6A5E662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3.500,00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282E2F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3249883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4369C6A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E20EF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lastRenderedPageBreak/>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B65942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2F1049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349003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2996FF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4FC4DBE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BF6BFA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4.3.5 Naknada za zadržavanje nezakonito </w:t>
            </w:r>
            <w:proofErr w:type="spellStart"/>
            <w:r w:rsidRPr="00416D67">
              <w:rPr>
                <w:rFonts w:ascii="Arial" w:hAnsi="Arial" w:cs="Arial"/>
                <w:b/>
                <w:bCs/>
                <w:color w:val="333333"/>
                <w:sz w:val="14"/>
                <w:szCs w:val="14"/>
              </w:rPr>
              <w:t>izgr.zgrada</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423FC8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39AC49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374CBF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2C2A1C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73AC9F7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E34345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43C97D4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23D8983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3.500,00</w:t>
            </w:r>
          </w:p>
        </w:tc>
        <w:tc>
          <w:tcPr>
            <w:tcW w:w="1070" w:type="dxa"/>
            <w:tcBorders>
              <w:top w:val="single" w:sz="4" w:space="0" w:color="auto"/>
              <w:left w:val="nil"/>
              <w:bottom w:val="single" w:sz="4" w:space="0" w:color="auto"/>
              <w:right w:val="single" w:sz="4" w:space="0" w:color="auto"/>
            </w:tcBorders>
            <w:noWrap/>
            <w:vAlign w:val="bottom"/>
            <w:hideMark/>
          </w:tcPr>
          <w:p w14:paraId="4754340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3.500,00</w:t>
            </w:r>
          </w:p>
        </w:tc>
        <w:tc>
          <w:tcPr>
            <w:tcW w:w="1095" w:type="dxa"/>
            <w:tcBorders>
              <w:top w:val="single" w:sz="4" w:space="0" w:color="auto"/>
              <w:left w:val="nil"/>
              <w:bottom w:val="single" w:sz="4" w:space="0" w:color="auto"/>
              <w:right w:val="single" w:sz="4" w:space="0" w:color="auto"/>
            </w:tcBorders>
            <w:noWrap/>
            <w:vAlign w:val="bottom"/>
            <w:hideMark/>
          </w:tcPr>
          <w:p w14:paraId="045C8CF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6D97CD5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2032BBE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406ED95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4021</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7793FC1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Program: Program građenja komunalne </w:t>
            </w:r>
            <w:proofErr w:type="spellStart"/>
            <w:r w:rsidRPr="00416D67">
              <w:rPr>
                <w:rFonts w:ascii="Arial" w:hAnsi="Arial" w:cs="Arial"/>
                <w:b/>
                <w:bCs/>
                <w:sz w:val="14"/>
                <w:szCs w:val="14"/>
              </w:rPr>
              <w:t>infraktrukture</w:t>
            </w:r>
            <w:proofErr w:type="spellEnd"/>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033A443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1.434.870,00</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6D57A74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1.418.026,50</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56B8481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1.189.568,78</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76B1DB3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83,89%</w:t>
            </w:r>
          </w:p>
        </w:tc>
      </w:tr>
      <w:tr w:rsidR="00416D67" w:rsidRPr="00416D67" w14:paraId="44B3E89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5600D6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60EED28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Kapitalni projekt: Otkup zemljišta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50F620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153.470,00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7A30905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153.470,00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41E45B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141.772,96</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0865CE9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92,38%</w:t>
            </w:r>
          </w:p>
        </w:tc>
      </w:tr>
      <w:tr w:rsidR="00416D67" w:rsidRPr="00416D67" w14:paraId="52F46CC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4EE2831"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F88C30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153.470,00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CADEA1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153.470,00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6FA170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141.772,96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353050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92,38%</w:t>
            </w:r>
          </w:p>
        </w:tc>
      </w:tr>
      <w:tr w:rsidR="00416D67" w:rsidRPr="00416D67" w14:paraId="644D39E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5FCFD2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4.2. Prihodi za posebne namjene komunalni doprinos</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588C79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153.470,00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B5DC07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153.470,00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6ACD86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141.772,96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FF63B4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92,38%</w:t>
            </w:r>
          </w:p>
        </w:tc>
      </w:tr>
      <w:tr w:rsidR="00416D67" w:rsidRPr="00416D67" w14:paraId="54EB2EA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1B26F3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41</w:t>
            </w:r>
          </w:p>
        </w:tc>
        <w:tc>
          <w:tcPr>
            <w:tcW w:w="8106" w:type="dxa"/>
            <w:tcBorders>
              <w:top w:val="single" w:sz="4" w:space="0" w:color="auto"/>
              <w:left w:val="nil"/>
              <w:bottom w:val="single" w:sz="4" w:space="0" w:color="auto"/>
              <w:right w:val="single" w:sz="4" w:space="0" w:color="auto"/>
            </w:tcBorders>
            <w:noWrap/>
            <w:vAlign w:val="bottom"/>
            <w:hideMark/>
          </w:tcPr>
          <w:p w14:paraId="3560675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Rashodi za nabavu </w:t>
            </w:r>
            <w:proofErr w:type="spellStart"/>
            <w:r w:rsidRPr="00416D67">
              <w:rPr>
                <w:rFonts w:ascii="Arial" w:hAnsi="Arial" w:cs="Arial"/>
                <w:b/>
                <w:bCs/>
                <w:sz w:val="14"/>
                <w:szCs w:val="14"/>
              </w:rPr>
              <w:t>neproizvedene</w:t>
            </w:r>
            <w:proofErr w:type="spellEnd"/>
            <w:r w:rsidRPr="00416D67">
              <w:rPr>
                <w:rFonts w:ascii="Arial" w:hAnsi="Arial" w:cs="Arial"/>
                <w:b/>
                <w:bCs/>
                <w:sz w:val="14"/>
                <w:szCs w:val="14"/>
              </w:rPr>
              <w:t xml:space="preserv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4E696BD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153.470,00</w:t>
            </w:r>
          </w:p>
        </w:tc>
        <w:tc>
          <w:tcPr>
            <w:tcW w:w="1070" w:type="dxa"/>
            <w:tcBorders>
              <w:top w:val="single" w:sz="4" w:space="0" w:color="auto"/>
              <w:left w:val="nil"/>
              <w:bottom w:val="single" w:sz="4" w:space="0" w:color="auto"/>
              <w:right w:val="single" w:sz="4" w:space="0" w:color="auto"/>
            </w:tcBorders>
            <w:noWrap/>
            <w:vAlign w:val="bottom"/>
            <w:hideMark/>
          </w:tcPr>
          <w:p w14:paraId="3D5A216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153.470,00</w:t>
            </w:r>
          </w:p>
        </w:tc>
        <w:tc>
          <w:tcPr>
            <w:tcW w:w="1095" w:type="dxa"/>
            <w:tcBorders>
              <w:top w:val="single" w:sz="4" w:space="0" w:color="auto"/>
              <w:left w:val="nil"/>
              <w:bottom w:val="single" w:sz="4" w:space="0" w:color="auto"/>
              <w:right w:val="single" w:sz="4" w:space="0" w:color="auto"/>
            </w:tcBorders>
            <w:noWrap/>
            <w:vAlign w:val="bottom"/>
            <w:hideMark/>
          </w:tcPr>
          <w:p w14:paraId="45BFEBD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141.772,96</w:t>
            </w:r>
          </w:p>
        </w:tc>
        <w:tc>
          <w:tcPr>
            <w:tcW w:w="918" w:type="dxa"/>
            <w:tcBorders>
              <w:top w:val="single" w:sz="4" w:space="0" w:color="auto"/>
              <w:left w:val="nil"/>
              <w:bottom w:val="single" w:sz="4" w:space="0" w:color="auto"/>
              <w:right w:val="single" w:sz="4" w:space="0" w:color="auto"/>
            </w:tcBorders>
            <w:noWrap/>
            <w:vAlign w:val="bottom"/>
            <w:hideMark/>
          </w:tcPr>
          <w:p w14:paraId="6EC69FB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92,38%</w:t>
            </w:r>
          </w:p>
        </w:tc>
      </w:tr>
      <w:tr w:rsidR="00416D67" w:rsidRPr="00416D67" w14:paraId="33E6416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D6A064C" w14:textId="77777777" w:rsidR="00416D67" w:rsidRPr="00416D67" w:rsidRDefault="00416D67" w:rsidP="00416D67">
            <w:pPr>
              <w:rPr>
                <w:rFonts w:ascii="Arial" w:hAnsi="Arial" w:cs="Arial"/>
                <w:sz w:val="14"/>
                <w:szCs w:val="14"/>
              </w:rPr>
            </w:pPr>
            <w:r w:rsidRPr="00416D67">
              <w:rPr>
                <w:rFonts w:ascii="Arial" w:hAnsi="Arial" w:cs="Arial"/>
                <w:sz w:val="14"/>
                <w:szCs w:val="14"/>
              </w:rPr>
              <w:t>4111</w:t>
            </w:r>
          </w:p>
        </w:tc>
        <w:tc>
          <w:tcPr>
            <w:tcW w:w="8106" w:type="dxa"/>
            <w:tcBorders>
              <w:top w:val="single" w:sz="4" w:space="0" w:color="auto"/>
              <w:left w:val="nil"/>
              <w:bottom w:val="single" w:sz="4" w:space="0" w:color="auto"/>
              <w:right w:val="single" w:sz="4" w:space="0" w:color="auto"/>
            </w:tcBorders>
            <w:noWrap/>
            <w:vAlign w:val="bottom"/>
            <w:hideMark/>
          </w:tcPr>
          <w:p w14:paraId="478089F2" w14:textId="77777777" w:rsidR="00416D67" w:rsidRPr="00416D67" w:rsidRDefault="00416D67" w:rsidP="00416D67">
            <w:pPr>
              <w:rPr>
                <w:rFonts w:ascii="Arial" w:hAnsi="Arial" w:cs="Arial"/>
                <w:sz w:val="14"/>
                <w:szCs w:val="14"/>
              </w:rPr>
            </w:pPr>
            <w:r w:rsidRPr="00416D67">
              <w:rPr>
                <w:rFonts w:ascii="Arial" w:hAnsi="Arial" w:cs="Arial"/>
                <w:sz w:val="14"/>
                <w:szCs w:val="14"/>
              </w:rPr>
              <w:t>Zemljište</w:t>
            </w:r>
          </w:p>
        </w:tc>
        <w:tc>
          <w:tcPr>
            <w:tcW w:w="1095" w:type="dxa"/>
            <w:tcBorders>
              <w:top w:val="single" w:sz="4" w:space="0" w:color="auto"/>
              <w:left w:val="nil"/>
              <w:bottom w:val="single" w:sz="4" w:space="0" w:color="auto"/>
              <w:right w:val="single" w:sz="4" w:space="0" w:color="auto"/>
            </w:tcBorders>
            <w:noWrap/>
            <w:vAlign w:val="bottom"/>
            <w:hideMark/>
          </w:tcPr>
          <w:p w14:paraId="2938D7D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4BC2AA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1BDAF5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141.772,96</w:t>
            </w:r>
          </w:p>
        </w:tc>
        <w:tc>
          <w:tcPr>
            <w:tcW w:w="918" w:type="dxa"/>
            <w:tcBorders>
              <w:top w:val="single" w:sz="4" w:space="0" w:color="auto"/>
              <w:left w:val="nil"/>
              <w:bottom w:val="single" w:sz="4" w:space="0" w:color="auto"/>
              <w:right w:val="single" w:sz="4" w:space="0" w:color="auto"/>
            </w:tcBorders>
            <w:noWrap/>
            <w:vAlign w:val="bottom"/>
            <w:hideMark/>
          </w:tcPr>
          <w:p w14:paraId="24FDB3C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930FBE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367755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K100002</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530D668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Kapitalni projekt: Izgradnja nerazvrstanih cesta u neuređenim dijelovima građevinskih područja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423B77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216.800,00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2942295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207.935,00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A38078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146.283,38</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0284BC1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70,35%</w:t>
            </w:r>
          </w:p>
        </w:tc>
      </w:tr>
      <w:tr w:rsidR="00416D67" w:rsidRPr="00416D67" w14:paraId="6386ACC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73D7BB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CBF999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39.500,00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D74BAC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39.500,00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22D6A3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103.074,96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3515DC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260,95%</w:t>
            </w:r>
          </w:p>
        </w:tc>
      </w:tr>
      <w:tr w:rsidR="00416D67" w:rsidRPr="00416D67" w14:paraId="3A0641D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09F04D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4.2. Prihodi za posebne namjene komunalni doprinos</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F89A5F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39.500,00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EAFCF5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39.500,00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9B3013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103.074,96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341AFE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260,95%</w:t>
            </w:r>
          </w:p>
        </w:tc>
      </w:tr>
      <w:tr w:rsidR="00416D67" w:rsidRPr="00416D67" w14:paraId="64EBE81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D18473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4771FE9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7B401A3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39.500,00</w:t>
            </w:r>
          </w:p>
        </w:tc>
        <w:tc>
          <w:tcPr>
            <w:tcW w:w="1070" w:type="dxa"/>
            <w:tcBorders>
              <w:top w:val="single" w:sz="4" w:space="0" w:color="auto"/>
              <w:left w:val="nil"/>
              <w:bottom w:val="single" w:sz="4" w:space="0" w:color="auto"/>
              <w:right w:val="single" w:sz="4" w:space="0" w:color="auto"/>
            </w:tcBorders>
            <w:noWrap/>
            <w:vAlign w:val="bottom"/>
            <w:hideMark/>
          </w:tcPr>
          <w:p w14:paraId="653A1DB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39.500,00</w:t>
            </w:r>
          </w:p>
        </w:tc>
        <w:tc>
          <w:tcPr>
            <w:tcW w:w="1095" w:type="dxa"/>
            <w:tcBorders>
              <w:top w:val="single" w:sz="4" w:space="0" w:color="auto"/>
              <w:left w:val="nil"/>
              <w:bottom w:val="single" w:sz="4" w:space="0" w:color="auto"/>
              <w:right w:val="single" w:sz="4" w:space="0" w:color="auto"/>
            </w:tcBorders>
            <w:noWrap/>
            <w:vAlign w:val="bottom"/>
            <w:hideMark/>
          </w:tcPr>
          <w:p w14:paraId="0192299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2.625,00</w:t>
            </w:r>
          </w:p>
        </w:tc>
        <w:tc>
          <w:tcPr>
            <w:tcW w:w="918" w:type="dxa"/>
            <w:tcBorders>
              <w:top w:val="single" w:sz="4" w:space="0" w:color="auto"/>
              <w:left w:val="nil"/>
              <w:bottom w:val="single" w:sz="4" w:space="0" w:color="auto"/>
              <w:right w:val="single" w:sz="4" w:space="0" w:color="auto"/>
            </w:tcBorders>
            <w:noWrap/>
            <w:vAlign w:val="bottom"/>
            <w:hideMark/>
          </w:tcPr>
          <w:p w14:paraId="5F51EC8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6,65%</w:t>
            </w:r>
          </w:p>
        </w:tc>
      </w:tr>
      <w:tr w:rsidR="00416D67" w:rsidRPr="00416D67" w14:paraId="016C9C0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9346325" w14:textId="77777777" w:rsidR="00416D67" w:rsidRPr="00416D67" w:rsidRDefault="00416D67" w:rsidP="00416D67">
            <w:pPr>
              <w:rPr>
                <w:rFonts w:ascii="Arial" w:hAnsi="Arial" w:cs="Arial"/>
                <w:sz w:val="14"/>
                <w:szCs w:val="14"/>
              </w:rPr>
            </w:pPr>
            <w:r w:rsidRPr="00416D67">
              <w:rPr>
                <w:rFonts w:ascii="Arial" w:hAnsi="Arial" w:cs="Arial"/>
                <w:sz w:val="14"/>
                <w:szCs w:val="14"/>
              </w:rPr>
              <w:t>3237</w:t>
            </w:r>
          </w:p>
        </w:tc>
        <w:tc>
          <w:tcPr>
            <w:tcW w:w="8106" w:type="dxa"/>
            <w:tcBorders>
              <w:top w:val="single" w:sz="4" w:space="0" w:color="auto"/>
              <w:left w:val="nil"/>
              <w:bottom w:val="single" w:sz="4" w:space="0" w:color="auto"/>
              <w:right w:val="single" w:sz="4" w:space="0" w:color="auto"/>
            </w:tcBorders>
            <w:noWrap/>
            <w:vAlign w:val="bottom"/>
            <w:hideMark/>
          </w:tcPr>
          <w:p w14:paraId="79CC6EA2" w14:textId="77777777" w:rsidR="00416D67" w:rsidRPr="00416D67" w:rsidRDefault="00416D67" w:rsidP="00416D67">
            <w:pPr>
              <w:rPr>
                <w:rFonts w:ascii="Arial" w:hAnsi="Arial" w:cs="Arial"/>
                <w:sz w:val="14"/>
                <w:szCs w:val="14"/>
              </w:rPr>
            </w:pPr>
            <w:r w:rsidRPr="00416D67">
              <w:rPr>
                <w:rFonts w:ascii="Arial" w:hAnsi="Arial" w:cs="Arial"/>
                <w:sz w:val="14"/>
                <w:szCs w:val="14"/>
              </w:rPr>
              <w:t>Intelektualne i osobne usluge</w:t>
            </w:r>
          </w:p>
        </w:tc>
        <w:tc>
          <w:tcPr>
            <w:tcW w:w="1095" w:type="dxa"/>
            <w:tcBorders>
              <w:top w:val="single" w:sz="4" w:space="0" w:color="auto"/>
              <w:left w:val="nil"/>
              <w:bottom w:val="single" w:sz="4" w:space="0" w:color="auto"/>
              <w:right w:val="single" w:sz="4" w:space="0" w:color="auto"/>
            </w:tcBorders>
            <w:noWrap/>
            <w:vAlign w:val="bottom"/>
            <w:hideMark/>
          </w:tcPr>
          <w:p w14:paraId="32BD482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228580B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6A6EA8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2.625,00</w:t>
            </w:r>
          </w:p>
        </w:tc>
        <w:tc>
          <w:tcPr>
            <w:tcW w:w="918" w:type="dxa"/>
            <w:tcBorders>
              <w:top w:val="single" w:sz="4" w:space="0" w:color="auto"/>
              <w:left w:val="nil"/>
              <w:bottom w:val="single" w:sz="4" w:space="0" w:color="auto"/>
              <w:right w:val="single" w:sz="4" w:space="0" w:color="auto"/>
            </w:tcBorders>
            <w:noWrap/>
            <w:vAlign w:val="bottom"/>
            <w:hideMark/>
          </w:tcPr>
          <w:p w14:paraId="7C8124C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9EC18F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EAA286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20DE022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0004FFE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1070" w:type="dxa"/>
            <w:tcBorders>
              <w:top w:val="single" w:sz="4" w:space="0" w:color="auto"/>
              <w:left w:val="nil"/>
              <w:bottom w:val="single" w:sz="4" w:space="0" w:color="auto"/>
              <w:right w:val="single" w:sz="4" w:space="0" w:color="auto"/>
            </w:tcBorders>
            <w:noWrap/>
            <w:vAlign w:val="bottom"/>
            <w:hideMark/>
          </w:tcPr>
          <w:p w14:paraId="5AD9750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1095" w:type="dxa"/>
            <w:tcBorders>
              <w:top w:val="single" w:sz="4" w:space="0" w:color="auto"/>
              <w:left w:val="nil"/>
              <w:bottom w:val="single" w:sz="4" w:space="0" w:color="auto"/>
              <w:right w:val="single" w:sz="4" w:space="0" w:color="auto"/>
            </w:tcBorders>
            <w:noWrap/>
            <w:vAlign w:val="bottom"/>
            <w:hideMark/>
          </w:tcPr>
          <w:p w14:paraId="636AF43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100.449,96</w:t>
            </w:r>
          </w:p>
        </w:tc>
        <w:tc>
          <w:tcPr>
            <w:tcW w:w="918" w:type="dxa"/>
            <w:tcBorders>
              <w:top w:val="single" w:sz="4" w:space="0" w:color="auto"/>
              <w:left w:val="nil"/>
              <w:bottom w:val="single" w:sz="4" w:space="0" w:color="auto"/>
              <w:right w:val="single" w:sz="4" w:space="0" w:color="auto"/>
            </w:tcBorders>
            <w:noWrap/>
            <w:vAlign w:val="bottom"/>
            <w:hideMark/>
          </w:tcPr>
          <w:p w14:paraId="1927E0E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r>
      <w:tr w:rsidR="00416D67" w:rsidRPr="00416D67" w14:paraId="1C23696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185CEA2" w14:textId="77777777" w:rsidR="00416D67" w:rsidRPr="00416D67" w:rsidRDefault="00416D67" w:rsidP="00416D67">
            <w:pPr>
              <w:rPr>
                <w:rFonts w:ascii="Arial" w:hAnsi="Arial" w:cs="Arial"/>
                <w:sz w:val="14"/>
                <w:szCs w:val="14"/>
              </w:rPr>
            </w:pPr>
            <w:r w:rsidRPr="00416D67">
              <w:rPr>
                <w:rFonts w:ascii="Arial" w:hAnsi="Arial" w:cs="Arial"/>
                <w:sz w:val="14"/>
                <w:szCs w:val="14"/>
              </w:rPr>
              <w:t>4213</w:t>
            </w:r>
          </w:p>
        </w:tc>
        <w:tc>
          <w:tcPr>
            <w:tcW w:w="8106" w:type="dxa"/>
            <w:tcBorders>
              <w:top w:val="single" w:sz="4" w:space="0" w:color="auto"/>
              <w:left w:val="nil"/>
              <w:bottom w:val="single" w:sz="4" w:space="0" w:color="auto"/>
              <w:right w:val="single" w:sz="4" w:space="0" w:color="auto"/>
            </w:tcBorders>
            <w:noWrap/>
            <w:vAlign w:val="bottom"/>
            <w:hideMark/>
          </w:tcPr>
          <w:p w14:paraId="65550B12" w14:textId="77777777" w:rsidR="00416D67" w:rsidRPr="00416D67" w:rsidRDefault="00416D67" w:rsidP="00416D67">
            <w:pPr>
              <w:rPr>
                <w:rFonts w:ascii="Arial" w:hAnsi="Arial" w:cs="Arial"/>
                <w:sz w:val="14"/>
                <w:szCs w:val="14"/>
              </w:rPr>
            </w:pPr>
            <w:r w:rsidRPr="00416D67">
              <w:rPr>
                <w:rFonts w:ascii="Arial" w:hAnsi="Arial" w:cs="Arial"/>
                <w:sz w:val="14"/>
                <w:szCs w:val="14"/>
              </w:rPr>
              <w:t>Ceste, željeznice i ostali prometni objekti</w:t>
            </w:r>
          </w:p>
        </w:tc>
        <w:tc>
          <w:tcPr>
            <w:tcW w:w="1095" w:type="dxa"/>
            <w:tcBorders>
              <w:top w:val="single" w:sz="4" w:space="0" w:color="auto"/>
              <w:left w:val="nil"/>
              <w:bottom w:val="single" w:sz="4" w:space="0" w:color="auto"/>
              <w:right w:val="single" w:sz="4" w:space="0" w:color="auto"/>
            </w:tcBorders>
            <w:noWrap/>
            <w:vAlign w:val="bottom"/>
            <w:hideMark/>
          </w:tcPr>
          <w:p w14:paraId="0A9692C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D8A6D1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2888C3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100.449,96</w:t>
            </w:r>
          </w:p>
        </w:tc>
        <w:tc>
          <w:tcPr>
            <w:tcW w:w="918" w:type="dxa"/>
            <w:tcBorders>
              <w:top w:val="single" w:sz="4" w:space="0" w:color="auto"/>
              <w:left w:val="nil"/>
              <w:bottom w:val="single" w:sz="4" w:space="0" w:color="auto"/>
              <w:right w:val="single" w:sz="4" w:space="0" w:color="auto"/>
            </w:tcBorders>
            <w:noWrap/>
            <w:vAlign w:val="bottom"/>
            <w:hideMark/>
          </w:tcPr>
          <w:p w14:paraId="5B77C09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C28B3F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590198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7. Prihodi od prodaje ili zamjene nefinancijske imovine i </w:t>
            </w:r>
            <w:proofErr w:type="spellStart"/>
            <w:r w:rsidRPr="00416D67">
              <w:rPr>
                <w:rFonts w:ascii="Arial" w:hAnsi="Arial" w:cs="Arial"/>
                <w:b/>
                <w:bCs/>
                <w:color w:val="333333"/>
                <w:sz w:val="14"/>
                <w:szCs w:val="14"/>
              </w:rPr>
              <w:t>nakna</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430C40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177.300,00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DDC6AB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168.435,00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BF8226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43.208,42</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94D0E4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25,65%</w:t>
            </w:r>
          </w:p>
        </w:tc>
      </w:tr>
      <w:tr w:rsidR="00416D67" w:rsidRPr="00416D67" w14:paraId="1A1145C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08D2190"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7.1. 07 Prihodi od prodaje ili zamjene  </w:t>
            </w:r>
            <w:proofErr w:type="spellStart"/>
            <w:r w:rsidRPr="00416D67">
              <w:rPr>
                <w:rFonts w:ascii="Arial" w:hAnsi="Arial" w:cs="Arial"/>
                <w:b/>
                <w:bCs/>
                <w:color w:val="333333"/>
                <w:sz w:val="14"/>
                <w:szCs w:val="14"/>
              </w:rPr>
              <w:t>nefinanc.imovine</w:t>
            </w:r>
            <w:proofErr w:type="spellEnd"/>
            <w:r w:rsidRPr="00416D67">
              <w:rPr>
                <w:rFonts w:ascii="Arial" w:hAnsi="Arial" w:cs="Arial"/>
                <w:b/>
                <w:bCs/>
                <w:color w:val="333333"/>
                <w:sz w:val="14"/>
                <w:szCs w:val="14"/>
              </w:rPr>
              <w:t xml:space="preserve"> i </w:t>
            </w:r>
            <w:proofErr w:type="spellStart"/>
            <w:r w:rsidRPr="00416D67">
              <w:rPr>
                <w:rFonts w:ascii="Arial" w:hAnsi="Arial" w:cs="Arial"/>
                <w:b/>
                <w:bCs/>
                <w:color w:val="333333"/>
                <w:sz w:val="14"/>
                <w:szCs w:val="14"/>
              </w:rPr>
              <w:t>nadokn</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14D5D7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177.300,00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006808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168.435,00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47CC78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43.208,42</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1FE766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25,65%</w:t>
            </w:r>
          </w:p>
        </w:tc>
      </w:tr>
      <w:tr w:rsidR="00416D67" w:rsidRPr="00416D67" w14:paraId="124A55B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3ADCC0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5D788A3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745A8AB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177.300,00</w:t>
            </w:r>
          </w:p>
        </w:tc>
        <w:tc>
          <w:tcPr>
            <w:tcW w:w="1070" w:type="dxa"/>
            <w:tcBorders>
              <w:top w:val="single" w:sz="4" w:space="0" w:color="auto"/>
              <w:left w:val="nil"/>
              <w:bottom w:val="single" w:sz="4" w:space="0" w:color="auto"/>
              <w:right w:val="single" w:sz="4" w:space="0" w:color="auto"/>
            </w:tcBorders>
            <w:noWrap/>
            <w:vAlign w:val="bottom"/>
            <w:hideMark/>
          </w:tcPr>
          <w:p w14:paraId="50884D3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168.435,00</w:t>
            </w:r>
          </w:p>
        </w:tc>
        <w:tc>
          <w:tcPr>
            <w:tcW w:w="1095" w:type="dxa"/>
            <w:tcBorders>
              <w:top w:val="single" w:sz="4" w:space="0" w:color="auto"/>
              <w:left w:val="nil"/>
              <w:bottom w:val="single" w:sz="4" w:space="0" w:color="auto"/>
              <w:right w:val="single" w:sz="4" w:space="0" w:color="auto"/>
            </w:tcBorders>
            <w:noWrap/>
            <w:vAlign w:val="bottom"/>
            <w:hideMark/>
          </w:tcPr>
          <w:p w14:paraId="1806525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43.208,42</w:t>
            </w:r>
          </w:p>
        </w:tc>
        <w:tc>
          <w:tcPr>
            <w:tcW w:w="918" w:type="dxa"/>
            <w:tcBorders>
              <w:top w:val="single" w:sz="4" w:space="0" w:color="auto"/>
              <w:left w:val="nil"/>
              <w:bottom w:val="single" w:sz="4" w:space="0" w:color="auto"/>
              <w:right w:val="single" w:sz="4" w:space="0" w:color="auto"/>
            </w:tcBorders>
            <w:noWrap/>
            <w:vAlign w:val="bottom"/>
            <w:hideMark/>
          </w:tcPr>
          <w:p w14:paraId="459222B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25,65%</w:t>
            </w:r>
          </w:p>
        </w:tc>
      </w:tr>
      <w:tr w:rsidR="00416D67" w:rsidRPr="00416D67" w14:paraId="238BDAB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8C63C45" w14:textId="77777777" w:rsidR="00416D67" w:rsidRPr="00416D67" w:rsidRDefault="00416D67" w:rsidP="00416D67">
            <w:pPr>
              <w:rPr>
                <w:rFonts w:ascii="Arial" w:hAnsi="Arial" w:cs="Arial"/>
                <w:sz w:val="14"/>
                <w:szCs w:val="14"/>
              </w:rPr>
            </w:pPr>
            <w:r w:rsidRPr="00416D67">
              <w:rPr>
                <w:rFonts w:ascii="Arial" w:hAnsi="Arial" w:cs="Arial"/>
                <w:sz w:val="14"/>
                <w:szCs w:val="14"/>
              </w:rPr>
              <w:t>4213</w:t>
            </w:r>
          </w:p>
        </w:tc>
        <w:tc>
          <w:tcPr>
            <w:tcW w:w="8106" w:type="dxa"/>
            <w:tcBorders>
              <w:top w:val="single" w:sz="4" w:space="0" w:color="auto"/>
              <w:left w:val="nil"/>
              <w:bottom w:val="single" w:sz="4" w:space="0" w:color="auto"/>
              <w:right w:val="single" w:sz="4" w:space="0" w:color="auto"/>
            </w:tcBorders>
            <w:noWrap/>
            <w:vAlign w:val="bottom"/>
            <w:hideMark/>
          </w:tcPr>
          <w:p w14:paraId="7802FC27" w14:textId="77777777" w:rsidR="00416D67" w:rsidRPr="00416D67" w:rsidRDefault="00416D67" w:rsidP="00416D67">
            <w:pPr>
              <w:rPr>
                <w:rFonts w:ascii="Arial" w:hAnsi="Arial" w:cs="Arial"/>
                <w:sz w:val="14"/>
                <w:szCs w:val="14"/>
              </w:rPr>
            </w:pPr>
            <w:r w:rsidRPr="00416D67">
              <w:rPr>
                <w:rFonts w:ascii="Arial" w:hAnsi="Arial" w:cs="Arial"/>
                <w:sz w:val="14"/>
                <w:szCs w:val="14"/>
              </w:rPr>
              <w:t>Ceste, željeznice i ostali prometni objekti</w:t>
            </w:r>
          </w:p>
        </w:tc>
        <w:tc>
          <w:tcPr>
            <w:tcW w:w="1095" w:type="dxa"/>
            <w:tcBorders>
              <w:top w:val="single" w:sz="4" w:space="0" w:color="auto"/>
              <w:left w:val="nil"/>
              <w:bottom w:val="single" w:sz="4" w:space="0" w:color="auto"/>
              <w:right w:val="single" w:sz="4" w:space="0" w:color="auto"/>
            </w:tcBorders>
            <w:noWrap/>
            <w:vAlign w:val="bottom"/>
            <w:hideMark/>
          </w:tcPr>
          <w:p w14:paraId="2590634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2F3C442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60E4A1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43.208,42</w:t>
            </w:r>
          </w:p>
        </w:tc>
        <w:tc>
          <w:tcPr>
            <w:tcW w:w="918" w:type="dxa"/>
            <w:tcBorders>
              <w:top w:val="single" w:sz="4" w:space="0" w:color="auto"/>
              <w:left w:val="nil"/>
              <w:bottom w:val="single" w:sz="4" w:space="0" w:color="auto"/>
              <w:right w:val="single" w:sz="4" w:space="0" w:color="auto"/>
            </w:tcBorders>
            <w:noWrap/>
            <w:vAlign w:val="bottom"/>
            <w:hideMark/>
          </w:tcPr>
          <w:p w14:paraId="5D3DB66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198EE5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752B95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K100003</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4B9DC33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Kapitalni projekt: Izgradnja nerazvrstanih cesta u uređenim dijelovima građevinskih područja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E56985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440.425,00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5B1F953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437.960,00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5ABC3E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363.144,99</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09886BB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82,92%</w:t>
            </w:r>
          </w:p>
        </w:tc>
      </w:tr>
      <w:tr w:rsidR="00416D67" w:rsidRPr="00416D67" w14:paraId="6B81AC1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2FBAB6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BEAC88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391.125,00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91B117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391.125,00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E7923A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363.121,18</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85A4E7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92,84%</w:t>
            </w:r>
          </w:p>
        </w:tc>
      </w:tr>
      <w:tr w:rsidR="00416D67" w:rsidRPr="00416D67" w14:paraId="2C35F68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8B394F1"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4.2. Prihodi za posebne namjene komunalni doprinos</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C65D05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333.625,00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8F798C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333.625,00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DAD53C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306.396,54</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D73BD6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91,84%</w:t>
            </w:r>
          </w:p>
        </w:tc>
      </w:tr>
      <w:tr w:rsidR="00416D67" w:rsidRPr="00416D67" w14:paraId="0CE93BB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D3F784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76F6107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58E2627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14.500,00</w:t>
            </w:r>
          </w:p>
        </w:tc>
        <w:tc>
          <w:tcPr>
            <w:tcW w:w="1070" w:type="dxa"/>
            <w:tcBorders>
              <w:top w:val="single" w:sz="4" w:space="0" w:color="auto"/>
              <w:left w:val="nil"/>
              <w:bottom w:val="single" w:sz="4" w:space="0" w:color="auto"/>
              <w:right w:val="single" w:sz="4" w:space="0" w:color="auto"/>
            </w:tcBorders>
            <w:noWrap/>
            <w:vAlign w:val="bottom"/>
            <w:hideMark/>
          </w:tcPr>
          <w:p w14:paraId="7FE798A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14.500,00</w:t>
            </w:r>
          </w:p>
        </w:tc>
        <w:tc>
          <w:tcPr>
            <w:tcW w:w="1095" w:type="dxa"/>
            <w:tcBorders>
              <w:top w:val="single" w:sz="4" w:space="0" w:color="auto"/>
              <w:left w:val="nil"/>
              <w:bottom w:val="single" w:sz="4" w:space="0" w:color="auto"/>
              <w:right w:val="single" w:sz="4" w:space="0" w:color="auto"/>
            </w:tcBorders>
            <w:noWrap/>
            <w:vAlign w:val="bottom"/>
            <w:hideMark/>
          </w:tcPr>
          <w:p w14:paraId="72D979A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18.118,75</w:t>
            </w:r>
          </w:p>
        </w:tc>
        <w:tc>
          <w:tcPr>
            <w:tcW w:w="918" w:type="dxa"/>
            <w:tcBorders>
              <w:top w:val="single" w:sz="4" w:space="0" w:color="auto"/>
              <w:left w:val="nil"/>
              <w:bottom w:val="single" w:sz="4" w:space="0" w:color="auto"/>
              <w:right w:val="single" w:sz="4" w:space="0" w:color="auto"/>
            </w:tcBorders>
            <w:noWrap/>
            <w:vAlign w:val="bottom"/>
            <w:hideMark/>
          </w:tcPr>
          <w:p w14:paraId="1C1C836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124,96%</w:t>
            </w:r>
          </w:p>
        </w:tc>
      </w:tr>
      <w:tr w:rsidR="00416D67" w:rsidRPr="00416D67" w14:paraId="5422FF9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AA4B1A5" w14:textId="77777777" w:rsidR="00416D67" w:rsidRPr="00416D67" w:rsidRDefault="00416D67" w:rsidP="00416D67">
            <w:pPr>
              <w:rPr>
                <w:rFonts w:ascii="Arial" w:hAnsi="Arial" w:cs="Arial"/>
                <w:sz w:val="14"/>
                <w:szCs w:val="14"/>
              </w:rPr>
            </w:pPr>
            <w:r w:rsidRPr="00416D67">
              <w:rPr>
                <w:rFonts w:ascii="Arial" w:hAnsi="Arial" w:cs="Arial"/>
                <w:sz w:val="14"/>
                <w:szCs w:val="14"/>
              </w:rPr>
              <w:t>3237</w:t>
            </w:r>
          </w:p>
        </w:tc>
        <w:tc>
          <w:tcPr>
            <w:tcW w:w="8106" w:type="dxa"/>
            <w:tcBorders>
              <w:top w:val="single" w:sz="4" w:space="0" w:color="auto"/>
              <w:left w:val="nil"/>
              <w:bottom w:val="single" w:sz="4" w:space="0" w:color="auto"/>
              <w:right w:val="single" w:sz="4" w:space="0" w:color="auto"/>
            </w:tcBorders>
            <w:noWrap/>
            <w:vAlign w:val="bottom"/>
            <w:hideMark/>
          </w:tcPr>
          <w:p w14:paraId="4B4002CC" w14:textId="77777777" w:rsidR="00416D67" w:rsidRPr="00416D67" w:rsidRDefault="00416D67" w:rsidP="00416D67">
            <w:pPr>
              <w:rPr>
                <w:rFonts w:ascii="Arial" w:hAnsi="Arial" w:cs="Arial"/>
                <w:sz w:val="14"/>
                <w:szCs w:val="14"/>
              </w:rPr>
            </w:pPr>
            <w:r w:rsidRPr="00416D67">
              <w:rPr>
                <w:rFonts w:ascii="Arial" w:hAnsi="Arial" w:cs="Arial"/>
                <w:sz w:val="14"/>
                <w:szCs w:val="14"/>
              </w:rPr>
              <w:t>Intelektualne i osobne usluge</w:t>
            </w:r>
          </w:p>
        </w:tc>
        <w:tc>
          <w:tcPr>
            <w:tcW w:w="1095" w:type="dxa"/>
            <w:tcBorders>
              <w:top w:val="single" w:sz="4" w:space="0" w:color="auto"/>
              <w:left w:val="nil"/>
              <w:bottom w:val="single" w:sz="4" w:space="0" w:color="auto"/>
              <w:right w:val="single" w:sz="4" w:space="0" w:color="auto"/>
            </w:tcBorders>
            <w:noWrap/>
            <w:vAlign w:val="bottom"/>
            <w:hideMark/>
          </w:tcPr>
          <w:p w14:paraId="71B82F9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2077C4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4371BA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18.118,75</w:t>
            </w:r>
          </w:p>
        </w:tc>
        <w:tc>
          <w:tcPr>
            <w:tcW w:w="918" w:type="dxa"/>
            <w:tcBorders>
              <w:top w:val="single" w:sz="4" w:space="0" w:color="auto"/>
              <w:left w:val="nil"/>
              <w:bottom w:val="single" w:sz="4" w:space="0" w:color="auto"/>
              <w:right w:val="single" w:sz="4" w:space="0" w:color="auto"/>
            </w:tcBorders>
            <w:noWrap/>
            <w:vAlign w:val="bottom"/>
            <w:hideMark/>
          </w:tcPr>
          <w:p w14:paraId="412C1B6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DBB6B0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DB3921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4CF8D84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018DAD5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319.125,00</w:t>
            </w:r>
          </w:p>
        </w:tc>
        <w:tc>
          <w:tcPr>
            <w:tcW w:w="1070" w:type="dxa"/>
            <w:tcBorders>
              <w:top w:val="single" w:sz="4" w:space="0" w:color="auto"/>
              <w:left w:val="nil"/>
              <w:bottom w:val="single" w:sz="4" w:space="0" w:color="auto"/>
              <w:right w:val="single" w:sz="4" w:space="0" w:color="auto"/>
            </w:tcBorders>
            <w:noWrap/>
            <w:vAlign w:val="bottom"/>
            <w:hideMark/>
          </w:tcPr>
          <w:p w14:paraId="333F365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319.125,00</w:t>
            </w:r>
          </w:p>
        </w:tc>
        <w:tc>
          <w:tcPr>
            <w:tcW w:w="1095" w:type="dxa"/>
            <w:tcBorders>
              <w:top w:val="single" w:sz="4" w:space="0" w:color="auto"/>
              <w:left w:val="nil"/>
              <w:bottom w:val="single" w:sz="4" w:space="0" w:color="auto"/>
              <w:right w:val="single" w:sz="4" w:space="0" w:color="auto"/>
            </w:tcBorders>
            <w:noWrap/>
            <w:vAlign w:val="bottom"/>
            <w:hideMark/>
          </w:tcPr>
          <w:p w14:paraId="1B13DA9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288.277,79</w:t>
            </w:r>
          </w:p>
        </w:tc>
        <w:tc>
          <w:tcPr>
            <w:tcW w:w="918" w:type="dxa"/>
            <w:tcBorders>
              <w:top w:val="single" w:sz="4" w:space="0" w:color="auto"/>
              <w:left w:val="nil"/>
              <w:bottom w:val="single" w:sz="4" w:space="0" w:color="auto"/>
              <w:right w:val="single" w:sz="4" w:space="0" w:color="auto"/>
            </w:tcBorders>
            <w:noWrap/>
            <w:vAlign w:val="bottom"/>
            <w:hideMark/>
          </w:tcPr>
          <w:p w14:paraId="63B54F9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90,33%</w:t>
            </w:r>
          </w:p>
        </w:tc>
      </w:tr>
      <w:tr w:rsidR="00416D67" w:rsidRPr="00416D67" w14:paraId="0878DC7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A059D72" w14:textId="77777777" w:rsidR="00416D67" w:rsidRPr="00416D67" w:rsidRDefault="00416D67" w:rsidP="00416D67">
            <w:pPr>
              <w:rPr>
                <w:rFonts w:ascii="Arial" w:hAnsi="Arial" w:cs="Arial"/>
                <w:sz w:val="14"/>
                <w:szCs w:val="14"/>
              </w:rPr>
            </w:pPr>
            <w:r w:rsidRPr="00416D67">
              <w:rPr>
                <w:rFonts w:ascii="Arial" w:hAnsi="Arial" w:cs="Arial"/>
                <w:sz w:val="14"/>
                <w:szCs w:val="14"/>
              </w:rPr>
              <w:t>4213</w:t>
            </w:r>
          </w:p>
        </w:tc>
        <w:tc>
          <w:tcPr>
            <w:tcW w:w="8106" w:type="dxa"/>
            <w:tcBorders>
              <w:top w:val="single" w:sz="4" w:space="0" w:color="auto"/>
              <w:left w:val="nil"/>
              <w:bottom w:val="single" w:sz="4" w:space="0" w:color="auto"/>
              <w:right w:val="single" w:sz="4" w:space="0" w:color="auto"/>
            </w:tcBorders>
            <w:noWrap/>
            <w:vAlign w:val="bottom"/>
            <w:hideMark/>
          </w:tcPr>
          <w:p w14:paraId="2475F735" w14:textId="77777777" w:rsidR="00416D67" w:rsidRPr="00416D67" w:rsidRDefault="00416D67" w:rsidP="00416D67">
            <w:pPr>
              <w:rPr>
                <w:rFonts w:ascii="Arial" w:hAnsi="Arial" w:cs="Arial"/>
                <w:sz w:val="14"/>
                <w:szCs w:val="14"/>
              </w:rPr>
            </w:pPr>
            <w:r w:rsidRPr="00416D67">
              <w:rPr>
                <w:rFonts w:ascii="Arial" w:hAnsi="Arial" w:cs="Arial"/>
                <w:sz w:val="14"/>
                <w:szCs w:val="14"/>
              </w:rPr>
              <w:t>Ceste, željeznice i ostali prometni objekti</w:t>
            </w:r>
          </w:p>
        </w:tc>
        <w:tc>
          <w:tcPr>
            <w:tcW w:w="1095" w:type="dxa"/>
            <w:tcBorders>
              <w:top w:val="single" w:sz="4" w:space="0" w:color="auto"/>
              <w:left w:val="nil"/>
              <w:bottom w:val="single" w:sz="4" w:space="0" w:color="auto"/>
              <w:right w:val="single" w:sz="4" w:space="0" w:color="auto"/>
            </w:tcBorders>
            <w:noWrap/>
            <w:vAlign w:val="bottom"/>
            <w:hideMark/>
          </w:tcPr>
          <w:p w14:paraId="5C99691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461AA7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1D47A0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288.277,79</w:t>
            </w:r>
          </w:p>
        </w:tc>
        <w:tc>
          <w:tcPr>
            <w:tcW w:w="918" w:type="dxa"/>
            <w:tcBorders>
              <w:top w:val="single" w:sz="4" w:space="0" w:color="auto"/>
              <w:left w:val="nil"/>
              <w:bottom w:val="single" w:sz="4" w:space="0" w:color="auto"/>
              <w:right w:val="single" w:sz="4" w:space="0" w:color="auto"/>
            </w:tcBorders>
            <w:noWrap/>
            <w:vAlign w:val="bottom"/>
            <w:hideMark/>
          </w:tcPr>
          <w:p w14:paraId="3F5A5B9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584854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FAF946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4.3.2 Eksploatacija mineralnih sirovina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DDE24D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56.500,00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E372C2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56.500,00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5A4F5C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56.347,37</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474F26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99,73%</w:t>
            </w:r>
          </w:p>
        </w:tc>
      </w:tr>
      <w:tr w:rsidR="00416D67" w:rsidRPr="00416D67" w14:paraId="09361A4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7FACF0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0BE573F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7C9ED9E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56.500,00</w:t>
            </w:r>
          </w:p>
        </w:tc>
        <w:tc>
          <w:tcPr>
            <w:tcW w:w="1070" w:type="dxa"/>
            <w:tcBorders>
              <w:top w:val="single" w:sz="4" w:space="0" w:color="auto"/>
              <w:left w:val="nil"/>
              <w:bottom w:val="single" w:sz="4" w:space="0" w:color="auto"/>
              <w:right w:val="single" w:sz="4" w:space="0" w:color="auto"/>
            </w:tcBorders>
            <w:noWrap/>
            <w:vAlign w:val="bottom"/>
            <w:hideMark/>
          </w:tcPr>
          <w:p w14:paraId="751AEAA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56.500,00</w:t>
            </w:r>
          </w:p>
        </w:tc>
        <w:tc>
          <w:tcPr>
            <w:tcW w:w="1095" w:type="dxa"/>
            <w:tcBorders>
              <w:top w:val="single" w:sz="4" w:space="0" w:color="auto"/>
              <w:left w:val="nil"/>
              <w:bottom w:val="single" w:sz="4" w:space="0" w:color="auto"/>
              <w:right w:val="single" w:sz="4" w:space="0" w:color="auto"/>
            </w:tcBorders>
            <w:noWrap/>
            <w:vAlign w:val="bottom"/>
            <w:hideMark/>
          </w:tcPr>
          <w:p w14:paraId="24A80FD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56.347,37</w:t>
            </w:r>
          </w:p>
        </w:tc>
        <w:tc>
          <w:tcPr>
            <w:tcW w:w="918" w:type="dxa"/>
            <w:tcBorders>
              <w:top w:val="single" w:sz="4" w:space="0" w:color="auto"/>
              <w:left w:val="nil"/>
              <w:bottom w:val="single" w:sz="4" w:space="0" w:color="auto"/>
              <w:right w:val="single" w:sz="4" w:space="0" w:color="auto"/>
            </w:tcBorders>
            <w:noWrap/>
            <w:vAlign w:val="bottom"/>
            <w:hideMark/>
          </w:tcPr>
          <w:p w14:paraId="5E7352A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99,73%</w:t>
            </w:r>
          </w:p>
        </w:tc>
      </w:tr>
      <w:tr w:rsidR="00416D67" w:rsidRPr="00416D67" w14:paraId="23774B4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B9AA7D9" w14:textId="77777777" w:rsidR="00416D67" w:rsidRPr="00416D67" w:rsidRDefault="00416D67" w:rsidP="00416D67">
            <w:pPr>
              <w:rPr>
                <w:rFonts w:ascii="Arial" w:hAnsi="Arial" w:cs="Arial"/>
                <w:sz w:val="14"/>
                <w:szCs w:val="14"/>
              </w:rPr>
            </w:pPr>
            <w:r w:rsidRPr="00416D67">
              <w:rPr>
                <w:rFonts w:ascii="Arial" w:hAnsi="Arial" w:cs="Arial"/>
                <w:sz w:val="14"/>
                <w:szCs w:val="14"/>
              </w:rPr>
              <w:t>4213</w:t>
            </w:r>
          </w:p>
        </w:tc>
        <w:tc>
          <w:tcPr>
            <w:tcW w:w="8106" w:type="dxa"/>
            <w:tcBorders>
              <w:top w:val="single" w:sz="4" w:space="0" w:color="auto"/>
              <w:left w:val="nil"/>
              <w:bottom w:val="single" w:sz="4" w:space="0" w:color="auto"/>
              <w:right w:val="single" w:sz="4" w:space="0" w:color="auto"/>
            </w:tcBorders>
            <w:noWrap/>
            <w:vAlign w:val="bottom"/>
            <w:hideMark/>
          </w:tcPr>
          <w:p w14:paraId="7726276A" w14:textId="77777777" w:rsidR="00416D67" w:rsidRPr="00416D67" w:rsidRDefault="00416D67" w:rsidP="00416D67">
            <w:pPr>
              <w:rPr>
                <w:rFonts w:ascii="Arial" w:hAnsi="Arial" w:cs="Arial"/>
                <w:sz w:val="14"/>
                <w:szCs w:val="14"/>
              </w:rPr>
            </w:pPr>
            <w:r w:rsidRPr="00416D67">
              <w:rPr>
                <w:rFonts w:ascii="Arial" w:hAnsi="Arial" w:cs="Arial"/>
                <w:sz w:val="14"/>
                <w:szCs w:val="14"/>
              </w:rPr>
              <w:t>Ceste, željeznice i ostali prometni objekti</w:t>
            </w:r>
          </w:p>
        </w:tc>
        <w:tc>
          <w:tcPr>
            <w:tcW w:w="1095" w:type="dxa"/>
            <w:tcBorders>
              <w:top w:val="single" w:sz="4" w:space="0" w:color="auto"/>
              <w:left w:val="nil"/>
              <w:bottom w:val="single" w:sz="4" w:space="0" w:color="auto"/>
              <w:right w:val="single" w:sz="4" w:space="0" w:color="auto"/>
            </w:tcBorders>
            <w:noWrap/>
            <w:vAlign w:val="bottom"/>
            <w:hideMark/>
          </w:tcPr>
          <w:p w14:paraId="0DC309D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E5C579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7990C5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56.347,37</w:t>
            </w:r>
          </w:p>
        </w:tc>
        <w:tc>
          <w:tcPr>
            <w:tcW w:w="918" w:type="dxa"/>
            <w:tcBorders>
              <w:top w:val="single" w:sz="4" w:space="0" w:color="auto"/>
              <w:left w:val="nil"/>
              <w:bottom w:val="single" w:sz="4" w:space="0" w:color="auto"/>
              <w:right w:val="single" w:sz="4" w:space="0" w:color="auto"/>
            </w:tcBorders>
            <w:noWrap/>
            <w:vAlign w:val="bottom"/>
            <w:hideMark/>
          </w:tcPr>
          <w:p w14:paraId="157ACF8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16BCE8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908EB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4.3.4 Vodni doprinos</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EC079E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911177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FBEF36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377,27</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B8C537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37,73%</w:t>
            </w:r>
          </w:p>
        </w:tc>
      </w:tr>
      <w:tr w:rsidR="00416D67" w:rsidRPr="00416D67" w14:paraId="57FB3B4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FDF157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4C46685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441CCFB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1070" w:type="dxa"/>
            <w:tcBorders>
              <w:top w:val="single" w:sz="4" w:space="0" w:color="auto"/>
              <w:left w:val="nil"/>
              <w:bottom w:val="single" w:sz="4" w:space="0" w:color="auto"/>
              <w:right w:val="single" w:sz="4" w:space="0" w:color="auto"/>
            </w:tcBorders>
            <w:noWrap/>
            <w:vAlign w:val="bottom"/>
            <w:hideMark/>
          </w:tcPr>
          <w:p w14:paraId="2059916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1095" w:type="dxa"/>
            <w:tcBorders>
              <w:top w:val="single" w:sz="4" w:space="0" w:color="auto"/>
              <w:left w:val="nil"/>
              <w:bottom w:val="single" w:sz="4" w:space="0" w:color="auto"/>
              <w:right w:val="single" w:sz="4" w:space="0" w:color="auto"/>
            </w:tcBorders>
            <w:noWrap/>
            <w:vAlign w:val="bottom"/>
            <w:hideMark/>
          </w:tcPr>
          <w:p w14:paraId="272AC6F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377,27</w:t>
            </w:r>
          </w:p>
        </w:tc>
        <w:tc>
          <w:tcPr>
            <w:tcW w:w="918" w:type="dxa"/>
            <w:tcBorders>
              <w:top w:val="single" w:sz="4" w:space="0" w:color="auto"/>
              <w:left w:val="nil"/>
              <w:bottom w:val="single" w:sz="4" w:space="0" w:color="auto"/>
              <w:right w:val="single" w:sz="4" w:space="0" w:color="auto"/>
            </w:tcBorders>
            <w:noWrap/>
            <w:vAlign w:val="bottom"/>
            <w:hideMark/>
          </w:tcPr>
          <w:p w14:paraId="2F1F1F2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37,73%</w:t>
            </w:r>
          </w:p>
        </w:tc>
      </w:tr>
      <w:tr w:rsidR="00416D67" w:rsidRPr="00416D67" w14:paraId="5D917E8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C1E6617" w14:textId="77777777" w:rsidR="00416D67" w:rsidRPr="00416D67" w:rsidRDefault="00416D67" w:rsidP="00416D67">
            <w:pPr>
              <w:rPr>
                <w:rFonts w:ascii="Arial" w:hAnsi="Arial" w:cs="Arial"/>
                <w:sz w:val="14"/>
                <w:szCs w:val="14"/>
              </w:rPr>
            </w:pPr>
            <w:r w:rsidRPr="00416D67">
              <w:rPr>
                <w:rFonts w:ascii="Arial" w:hAnsi="Arial" w:cs="Arial"/>
                <w:sz w:val="14"/>
                <w:szCs w:val="14"/>
              </w:rPr>
              <w:t>4213</w:t>
            </w:r>
          </w:p>
        </w:tc>
        <w:tc>
          <w:tcPr>
            <w:tcW w:w="8106" w:type="dxa"/>
            <w:tcBorders>
              <w:top w:val="single" w:sz="4" w:space="0" w:color="auto"/>
              <w:left w:val="nil"/>
              <w:bottom w:val="single" w:sz="4" w:space="0" w:color="auto"/>
              <w:right w:val="single" w:sz="4" w:space="0" w:color="auto"/>
            </w:tcBorders>
            <w:noWrap/>
            <w:vAlign w:val="bottom"/>
            <w:hideMark/>
          </w:tcPr>
          <w:p w14:paraId="153F62E4" w14:textId="77777777" w:rsidR="00416D67" w:rsidRPr="00416D67" w:rsidRDefault="00416D67" w:rsidP="00416D67">
            <w:pPr>
              <w:rPr>
                <w:rFonts w:ascii="Arial" w:hAnsi="Arial" w:cs="Arial"/>
                <w:sz w:val="14"/>
                <w:szCs w:val="14"/>
              </w:rPr>
            </w:pPr>
            <w:r w:rsidRPr="00416D67">
              <w:rPr>
                <w:rFonts w:ascii="Arial" w:hAnsi="Arial" w:cs="Arial"/>
                <w:sz w:val="14"/>
                <w:szCs w:val="14"/>
              </w:rPr>
              <w:t>Ceste, željeznice i ostali prometni objekti</w:t>
            </w:r>
          </w:p>
        </w:tc>
        <w:tc>
          <w:tcPr>
            <w:tcW w:w="1095" w:type="dxa"/>
            <w:tcBorders>
              <w:top w:val="single" w:sz="4" w:space="0" w:color="auto"/>
              <w:left w:val="nil"/>
              <w:bottom w:val="single" w:sz="4" w:space="0" w:color="auto"/>
              <w:right w:val="single" w:sz="4" w:space="0" w:color="auto"/>
            </w:tcBorders>
            <w:noWrap/>
            <w:vAlign w:val="bottom"/>
            <w:hideMark/>
          </w:tcPr>
          <w:p w14:paraId="3BC172D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75F437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CAB661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377,27</w:t>
            </w:r>
          </w:p>
        </w:tc>
        <w:tc>
          <w:tcPr>
            <w:tcW w:w="918" w:type="dxa"/>
            <w:tcBorders>
              <w:top w:val="single" w:sz="4" w:space="0" w:color="auto"/>
              <w:left w:val="nil"/>
              <w:bottom w:val="single" w:sz="4" w:space="0" w:color="auto"/>
              <w:right w:val="single" w:sz="4" w:space="0" w:color="auto"/>
            </w:tcBorders>
            <w:noWrap/>
            <w:vAlign w:val="bottom"/>
            <w:hideMark/>
          </w:tcPr>
          <w:p w14:paraId="0678A65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1F00B8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1AF68E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7. Prihodi od prodaje ili zamjene nefinancijske imovine i </w:t>
            </w:r>
            <w:proofErr w:type="spellStart"/>
            <w:r w:rsidRPr="00416D67">
              <w:rPr>
                <w:rFonts w:ascii="Arial" w:hAnsi="Arial" w:cs="Arial"/>
                <w:b/>
                <w:bCs/>
                <w:color w:val="333333"/>
                <w:sz w:val="14"/>
                <w:szCs w:val="14"/>
              </w:rPr>
              <w:t>nakna</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158C67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49.300,00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5C31E9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46.835,00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97A8D9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23,81</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D9756F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0,05%</w:t>
            </w:r>
          </w:p>
        </w:tc>
      </w:tr>
      <w:tr w:rsidR="00416D67" w:rsidRPr="00416D67" w14:paraId="2EB1E6B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0F75D6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7.1. 07 Prihodi od prodaje ili zamjene  </w:t>
            </w:r>
            <w:proofErr w:type="spellStart"/>
            <w:r w:rsidRPr="00416D67">
              <w:rPr>
                <w:rFonts w:ascii="Arial" w:hAnsi="Arial" w:cs="Arial"/>
                <w:b/>
                <w:bCs/>
                <w:color w:val="333333"/>
                <w:sz w:val="14"/>
                <w:szCs w:val="14"/>
              </w:rPr>
              <w:t>nefinanc.imovine</w:t>
            </w:r>
            <w:proofErr w:type="spellEnd"/>
            <w:r w:rsidRPr="00416D67">
              <w:rPr>
                <w:rFonts w:ascii="Arial" w:hAnsi="Arial" w:cs="Arial"/>
                <w:b/>
                <w:bCs/>
                <w:color w:val="333333"/>
                <w:sz w:val="14"/>
                <w:szCs w:val="14"/>
              </w:rPr>
              <w:t xml:space="preserve"> i </w:t>
            </w:r>
            <w:proofErr w:type="spellStart"/>
            <w:r w:rsidRPr="00416D67">
              <w:rPr>
                <w:rFonts w:ascii="Arial" w:hAnsi="Arial" w:cs="Arial"/>
                <w:b/>
                <w:bCs/>
                <w:color w:val="333333"/>
                <w:sz w:val="14"/>
                <w:szCs w:val="14"/>
              </w:rPr>
              <w:t>nadokn</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CC677E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49.300,00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4F2E11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46.835,00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4B0FE3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23,81</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515C1A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0,05%</w:t>
            </w:r>
          </w:p>
        </w:tc>
      </w:tr>
      <w:tr w:rsidR="00416D67" w:rsidRPr="00416D67" w14:paraId="7A4DF06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9EC371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760B6EC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2FA5FCA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49.300,00</w:t>
            </w:r>
          </w:p>
        </w:tc>
        <w:tc>
          <w:tcPr>
            <w:tcW w:w="1070" w:type="dxa"/>
            <w:tcBorders>
              <w:top w:val="single" w:sz="4" w:space="0" w:color="auto"/>
              <w:left w:val="nil"/>
              <w:bottom w:val="single" w:sz="4" w:space="0" w:color="auto"/>
              <w:right w:val="single" w:sz="4" w:space="0" w:color="auto"/>
            </w:tcBorders>
            <w:noWrap/>
            <w:vAlign w:val="bottom"/>
            <w:hideMark/>
          </w:tcPr>
          <w:p w14:paraId="0DDA27E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46.835,00</w:t>
            </w:r>
          </w:p>
        </w:tc>
        <w:tc>
          <w:tcPr>
            <w:tcW w:w="1095" w:type="dxa"/>
            <w:tcBorders>
              <w:top w:val="single" w:sz="4" w:space="0" w:color="auto"/>
              <w:left w:val="nil"/>
              <w:bottom w:val="single" w:sz="4" w:space="0" w:color="auto"/>
              <w:right w:val="single" w:sz="4" w:space="0" w:color="auto"/>
            </w:tcBorders>
            <w:noWrap/>
            <w:vAlign w:val="bottom"/>
            <w:hideMark/>
          </w:tcPr>
          <w:p w14:paraId="05387F5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23,81</w:t>
            </w:r>
          </w:p>
        </w:tc>
        <w:tc>
          <w:tcPr>
            <w:tcW w:w="918" w:type="dxa"/>
            <w:tcBorders>
              <w:top w:val="single" w:sz="4" w:space="0" w:color="auto"/>
              <w:left w:val="nil"/>
              <w:bottom w:val="single" w:sz="4" w:space="0" w:color="auto"/>
              <w:right w:val="single" w:sz="4" w:space="0" w:color="auto"/>
            </w:tcBorders>
            <w:noWrap/>
            <w:vAlign w:val="bottom"/>
            <w:hideMark/>
          </w:tcPr>
          <w:p w14:paraId="637AD51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0,05%</w:t>
            </w:r>
          </w:p>
        </w:tc>
      </w:tr>
      <w:tr w:rsidR="00416D67" w:rsidRPr="00416D67" w14:paraId="4014FB7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B0C94D5" w14:textId="77777777" w:rsidR="00416D67" w:rsidRPr="00416D67" w:rsidRDefault="00416D67" w:rsidP="00416D67">
            <w:pPr>
              <w:rPr>
                <w:rFonts w:ascii="Arial" w:hAnsi="Arial" w:cs="Arial"/>
                <w:sz w:val="14"/>
                <w:szCs w:val="14"/>
              </w:rPr>
            </w:pPr>
            <w:r w:rsidRPr="00416D67">
              <w:rPr>
                <w:rFonts w:ascii="Arial" w:hAnsi="Arial" w:cs="Arial"/>
                <w:sz w:val="14"/>
                <w:szCs w:val="14"/>
              </w:rPr>
              <w:t>4213</w:t>
            </w:r>
          </w:p>
        </w:tc>
        <w:tc>
          <w:tcPr>
            <w:tcW w:w="8106" w:type="dxa"/>
            <w:tcBorders>
              <w:top w:val="single" w:sz="4" w:space="0" w:color="auto"/>
              <w:left w:val="nil"/>
              <w:bottom w:val="single" w:sz="4" w:space="0" w:color="auto"/>
              <w:right w:val="single" w:sz="4" w:space="0" w:color="auto"/>
            </w:tcBorders>
            <w:noWrap/>
            <w:vAlign w:val="bottom"/>
            <w:hideMark/>
          </w:tcPr>
          <w:p w14:paraId="4CB67B22" w14:textId="77777777" w:rsidR="00416D67" w:rsidRPr="00416D67" w:rsidRDefault="00416D67" w:rsidP="00416D67">
            <w:pPr>
              <w:rPr>
                <w:rFonts w:ascii="Arial" w:hAnsi="Arial" w:cs="Arial"/>
                <w:sz w:val="14"/>
                <w:szCs w:val="14"/>
              </w:rPr>
            </w:pPr>
            <w:r w:rsidRPr="00416D67">
              <w:rPr>
                <w:rFonts w:ascii="Arial" w:hAnsi="Arial" w:cs="Arial"/>
                <w:sz w:val="14"/>
                <w:szCs w:val="14"/>
              </w:rPr>
              <w:t>Ceste, željeznice i ostali prometni objekti</w:t>
            </w:r>
          </w:p>
        </w:tc>
        <w:tc>
          <w:tcPr>
            <w:tcW w:w="1095" w:type="dxa"/>
            <w:tcBorders>
              <w:top w:val="single" w:sz="4" w:space="0" w:color="auto"/>
              <w:left w:val="nil"/>
              <w:bottom w:val="single" w:sz="4" w:space="0" w:color="auto"/>
              <w:right w:val="single" w:sz="4" w:space="0" w:color="auto"/>
            </w:tcBorders>
            <w:noWrap/>
            <w:vAlign w:val="bottom"/>
            <w:hideMark/>
          </w:tcPr>
          <w:p w14:paraId="0F9E935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186DE6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E0EC39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23,81</w:t>
            </w:r>
          </w:p>
        </w:tc>
        <w:tc>
          <w:tcPr>
            <w:tcW w:w="918" w:type="dxa"/>
            <w:tcBorders>
              <w:top w:val="single" w:sz="4" w:space="0" w:color="auto"/>
              <w:left w:val="nil"/>
              <w:bottom w:val="single" w:sz="4" w:space="0" w:color="auto"/>
              <w:right w:val="single" w:sz="4" w:space="0" w:color="auto"/>
            </w:tcBorders>
            <w:noWrap/>
            <w:vAlign w:val="bottom"/>
            <w:hideMark/>
          </w:tcPr>
          <w:p w14:paraId="5771B40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E91BEA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FFED1A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K100004</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6DBEB97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Kapitalni projekt: Izgradnja nerazvrstanih cesta izvan građevinskih područja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8DD8EA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195.000,00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76B66BB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189.075,00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F4F3D8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101.620,11</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2DF802D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53,75%</w:t>
            </w:r>
          </w:p>
        </w:tc>
      </w:tr>
      <w:tr w:rsidR="00416D67" w:rsidRPr="00416D67" w14:paraId="512B774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84D0B7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EBE213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76.500,00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F0DD36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76.500,00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07544F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101.620,11</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DE339C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132,84%</w:t>
            </w:r>
          </w:p>
        </w:tc>
      </w:tr>
      <w:tr w:rsidR="00416D67" w:rsidRPr="00416D67" w14:paraId="2EC3828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B8BDAA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4.2. Prihodi za posebne namjene komunalni doprinos</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F4FF5D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76.500,00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995E86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76.500,00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702A2D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101.620,11</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B2D2A7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132,84%</w:t>
            </w:r>
          </w:p>
        </w:tc>
      </w:tr>
      <w:tr w:rsidR="00416D67" w:rsidRPr="00416D67" w14:paraId="612C9DA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D72763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4B2CFBC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17C41A8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76.500,00</w:t>
            </w:r>
          </w:p>
        </w:tc>
        <w:tc>
          <w:tcPr>
            <w:tcW w:w="1070" w:type="dxa"/>
            <w:tcBorders>
              <w:top w:val="single" w:sz="4" w:space="0" w:color="auto"/>
              <w:left w:val="nil"/>
              <w:bottom w:val="single" w:sz="4" w:space="0" w:color="auto"/>
              <w:right w:val="single" w:sz="4" w:space="0" w:color="auto"/>
            </w:tcBorders>
            <w:noWrap/>
            <w:vAlign w:val="bottom"/>
            <w:hideMark/>
          </w:tcPr>
          <w:p w14:paraId="593A4B9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76.500,00</w:t>
            </w:r>
          </w:p>
        </w:tc>
        <w:tc>
          <w:tcPr>
            <w:tcW w:w="1095" w:type="dxa"/>
            <w:tcBorders>
              <w:top w:val="single" w:sz="4" w:space="0" w:color="auto"/>
              <w:left w:val="nil"/>
              <w:bottom w:val="single" w:sz="4" w:space="0" w:color="auto"/>
              <w:right w:val="single" w:sz="4" w:space="0" w:color="auto"/>
            </w:tcBorders>
            <w:noWrap/>
            <w:vAlign w:val="bottom"/>
            <w:hideMark/>
          </w:tcPr>
          <w:p w14:paraId="2C73A41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21.737,50</w:t>
            </w:r>
          </w:p>
        </w:tc>
        <w:tc>
          <w:tcPr>
            <w:tcW w:w="918" w:type="dxa"/>
            <w:tcBorders>
              <w:top w:val="single" w:sz="4" w:space="0" w:color="auto"/>
              <w:left w:val="nil"/>
              <w:bottom w:val="single" w:sz="4" w:space="0" w:color="auto"/>
              <w:right w:val="single" w:sz="4" w:space="0" w:color="auto"/>
            </w:tcBorders>
            <w:noWrap/>
            <w:vAlign w:val="bottom"/>
            <w:hideMark/>
          </w:tcPr>
          <w:p w14:paraId="6B6A1EC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28,42%</w:t>
            </w:r>
          </w:p>
        </w:tc>
      </w:tr>
      <w:tr w:rsidR="00416D67" w:rsidRPr="00416D67" w14:paraId="034CBFC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7A7E669" w14:textId="77777777" w:rsidR="00416D67" w:rsidRPr="00416D67" w:rsidRDefault="00416D67" w:rsidP="00416D67">
            <w:pPr>
              <w:rPr>
                <w:rFonts w:ascii="Arial" w:hAnsi="Arial" w:cs="Arial"/>
                <w:sz w:val="14"/>
                <w:szCs w:val="14"/>
              </w:rPr>
            </w:pPr>
            <w:r w:rsidRPr="00416D67">
              <w:rPr>
                <w:rFonts w:ascii="Arial" w:hAnsi="Arial" w:cs="Arial"/>
                <w:sz w:val="14"/>
                <w:szCs w:val="14"/>
              </w:rPr>
              <w:t>3237</w:t>
            </w:r>
          </w:p>
        </w:tc>
        <w:tc>
          <w:tcPr>
            <w:tcW w:w="8106" w:type="dxa"/>
            <w:tcBorders>
              <w:top w:val="single" w:sz="4" w:space="0" w:color="auto"/>
              <w:left w:val="nil"/>
              <w:bottom w:val="single" w:sz="4" w:space="0" w:color="auto"/>
              <w:right w:val="single" w:sz="4" w:space="0" w:color="auto"/>
            </w:tcBorders>
            <w:noWrap/>
            <w:vAlign w:val="bottom"/>
            <w:hideMark/>
          </w:tcPr>
          <w:p w14:paraId="4F3EF11B" w14:textId="77777777" w:rsidR="00416D67" w:rsidRPr="00416D67" w:rsidRDefault="00416D67" w:rsidP="00416D67">
            <w:pPr>
              <w:rPr>
                <w:rFonts w:ascii="Arial" w:hAnsi="Arial" w:cs="Arial"/>
                <w:sz w:val="14"/>
                <w:szCs w:val="14"/>
              </w:rPr>
            </w:pPr>
            <w:r w:rsidRPr="00416D67">
              <w:rPr>
                <w:rFonts w:ascii="Arial" w:hAnsi="Arial" w:cs="Arial"/>
                <w:sz w:val="14"/>
                <w:szCs w:val="14"/>
              </w:rPr>
              <w:t>Intelektualne i osobne usluge</w:t>
            </w:r>
          </w:p>
        </w:tc>
        <w:tc>
          <w:tcPr>
            <w:tcW w:w="1095" w:type="dxa"/>
            <w:tcBorders>
              <w:top w:val="single" w:sz="4" w:space="0" w:color="auto"/>
              <w:left w:val="nil"/>
              <w:bottom w:val="single" w:sz="4" w:space="0" w:color="auto"/>
              <w:right w:val="single" w:sz="4" w:space="0" w:color="auto"/>
            </w:tcBorders>
            <w:noWrap/>
            <w:vAlign w:val="bottom"/>
            <w:hideMark/>
          </w:tcPr>
          <w:p w14:paraId="3CB4840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439FDF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FD115D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21.737,50</w:t>
            </w:r>
          </w:p>
        </w:tc>
        <w:tc>
          <w:tcPr>
            <w:tcW w:w="918" w:type="dxa"/>
            <w:tcBorders>
              <w:top w:val="single" w:sz="4" w:space="0" w:color="auto"/>
              <w:left w:val="nil"/>
              <w:bottom w:val="single" w:sz="4" w:space="0" w:color="auto"/>
              <w:right w:val="single" w:sz="4" w:space="0" w:color="auto"/>
            </w:tcBorders>
            <w:noWrap/>
            <w:vAlign w:val="bottom"/>
            <w:hideMark/>
          </w:tcPr>
          <w:p w14:paraId="433FD7F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D6DE1F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265ECB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0B37F86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7D40C3C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1070" w:type="dxa"/>
            <w:tcBorders>
              <w:top w:val="single" w:sz="4" w:space="0" w:color="auto"/>
              <w:left w:val="nil"/>
              <w:bottom w:val="single" w:sz="4" w:space="0" w:color="auto"/>
              <w:right w:val="single" w:sz="4" w:space="0" w:color="auto"/>
            </w:tcBorders>
            <w:noWrap/>
            <w:vAlign w:val="bottom"/>
            <w:hideMark/>
          </w:tcPr>
          <w:p w14:paraId="38A2C27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1095" w:type="dxa"/>
            <w:tcBorders>
              <w:top w:val="single" w:sz="4" w:space="0" w:color="auto"/>
              <w:left w:val="nil"/>
              <w:bottom w:val="single" w:sz="4" w:space="0" w:color="auto"/>
              <w:right w:val="single" w:sz="4" w:space="0" w:color="auto"/>
            </w:tcBorders>
            <w:noWrap/>
            <w:vAlign w:val="bottom"/>
            <w:hideMark/>
          </w:tcPr>
          <w:p w14:paraId="570C2D8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79.882,61</w:t>
            </w:r>
          </w:p>
        </w:tc>
        <w:tc>
          <w:tcPr>
            <w:tcW w:w="918" w:type="dxa"/>
            <w:tcBorders>
              <w:top w:val="single" w:sz="4" w:space="0" w:color="auto"/>
              <w:left w:val="nil"/>
              <w:bottom w:val="single" w:sz="4" w:space="0" w:color="auto"/>
              <w:right w:val="single" w:sz="4" w:space="0" w:color="auto"/>
            </w:tcBorders>
            <w:noWrap/>
            <w:vAlign w:val="bottom"/>
            <w:hideMark/>
          </w:tcPr>
          <w:p w14:paraId="093B27A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r>
      <w:tr w:rsidR="00416D67" w:rsidRPr="00416D67" w14:paraId="46AE76F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B8219C5" w14:textId="77777777" w:rsidR="00416D67" w:rsidRPr="00416D67" w:rsidRDefault="00416D67" w:rsidP="00416D67">
            <w:pPr>
              <w:rPr>
                <w:rFonts w:ascii="Arial" w:hAnsi="Arial" w:cs="Arial"/>
                <w:sz w:val="14"/>
                <w:szCs w:val="14"/>
              </w:rPr>
            </w:pPr>
            <w:r w:rsidRPr="00416D67">
              <w:rPr>
                <w:rFonts w:ascii="Arial" w:hAnsi="Arial" w:cs="Arial"/>
                <w:sz w:val="14"/>
                <w:szCs w:val="14"/>
              </w:rPr>
              <w:t>4213</w:t>
            </w:r>
          </w:p>
        </w:tc>
        <w:tc>
          <w:tcPr>
            <w:tcW w:w="8106" w:type="dxa"/>
            <w:tcBorders>
              <w:top w:val="single" w:sz="4" w:space="0" w:color="auto"/>
              <w:left w:val="nil"/>
              <w:bottom w:val="single" w:sz="4" w:space="0" w:color="auto"/>
              <w:right w:val="single" w:sz="4" w:space="0" w:color="auto"/>
            </w:tcBorders>
            <w:noWrap/>
            <w:vAlign w:val="bottom"/>
            <w:hideMark/>
          </w:tcPr>
          <w:p w14:paraId="09236307" w14:textId="77777777" w:rsidR="00416D67" w:rsidRPr="00416D67" w:rsidRDefault="00416D67" w:rsidP="00416D67">
            <w:pPr>
              <w:rPr>
                <w:rFonts w:ascii="Arial" w:hAnsi="Arial" w:cs="Arial"/>
                <w:sz w:val="14"/>
                <w:szCs w:val="14"/>
              </w:rPr>
            </w:pPr>
            <w:r w:rsidRPr="00416D67">
              <w:rPr>
                <w:rFonts w:ascii="Arial" w:hAnsi="Arial" w:cs="Arial"/>
                <w:sz w:val="14"/>
                <w:szCs w:val="14"/>
              </w:rPr>
              <w:t>Ceste, željeznice i ostali prometni objekti</w:t>
            </w:r>
          </w:p>
        </w:tc>
        <w:tc>
          <w:tcPr>
            <w:tcW w:w="1095" w:type="dxa"/>
            <w:tcBorders>
              <w:top w:val="single" w:sz="4" w:space="0" w:color="auto"/>
              <w:left w:val="nil"/>
              <w:bottom w:val="single" w:sz="4" w:space="0" w:color="auto"/>
              <w:right w:val="single" w:sz="4" w:space="0" w:color="auto"/>
            </w:tcBorders>
            <w:noWrap/>
            <w:vAlign w:val="bottom"/>
            <w:hideMark/>
          </w:tcPr>
          <w:p w14:paraId="2D9AA97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2163C3E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B5F129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79.882,61</w:t>
            </w:r>
          </w:p>
        </w:tc>
        <w:tc>
          <w:tcPr>
            <w:tcW w:w="918" w:type="dxa"/>
            <w:tcBorders>
              <w:top w:val="single" w:sz="4" w:space="0" w:color="auto"/>
              <w:left w:val="nil"/>
              <w:bottom w:val="single" w:sz="4" w:space="0" w:color="auto"/>
              <w:right w:val="single" w:sz="4" w:space="0" w:color="auto"/>
            </w:tcBorders>
            <w:noWrap/>
            <w:vAlign w:val="bottom"/>
            <w:hideMark/>
          </w:tcPr>
          <w:p w14:paraId="595901F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37C2CC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17C29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lastRenderedPageBreak/>
              <w:t xml:space="preserve">Izvor 7. Prihodi od prodaje ili zamjene nefinancijske imovine i </w:t>
            </w:r>
            <w:proofErr w:type="spellStart"/>
            <w:r w:rsidRPr="00416D67">
              <w:rPr>
                <w:rFonts w:ascii="Arial" w:hAnsi="Arial" w:cs="Arial"/>
                <w:b/>
                <w:bCs/>
                <w:color w:val="333333"/>
                <w:sz w:val="14"/>
                <w:szCs w:val="14"/>
              </w:rPr>
              <w:t>nakna</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0901BC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118.500,00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38678B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112.575,00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8D29D2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2E4181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4294A68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DCE97A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7.1. 07 Prihodi od prodaje ili zamjene  </w:t>
            </w:r>
            <w:proofErr w:type="spellStart"/>
            <w:r w:rsidRPr="00416D67">
              <w:rPr>
                <w:rFonts w:ascii="Arial" w:hAnsi="Arial" w:cs="Arial"/>
                <w:b/>
                <w:bCs/>
                <w:color w:val="333333"/>
                <w:sz w:val="14"/>
                <w:szCs w:val="14"/>
              </w:rPr>
              <w:t>nefinanc.imovine</w:t>
            </w:r>
            <w:proofErr w:type="spellEnd"/>
            <w:r w:rsidRPr="00416D67">
              <w:rPr>
                <w:rFonts w:ascii="Arial" w:hAnsi="Arial" w:cs="Arial"/>
                <w:b/>
                <w:bCs/>
                <w:color w:val="333333"/>
                <w:sz w:val="14"/>
                <w:szCs w:val="14"/>
              </w:rPr>
              <w:t xml:space="preserve"> i </w:t>
            </w:r>
            <w:proofErr w:type="spellStart"/>
            <w:r w:rsidRPr="00416D67">
              <w:rPr>
                <w:rFonts w:ascii="Arial" w:hAnsi="Arial" w:cs="Arial"/>
                <w:b/>
                <w:bCs/>
                <w:color w:val="333333"/>
                <w:sz w:val="14"/>
                <w:szCs w:val="14"/>
              </w:rPr>
              <w:t>nadokn</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99C8E8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118.500,00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615899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112.575,00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34B717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04DC53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2828EAE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BC5730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40DBF73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51A7E0F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118.500,00</w:t>
            </w:r>
          </w:p>
        </w:tc>
        <w:tc>
          <w:tcPr>
            <w:tcW w:w="1070" w:type="dxa"/>
            <w:tcBorders>
              <w:top w:val="single" w:sz="4" w:space="0" w:color="auto"/>
              <w:left w:val="nil"/>
              <w:bottom w:val="single" w:sz="4" w:space="0" w:color="auto"/>
              <w:right w:val="single" w:sz="4" w:space="0" w:color="auto"/>
            </w:tcBorders>
            <w:noWrap/>
            <w:vAlign w:val="bottom"/>
            <w:hideMark/>
          </w:tcPr>
          <w:p w14:paraId="306EDB8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112.575,00</w:t>
            </w:r>
          </w:p>
        </w:tc>
        <w:tc>
          <w:tcPr>
            <w:tcW w:w="1095" w:type="dxa"/>
            <w:tcBorders>
              <w:top w:val="single" w:sz="4" w:space="0" w:color="auto"/>
              <w:left w:val="nil"/>
              <w:bottom w:val="single" w:sz="4" w:space="0" w:color="auto"/>
              <w:right w:val="single" w:sz="4" w:space="0" w:color="auto"/>
            </w:tcBorders>
            <w:noWrap/>
            <w:vAlign w:val="bottom"/>
            <w:hideMark/>
          </w:tcPr>
          <w:p w14:paraId="27E84B1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1595A00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15CD0AA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4C7BEB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K100005</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3DED1BF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Kapitalni projekt: Rekonstrukcija postojećih </w:t>
            </w:r>
            <w:proofErr w:type="spellStart"/>
            <w:r w:rsidRPr="00416D67">
              <w:rPr>
                <w:rFonts w:ascii="Arial" w:hAnsi="Arial" w:cs="Arial"/>
                <w:b/>
                <w:bCs/>
                <w:sz w:val="14"/>
                <w:szCs w:val="14"/>
              </w:rPr>
              <w:t>nerzvrstanih</w:t>
            </w:r>
            <w:proofErr w:type="spellEnd"/>
            <w:r w:rsidRPr="00416D67">
              <w:rPr>
                <w:rFonts w:ascii="Arial" w:hAnsi="Arial" w:cs="Arial"/>
                <w:b/>
                <w:bCs/>
                <w:sz w:val="14"/>
                <w:szCs w:val="14"/>
              </w:rPr>
              <w:t xml:space="preserve"> cesta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C55F11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109.500,00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180F324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109.500,00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A08EB1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161.775,89</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632ECF2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147,74%</w:t>
            </w:r>
          </w:p>
        </w:tc>
      </w:tr>
      <w:tr w:rsidR="00416D67" w:rsidRPr="00416D67" w14:paraId="2A28D34C"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1F0840"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F8C800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109.500,00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C1955D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109.500,00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2FF71F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161.775,89</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CC3448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147,74%</w:t>
            </w:r>
          </w:p>
        </w:tc>
      </w:tr>
      <w:tr w:rsidR="00416D67" w:rsidRPr="00416D67" w14:paraId="36BA5B8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B3EE5C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4.2. Prihodi za posebne namjene komunalni doprinos</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7029F1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109.500,00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A9F443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109.500,00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B082D7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161.775,89</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3C63A6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147,74%</w:t>
            </w:r>
          </w:p>
        </w:tc>
      </w:tr>
      <w:tr w:rsidR="00416D67" w:rsidRPr="00416D67" w14:paraId="237B9D4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6561E0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50CB30D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1E1E4FD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109.500,00</w:t>
            </w:r>
          </w:p>
        </w:tc>
        <w:tc>
          <w:tcPr>
            <w:tcW w:w="1070" w:type="dxa"/>
            <w:tcBorders>
              <w:top w:val="single" w:sz="4" w:space="0" w:color="auto"/>
              <w:left w:val="nil"/>
              <w:bottom w:val="single" w:sz="4" w:space="0" w:color="auto"/>
              <w:right w:val="single" w:sz="4" w:space="0" w:color="auto"/>
            </w:tcBorders>
            <w:noWrap/>
            <w:vAlign w:val="bottom"/>
            <w:hideMark/>
          </w:tcPr>
          <w:p w14:paraId="0BEA0F3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109.500,00</w:t>
            </w:r>
          </w:p>
        </w:tc>
        <w:tc>
          <w:tcPr>
            <w:tcW w:w="1095" w:type="dxa"/>
            <w:tcBorders>
              <w:top w:val="single" w:sz="4" w:space="0" w:color="auto"/>
              <w:left w:val="nil"/>
              <w:bottom w:val="single" w:sz="4" w:space="0" w:color="auto"/>
              <w:right w:val="single" w:sz="4" w:space="0" w:color="auto"/>
            </w:tcBorders>
            <w:noWrap/>
            <w:vAlign w:val="bottom"/>
            <w:hideMark/>
          </w:tcPr>
          <w:p w14:paraId="2D55E96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161.775,89</w:t>
            </w:r>
          </w:p>
        </w:tc>
        <w:tc>
          <w:tcPr>
            <w:tcW w:w="918" w:type="dxa"/>
            <w:tcBorders>
              <w:top w:val="single" w:sz="4" w:space="0" w:color="auto"/>
              <w:left w:val="nil"/>
              <w:bottom w:val="single" w:sz="4" w:space="0" w:color="auto"/>
              <w:right w:val="single" w:sz="4" w:space="0" w:color="auto"/>
            </w:tcBorders>
            <w:noWrap/>
            <w:vAlign w:val="bottom"/>
            <w:hideMark/>
          </w:tcPr>
          <w:p w14:paraId="53E8C28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147,74%</w:t>
            </w:r>
          </w:p>
        </w:tc>
      </w:tr>
      <w:tr w:rsidR="00416D67" w:rsidRPr="00416D67" w14:paraId="52EC552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84D2CF1" w14:textId="77777777" w:rsidR="00416D67" w:rsidRPr="00416D67" w:rsidRDefault="00416D67" w:rsidP="00416D67">
            <w:pPr>
              <w:rPr>
                <w:rFonts w:ascii="Arial" w:hAnsi="Arial" w:cs="Arial"/>
                <w:sz w:val="14"/>
                <w:szCs w:val="14"/>
              </w:rPr>
            </w:pPr>
            <w:r w:rsidRPr="00416D67">
              <w:rPr>
                <w:rFonts w:ascii="Arial" w:hAnsi="Arial" w:cs="Arial"/>
                <w:sz w:val="14"/>
                <w:szCs w:val="14"/>
              </w:rPr>
              <w:t>4213</w:t>
            </w:r>
          </w:p>
        </w:tc>
        <w:tc>
          <w:tcPr>
            <w:tcW w:w="8106" w:type="dxa"/>
            <w:tcBorders>
              <w:top w:val="single" w:sz="4" w:space="0" w:color="auto"/>
              <w:left w:val="nil"/>
              <w:bottom w:val="single" w:sz="4" w:space="0" w:color="auto"/>
              <w:right w:val="single" w:sz="4" w:space="0" w:color="auto"/>
            </w:tcBorders>
            <w:noWrap/>
            <w:vAlign w:val="bottom"/>
            <w:hideMark/>
          </w:tcPr>
          <w:p w14:paraId="23C20154" w14:textId="77777777" w:rsidR="00416D67" w:rsidRPr="00416D67" w:rsidRDefault="00416D67" w:rsidP="00416D67">
            <w:pPr>
              <w:rPr>
                <w:rFonts w:ascii="Arial" w:hAnsi="Arial" w:cs="Arial"/>
                <w:sz w:val="14"/>
                <w:szCs w:val="14"/>
              </w:rPr>
            </w:pPr>
            <w:r w:rsidRPr="00416D67">
              <w:rPr>
                <w:rFonts w:ascii="Arial" w:hAnsi="Arial" w:cs="Arial"/>
                <w:sz w:val="14"/>
                <w:szCs w:val="14"/>
              </w:rPr>
              <w:t>Ceste, željeznice i ostali prometni objekti</w:t>
            </w:r>
          </w:p>
        </w:tc>
        <w:tc>
          <w:tcPr>
            <w:tcW w:w="1095" w:type="dxa"/>
            <w:tcBorders>
              <w:top w:val="single" w:sz="4" w:space="0" w:color="auto"/>
              <w:left w:val="nil"/>
              <w:bottom w:val="single" w:sz="4" w:space="0" w:color="auto"/>
              <w:right w:val="single" w:sz="4" w:space="0" w:color="auto"/>
            </w:tcBorders>
            <w:noWrap/>
            <w:vAlign w:val="bottom"/>
            <w:hideMark/>
          </w:tcPr>
          <w:p w14:paraId="64B9BCF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4926A0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FFB624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161.775,89</w:t>
            </w:r>
          </w:p>
        </w:tc>
        <w:tc>
          <w:tcPr>
            <w:tcW w:w="918" w:type="dxa"/>
            <w:tcBorders>
              <w:top w:val="single" w:sz="4" w:space="0" w:color="auto"/>
              <w:left w:val="nil"/>
              <w:bottom w:val="single" w:sz="4" w:space="0" w:color="auto"/>
              <w:right w:val="single" w:sz="4" w:space="0" w:color="auto"/>
            </w:tcBorders>
            <w:noWrap/>
            <w:vAlign w:val="bottom"/>
            <w:hideMark/>
          </w:tcPr>
          <w:p w14:paraId="29F5B9F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578420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F8CA9B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K100010</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6258A44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Kapitalni projekt: Izgradnja javnih površina bez </w:t>
            </w:r>
            <w:proofErr w:type="spellStart"/>
            <w:r w:rsidRPr="00416D67">
              <w:rPr>
                <w:rFonts w:ascii="Arial" w:hAnsi="Arial" w:cs="Arial"/>
                <w:b/>
                <w:bCs/>
                <w:sz w:val="14"/>
                <w:szCs w:val="14"/>
              </w:rPr>
              <w:t>prormeta</w:t>
            </w:r>
            <w:proofErr w:type="spellEnd"/>
            <w:r w:rsidRPr="00416D67">
              <w:rPr>
                <w:rFonts w:ascii="Arial" w:hAnsi="Arial" w:cs="Arial"/>
                <w:b/>
                <w:bCs/>
                <w:sz w:val="14"/>
                <w:szCs w:val="14"/>
              </w:rPr>
              <w:t xml:space="preserve"> motornih vozila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DA42CB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35.000,00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1E541CE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35.000,00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BE6B5F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20.908,59</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7CE0C1D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59,74%</w:t>
            </w:r>
          </w:p>
        </w:tc>
      </w:tr>
      <w:tr w:rsidR="00416D67" w:rsidRPr="00416D67" w14:paraId="5FD726AC"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189A49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87C087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95DFF1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60F373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16.859,84</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0C5D05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84,30%</w:t>
            </w:r>
          </w:p>
        </w:tc>
      </w:tr>
      <w:tr w:rsidR="00416D67" w:rsidRPr="00416D67" w14:paraId="21AE5FF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F378B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4.2. Prihodi za posebne namjene komunalni doprinos</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66BC5D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F91F1D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CF7C76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16.859,84</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8A9B5B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84,30%</w:t>
            </w:r>
          </w:p>
        </w:tc>
      </w:tr>
      <w:tr w:rsidR="00416D67" w:rsidRPr="00416D67" w14:paraId="0A240B9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9A553A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16866F2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3E63FED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20.000,00</w:t>
            </w:r>
          </w:p>
        </w:tc>
        <w:tc>
          <w:tcPr>
            <w:tcW w:w="1070" w:type="dxa"/>
            <w:tcBorders>
              <w:top w:val="single" w:sz="4" w:space="0" w:color="auto"/>
              <w:left w:val="nil"/>
              <w:bottom w:val="single" w:sz="4" w:space="0" w:color="auto"/>
              <w:right w:val="single" w:sz="4" w:space="0" w:color="auto"/>
            </w:tcBorders>
            <w:noWrap/>
            <w:vAlign w:val="bottom"/>
            <w:hideMark/>
          </w:tcPr>
          <w:p w14:paraId="1D33803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20.000,00</w:t>
            </w:r>
          </w:p>
        </w:tc>
        <w:tc>
          <w:tcPr>
            <w:tcW w:w="1095" w:type="dxa"/>
            <w:tcBorders>
              <w:top w:val="single" w:sz="4" w:space="0" w:color="auto"/>
              <w:left w:val="nil"/>
              <w:bottom w:val="single" w:sz="4" w:space="0" w:color="auto"/>
              <w:right w:val="single" w:sz="4" w:space="0" w:color="auto"/>
            </w:tcBorders>
            <w:noWrap/>
            <w:vAlign w:val="bottom"/>
            <w:hideMark/>
          </w:tcPr>
          <w:p w14:paraId="5BCB04E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16.859,84</w:t>
            </w:r>
          </w:p>
        </w:tc>
        <w:tc>
          <w:tcPr>
            <w:tcW w:w="918" w:type="dxa"/>
            <w:tcBorders>
              <w:top w:val="single" w:sz="4" w:space="0" w:color="auto"/>
              <w:left w:val="nil"/>
              <w:bottom w:val="single" w:sz="4" w:space="0" w:color="auto"/>
              <w:right w:val="single" w:sz="4" w:space="0" w:color="auto"/>
            </w:tcBorders>
            <w:noWrap/>
            <w:vAlign w:val="bottom"/>
            <w:hideMark/>
          </w:tcPr>
          <w:p w14:paraId="168868A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84,30%</w:t>
            </w:r>
          </w:p>
        </w:tc>
      </w:tr>
      <w:tr w:rsidR="00416D67" w:rsidRPr="00416D67" w14:paraId="61D01A6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3DC69EF" w14:textId="77777777" w:rsidR="00416D67" w:rsidRPr="00416D67" w:rsidRDefault="00416D67" w:rsidP="00416D67">
            <w:pPr>
              <w:rPr>
                <w:rFonts w:ascii="Arial" w:hAnsi="Arial" w:cs="Arial"/>
                <w:sz w:val="14"/>
                <w:szCs w:val="14"/>
              </w:rPr>
            </w:pPr>
            <w:r w:rsidRPr="00416D67">
              <w:rPr>
                <w:rFonts w:ascii="Arial" w:hAnsi="Arial" w:cs="Arial"/>
                <w:sz w:val="14"/>
                <w:szCs w:val="14"/>
              </w:rPr>
              <w:t>4214</w:t>
            </w:r>
          </w:p>
        </w:tc>
        <w:tc>
          <w:tcPr>
            <w:tcW w:w="8106" w:type="dxa"/>
            <w:tcBorders>
              <w:top w:val="single" w:sz="4" w:space="0" w:color="auto"/>
              <w:left w:val="nil"/>
              <w:bottom w:val="single" w:sz="4" w:space="0" w:color="auto"/>
              <w:right w:val="single" w:sz="4" w:space="0" w:color="auto"/>
            </w:tcBorders>
            <w:noWrap/>
            <w:vAlign w:val="bottom"/>
            <w:hideMark/>
          </w:tcPr>
          <w:p w14:paraId="59D8A866" w14:textId="77777777" w:rsidR="00416D67" w:rsidRPr="00416D67" w:rsidRDefault="00416D67" w:rsidP="00416D67">
            <w:pPr>
              <w:rPr>
                <w:rFonts w:ascii="Arial" w:hAnsi="Arial" w:cs="Arial"/>
                <w:sz w:val="14"/>
                <w:szCs w:val="14"/>
              </w:rPr>
            </w:pPr>
            <w:r w:rsidRPr="00416D67">
              <w:rPr>
                <w:rFonts w:ascii="Arial" w:hAnsi="Arial" w:cs="Arial"/>
                <w:sz w:val="14"/>
                <w:szCs w:val="14"/>
              </w:rPr>
              <w:t>Ostali građevinski objekti</w:t>
            </w:r>
          </w:p>
        </w:tc>
        <w:tc>
          <w:tcPr>
            <w:tcW w:w="1095" w:type="dxa"/>
            <w:tcBorders>
              <w:top w:val="single" w:sz="4" w:space="0" w:color="auto"/>
              <w:left w:val="nil"/>
              <w:bottom w:val="single" w:sz="4" w:space="0" w:color="auto"/>
              <w:right w:val="single" w:sz="4" w:space="0" w:color="auto"/>
            </w:tcBorders>
            <w:noWrap/>
            <w:vAlign w:val="bottom"/>
            <w:hideMark/>
          </w:tcPr>
          <w:p w14:paraId="67C1423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7C155CA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A8FEFA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16.859,84</w:t>
            </w:r>
          </w:p>
        </w:tc>
        <w:tc>
          <w:tcPr>
            <w:tcW w:w="918" w:type="dxa"/>
            <w:tcBorders>
              <w:top w:val="single" w:sz="4" w:space="0" w:color="auto"/>
              <w:left w:val="nil"/>
              <w:bottom w:val="single" w:sz="4" w:space="0" w:color="auto"/>
              <w:right w:val="single" w:sz="4" w:space="0" w:color="auto"/>
            </w:tcBorders>
            <w:noWrap/>
            <w:vAlign w:val="bottom"/>
            <w:hideMark/>
          </w:tcPr>
          <w:p w14:paraId="5EEA692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0EE62A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921EE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7. Prihodi od prodaje ili zamjene nefinancijske imovine i </w:t>
            </w:r>
            <w:proofErr w:type="spellStart"/>
            <w:r w:rsidRPr="00416D67">
              <w:rPr>
                <w:rFonts w:ascii="Arial" w:hAnsi="Arial" w:cs="Arial"/>
                <w:b/>
                <w:bCs/>
                <w:color w:val="333333"/>
                <w:sz w:val="14"/>
                <w:szCs w:val="14"/>
              </w:rPr>
              <w:t>nakna</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BB8B8A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890704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830219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4.048,75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984A65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80,98%</w:t>
            </w:r>
          </w:p>
        </w:tc>
      </w:tr>
      <w:tr w:rsidR="00416D67" w:rsidRPr="00416D67" w14:paraId="43BDA1D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44C3F1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7.1. 07 Prihodi od prodaje ili zamjene  </w:t>
            </w:r>
            <w:proofErr w:type="spellStart"/>
            <w:r w:rsidRPr="00416D67">
              <w:rPr>
                <w:rFonts w:ascii="Arial" w:hAnsi="Arial" w:cs="Arial"/>
                <w:b/>
                <w:bCs/>
                <w:color w:val="333333"/>
                <w:sz w:val="14"/>
                <w:szCs w:val="14"/>
              </w:rPr>
              <w:t>nefinanc.imovine</w:t>
            </w:r>
            <w:proofErr w:type="spellEnd"/>
            <w:r w:rsidRPr="00416D67">
              <w:rPr>
                <w:rFonts w:ascii="Arial" w:hAnsi="Arial" w:cs="Arial"/>
                <w:b/>
                <w:bCs/>
                <w:color w:val="333333"/>
                <w:sz w:val="14"/>
                <w:szCs w:val="14"/>
              </w:rPr>
              <w:t xml:space="preserve"> i </w:t>
            </w:r>
            <w:proofErr w:type="spellStart"/>
            <w:r w:rsidRPr="00416D67">
              <w:rPr>
                <w:rFonts w:ascii="Arial" w:hAnsi="Arial" w:cs="Arial"/>
                <w:b/>
                <w:bCs/>
                <w:color w:val="333333"/>
                <w:sz w:val="14"/>
                <w:szCs w:val="14"/>
              </w:rPr>
              <w:t>nadokn</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C1E4B8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145180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2B8443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4.048,75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21D291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80,98%</w:t>
            </w:r>
          </w:p>
        </w:tc>
      </w:tr>
      <w:tr w:rsidR="00416D67" w:rsidRPr="00416D67" w14:paraId="2922466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CF7343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129BCE4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7E45EDA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5.000,00</w:t>
            </w:r>
          </w:p>
        </w:tc>
        <w:tc>
          <w:tcPr>
            <w:tcW w:w="1070" w:type="dxa"/>
            <w:tcBorders>
              <w:top w:val="single" w:sz="4" w:space="0" w:color="auto"/>
              <w:left w:val="nil"/>
              <w:bottom w:val="single" w:sz="4" w:space="0" w:color="auto"/>
              <w:right w:val="single" w:sz="4" w:space="0" w:color="auto"/>
            </w:tcBorders>
            <w:noWrap/>
            <w:vAlign w:val="bottom"/>
            <w:hideMark/>
          </w:tcPr>
          <w:p w14:paraId="5BBC35A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5.000,00</w:t>
            </w:r>
          </w:p>
        </w:tc>
        <w:tc>
          <w:tcPr>
            <w:tcW w:w="1095" w:type="dxa"/>
            <w:tcBorders>
              <w:top w:val="single" w:sz="4" w:space="0" w:color="auto"/>
              <w:left w:val="nil"/>
              <w:bottom w:val="single" w:sz="4" w:space="0" w:color="auto"/>
              <w:right w:val="single" w:sz="4" w:space="0" w:color="auto"/>
            </w:tcBorders>
            <w:noWrap/>
            <w:vAlign w:val="bottom"/>
            <w:hideMark/>
          </w:tcPr>
          <w:p w14:paraId="5E62406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4.048,75</w:t>
            </w:r>
          </w:p>
        </w:tc>
        <w:tc>
          <w:tcPr>
            <w:tcW w:w="918" w:type="dxa"/>
            <w:tcBorders>
              <w:top w:val="single" w:sz="4" w:space="0" w:color="auto"/>
              <w:left w:val="nil"/>
              <w:bottom w:val="single" w:sz="4" w:space="0" w:color="auto"/>
              <w:right w:val="single" w:sz="4" w:space="0" w:color="auto"/>
            </w:tcBorders>
            <w:noWrap/>
            <w:vAlign w:val="bottom"/>
            <w:hideMark/>
          </w:tcPr>
          <w:p w14:paraId="7A4E4E6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80,98%</w:t>
            </w:r>
          </w:p>
        </w:tc>
      </w:tr>
      <w:tr w:rsidR="00416D67" w:rsidRPr="00416D67" w14:paraId="5BAE8D7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2F3521B" w14:textId="77777777" w:rsidR="00416D67" w:rsidRPr="00416D67" w:rsidRDefault="00416D67" w:rsidP="00416D67">
            <w:pPr>
              <w:rPr>
                <w:rFonts w:ascii="Arial" w:hAnsi="Arial" w:cs="Arial"/>
                <w:sz w:val="14"/>
                <w:szCs w:val="14"/>
              </w:rPr>
            </w:pPr>
            <w:r w:rsidRPr="00416D67">
              <w:rPr>
                <w:rFonts w:ascii="Arial" w:hAnsi="Arial" w:cs="Arial"/>
                <w:sz w:val="14"/>
                <w:szCs w:val="14"/>
              </w:rPr>
              <w:t>4214</w:t>
            </w:r>
          </w:p>
        </w:tc>
        <w:tc>
          <w:tcPr>
            <w:tcW w:w="8106" w:type="dxa"/>
            <w:tcBorders>
              <w:top w:val="single" w:sz="4" w:space="0" w:color="auto"/>
              <w:left w:val="nil"/>
              <w:bottom w:val="single" w:sz="4" w:space="0" w:color="auto"/>
              <w:right w:val="single" w:sz="4" w:space="0" w:color="auto"/>
            </w:tcBorders>
            <w:noWrap/>
            <w:vAlign w:val="bottom"/>
            <w:hideMark/>
          </w:tcPr>
          <w:p w14:paraId="6BA19F3C" w14:textId="77777777" w:rsidR="00416D67" w:rsidRPr="00416D67" w:rsidRDefault="00416D67" w:rsidP="00416D67">
            <w:pPr>
              <w:rPr>
                <w:rFonts w:ascii="Arial" w:hAnsi="Arial" w:cs="Arial"/>
                <w:sz w:val="14"/>
                <w:szCs w:val="14"/>
              </w:rPr>
            </w:pPr>
            <w:r w:rsidRPr="00416D67">
              <w:rPr>
                <w:rFonts w:ascii="Arial" w:hAnsi="Arial" w:cs="Arial"/>
                <w:sz w:val="14"/>
                <w:szCs w:val="14"/>
              </w:rPr>
              <w:t>Ostali građevinski objekti</w:t>
            </w:r>
          </w:p>
        </w:tc>
        <w:tc>
          <w:tcPr>
            <w:tcW w:w="1095" w:type="dxa"/>
            <w:tcBorders>
              <w:top w:val="single" w:sz="4" w:space="0" w:color="auto"/>
              <w:left w:val="nil"/>
              <w:bottom w:val="single" w:sz="4" w:space="0" w:color="auto"/>
              <w:right w:val="single" w:sz="4" w:space="0" w:color="auto"/>
            </w:tcBorders>
            <w:noWrap/>
            <w:vAlign w:val="bottom"/>
            <w:hideMark/>
          </w:tcPr>
          <w:p w14:paraId="3266C14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2B126E3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D1B9D4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4.048,75</w:t>
            </w:r>
          </w:p>
        </w:tc>
        <w:tc>
          <w:tcPr>
            <w:tcW w:w="918" w:type="dxa"/>
            <w:tcBorders>
              <w:top w:val="single" w:sz="4" w:space="0" w:color="auto"/>
              <w:left w:val="nil"/>
              <w:bottom w:val="single" w:sz="4" w:space="0" w:color="auto"/>
              <w:right w:val="single" w:sz="4" w:space="0" w:color="auto"/>
            </w:tcBorders>
            <w:noWrap/>
            <w:vAlign w:val="bottom"/>
            <w:hideMark/>
          </w:tcPr>
          <w:p w14:paraId="276EAB4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246384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27564D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 Višak prihoda ranijih godina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CAB8EA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C8CC67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FA6410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81AAC0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55FE6D0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AE9A3F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9.1.1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043AF4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FA7A59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D87415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8E2205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1B32778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CA8DEA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1572D9A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7215AB5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10.000,00</w:t>
            </w:r>
          </w:p>
        </w:tc>
        <w:tc>
          <w:tcPr>
            <w:tcW w:w="1070" w:type="dxa"/>
            <w:tcBorders>
              <w:top w:val="single" w:sz="4" w:space="0" w:color="auto"/>
              <w:left w:val="nil"/>
              <w:bottom w:val="single" w:sz="4" w:space="0" w:color="auto"/>
              <w:right w:val="single" w:sz="4" w:space="0" w:color="auto"/>
            </w:tcBorders>
            <w:noWrap/>
            <w:vAlign w:val="bottom"/>
            <w:hideMark/>
          </w:tcPr>
          <w:p w14:paraId="445B459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10.000,00</w:t>
            </w:r>
          </w:p>
        </w:tc>
        <w:tc>
          <w:tcPr>
            <w:tcW w:w="1095" w:type="dxa"/>
            <w:tcBorders>
              <w:top w:val="single" w:sz="4" w:space="0" w:color="auto"/>
              <w:left w:val="nil"/>
              <w:bottom w:val="single" w:sz="4" w:space="0" w:color="auto"/>
              <w:right w:val="single" w:sz="4" w:space="0" w:color="auto"/>
            </w:tcBorders>
            <w:noWrap/>
            <w:vAlign w:val="bottom"/>
            <w:hideMark/>
          </w:tcPr>
          <w:p w14:paraId="7C892D4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359B204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2F4D04F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A21065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K100011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5FFCC7D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Kapitalni projekt: Izgradnja javnih parkirališta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F8C532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14.500,00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455F189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14.500,00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C40659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3.937,50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7D86969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27,16%</w:t>
            </w:r>
          </w:p>
        </w:tc>
      </w:tr>
      <w:tr w:rsidR="00416D67" w:rsidRPr="00416D67" w14:paraId="0F5E5D7F"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8C3476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697EB1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D2226D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23A133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3.937,50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900663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27,16%</w:t>
            </w:r>
          </w:p>
        </w:tc>
      </w:tr>
      <w:tr w:rsidR="00416D67" w:rsidRPr="00416D67" w14:paraId="62130C8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357AD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4.2. Prihodi za posebne namjene komunalni doprinos</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8B79D8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722CF5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D79C04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3.937,50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2D35FE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27,16%</w:t>
            </w:r>
          </w:p>
        </w:tc>
      </w:tr>
      <w:tr w:rsidR="00416D67" w:rsidRPr="00416D67" w14:paraId="3163B41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FD3F78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51CAB14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67FFF17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14.500,00</w:t>
            </w:r>
          </w:p>
        </w:tc>
        <w:tc>
          <w:tcPr>
            <w:tcW w:w="1070" w:type="dxa"/>
            <w:tcBorders>
              <w:top w:val="single" w:sz="4" w:space="0" w:color="auto"/>
              <w:left w:val="nil"/>
              <w:bottom w:val="single" w:sz="4" w:space="0" w:color="auto"/>
              <w:right w:val="single" w:sz="4" w:space="0" w:color="auto"/>
            </w:tcBorders>
            <w:noWrap/>
            <w:vAlign w:val="bottom"/>
            <w:hideMark/>
          </w:tcPr>
          <w:p w14:paraId="60DE778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14.500,00</w:t>
            </w:r>
          </w:p>
        </w:tc>
        <w:tc>
          <w:tcPr>
            <w:tcW w:w="1095" w:type="dxa"/>
            <w:tcBorders>
              <w:top w:val="single" w:sz="4" w:space="0" w:color="auto"/>
              <w:left w:val="nil"/>
              <w:bottom w:val="single" w:sz="4" w:space="0" w:color="auto"/>
              <w:right w:val="single" w:sz="4" w:space="0" w:color="auto"/>
            </w:tcBorders>
            <w:noWrap/>
            <w:vAlign w:val="bottom"/>
            <w:hideMark/>
          </w:tcPr>
          <w:p w14:paraId="519C836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3.937,50</w:t>
            </w:r>
          </w:p>
        </w:tc>
        <w:tc>
          <w:tcPr>
            <w:tcW w:w="918" w:type="dxa"/>
            <w:tcBorders>
              <w:top w:val="single" w:sz="4" w:space="0" w:color="auto"/>
              <w:left w:val="nil"/>
              <w:bottom w:val="single" w:sz="4" w:space="0" w:color="auto"/>
              <w:right w:val="single" w:sz="4" w:space="0" w:color="auto"/>
            </w:tcBorders>
            <w:noWrap/>
            <w:vAlign w:val="bottom"/>
            <w:hideMark/>
          </w:tcPr>
          <w:p w14:paraId="7C6B09C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27,16%</w:t>
            </w:r>
          </w:p>
        </w:tc>
      </w:tr>
      <w:tr w:rsidR="00416D67" w:rsidRPr="00416D67" w14:paraId="5ADFCD4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900E697" w14:textId="77777777" w:rsidR="00416D67" w:rsidRPr="00416D67" w:rsidRDefault="00416D67" w:rsidP="00416D67">
            <w:pPr>
              <w:rPr>
                <w:rFonts w:ascii="Arial" w:hAnsi="Arial" w:cs="Arial"/>
                <w:sz w:val="14"/>
                <w:szCs w:val="14"/>
              </w:rPr>
            </w:pPr>
            <w:r w:rsidRPr="00416D67">
              <w:rPr>
                <w:rFonts w:ascii="Arial" w:hAnsi="Arial" w:cs="Arial"/>
                <w:sz w:val="14"/>
                <w:szCs w:val="14"/>
              </w:rPr>
              <w:t>3237</w:t>
            </w:r>
          </w:p>
        </w:tc>
        <w:tc>
          <w:tcPr>
            <w:tcW w:w="8106" w:type="dxa"/>
            <w:tcBorders>
              <w:top w:val="single" w:sz="4" w:space="0" w:color="auto"/>
              <w:left w:val="nil"/>
              <w:bottom w:val="single" w:sz="4" w:space="0" w:color="auto"/>
              <w:right w:val="single" w:sz="4" w:space="0" w:color="auto"/>
            </w:tcBorders>
            <w:noWrap/>
            <w:vAlign w:val="bottom"/>
            <w:hideMark/>
          </w:tcPr>
          <w:p w14:paraId="129B21F3" w14:textId="77777777" w:rsidR="00416D67" w:rsidRPr="00416D67" w:rsidRDefault="00416D67" w:rsidP="00416D67">
            <w:pPr>
              <w:rPr>
                <w:rFonts w:ascii="Arial" w:hAnsi="Arial" w:cs="Arial"/>
                <w:sz w:val="14"/>
                <w:szCs w:val="14"/>
              </w:rPr>
            </w:pPr>
            <w:r w:rsidRPr="00416D67">
              <w:rPr>
                <w:rFonts w:ascii="Arial" w:hAnsi="Arial" w:cs="Arial"/>
                <w:sz w:val="14"/>
                <w:szCs w:val="14"/>
              </w:rPr>
              <w:t>Intelektualne i osobne usluge</w:t>
            </w:r>
          </w:p>
        </w:tc>
        <w:tc>
          <w:tcPr>
            <w:tcW w:w="1095" w:type="dxa"/>
            <w:tcBorders>
              <w:top w:val="single" w:sz="4" w:space="0" w:color="auto"/>
              <w:left w:val="nil"/>
              <w:bottom w:val="single" w:sz="4" w:space="0" w:color="auto"/>
              <w:right w:val="single" w:sz="4" w:space="0" w:color="auto"/>
            </w:tcBorders>
            <w:noWrap/>
            <w:vAlign w:val="bottom"/>
            <w:hideMark/>
          </w:tcPr>
          <w:p w14:paraId="64721AC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8792FC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C2B0B6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3.937,50</w:t>
            </w:r>
          </w:p>
        </w:tc>
        <w:tc>
          <w:tcPr>
            <w:tcW w:w="918" w:type="dxa"/>
            <w:tcBorders>
              <w:top w:val="single" w:sz="4" w:space="0" w:color="auto"/>
              <w:left w:val="nil"/>
              <w:bottom w:val="single" w:sz="4" w:space="0" w:color="auto"/>
              <w:right w:val="single" w:sz="4" w:space="0" w:color="auto"/>
            </w:tcBorders>
            <w:noWrap/>
            <w:vAlign w:val="bottom"/>
            <w:hideMark/>
          </w:tcPr>
          <w:p w14:paraId="0A61896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A7AF43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6D275A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K100012</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62F9751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Kapitalni projekt: Izgradnja javnih zelenih površina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70DEE3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139.675,00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0C796FC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138.086,50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9C2FCE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153.057,86</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386D76F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110,84%</w:t>
            </w:r>
          </w:p>
        </w:tc>
      </w:tr>
      <w:tr w:rsidR="00416D67" w:rsidRPr="00416D67" w14:paraId="06373E2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9F8E60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C9DB63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102.905,00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965539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102.905,00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F44DDB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57.145,36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FFA73B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55,53%</w:t>
            </w:r>
          </w:p>
        </w:tc>
      </w:tr>
      <w:tr w:rsidR="00416D67" w:rsidRPr="00416D67" w14:paraId="4B47497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057465E"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4.2. Prihodi za posebne namjene komunalni doprinos</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F33377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102.905,00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AE4070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102.905,00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8EF85B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57.145,36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7E9B16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55,53%</w:t>
            </w:r>
          </w:p>
        </w:tc>
      </w:tr>
      <w:tr w:rsidR="00416D67" w:rsidRPr="00416D67" w14:paraId="23FA344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8D9D83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284846C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77CF9B0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9.525,00</w:t>
            </w:r>
          </w:p>
        </w:tc>
        <w:tc>
          <w:tcPr>
            <w:tcW w:w="1070" w:type="dxa"/>
            <w:tcBorders>
              <w:top w:val="single" w:sz="4" w:space="0" w:color="auto"/>
              <w:left w:val="nil"/>
              <w:bottom w:val="single" w:sz="4" w:space="0" w:color="auto"/>
              <w:right w:val="single" w:sz="4" w:space="0" w:color="auto"/>
            </w:tcBorders>
            <w:noWrap/>
            <w:vAlign w:val="bottom"/>
            <w:hideMark/>
          </w:tcPr>
          <w:p w14:paraId="727C375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9.525,00</w:t>
            </w:r>
          </w:p>
        </w:tc>
        <w:tc>
          <w:tcPr>
            <w:tcW w:w="1095" w:type="dxa"/>
            <w:tcBorders>
              <w:top w:val="single" w:sz="4" w:space="0" w:color="auto"/>
              <w:left w:val="nil"/>
              <w:bottom w:val="single" w:sz="4" w:space="0" w:color="auto"/>
              <w:right w:val="single" w:sz="4" w:space="0" w:color="auto"/>
            </w:tcBorders>
            <w:noWrap/>
            <w:vAlign w:val="bottom"/>
            <w:hideMark/>
          </w:tcPr>
          <w:p w14:paraId="2264A52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5.325,00</w:t>
            </w:r>
          </w:p>
        </w:tc>
        <w:tc>
          <w:tcPr>
            <w:tcW w:w="918" w:type="dxa"/>
            <w:tcBorders>
              <w:top w:val="single" w:sz="4" w:space="0" w:color="auto"/>
              <w:left w:val="nil"/>
              <w:bottom w:val="single" w:sz="4" w:space="0" w:color="auto"/>
              <w:right w:val="single" w:sz="4" w:space="0" w:color="auto"/>
            </w:tcBorders>
            <w:noWrap/>
            <w:vAlign w:val="bottom"/>
            <w:hideMark/>
          </w:tcPr>
          <w:p w14:paraId="0A20B63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55,91%</w:t>
            </w:r>
          </w:p>
        </w:tc>
      </w:tr>
      <w:tr w:rsidR="00416D67" w:rsidRPr="00416D67" w14:paraId="1CB2C4E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0B4E774" w14:textId="77777777" w:rsidR="00416D67" w:rsidRPr="00416D67" w:rsidRDefault="00416D67" w:rsidP="00416D67">
            <w:pPr>
              <w:rPr>
                <w:rFonts w:ascii="Arial" w:hAnsi="Arial" w:cs="Arial"/>
                <w:sz w:val="14"/>
                <w:szCs w:val="14"/>
              </w:rPr>
            </w:pPr>
            <w:r w:rsidRPr="00416D67">
              <w:rPr>
                <w:rFonts w:ascii="Arial" w:hAnsi="Arial" w:cs="Arial"/>
                <w:sz w:val="14"/>
                <w:szCs w:val="14"/>
              </w:rPr>
              <w:t>3237</w:t>
            </w:r>
          </w:p>
        </w:tc>
        <w:tc>
          <w:tcPr>
            <w:tcW w:w="8106" w:type="dxa"/>
            <w:tcBorders>
              <w:top w:val="single" w:sz="4" w:space="0" w:color="auto"/>
              <w:left w:val="nil"/>
              <w:bottom w:val="single" w:sz="4" w:space="0" w:color="auto"/>
              <w:right w:val="single" w:sz="4" w:space="0" w:color="auto"/>
            </w:tcBorders>
            <w:noWrap/>
            <w:vAlign w:val="bottom"/>
            <w:hideMark/>
          </w:tcPr>
          <w:p w14:paraId="47202E8C" w14:textId="77777777" w:rsidR="00416D67" w:rsidRPr="00416D67" w:rsidRDefault="00416D67" w:rsidP="00416D67">
            <w:pPr>
              <w:rPr>
                <w:rFonts w:ascii="Arial" w:hAnsi="Arial" w:cs="Arial"/>
                <w:sz w:val="14"/>
                <w:szCs w:val="14"/>
              </w:rPr>
            </w:pPr>
            <w:r w:rsidRPr="00416D67">
              <w:rPr>
                <w:rFonts w:ascii="Arial" w:hAnsi="Arial" w:cs="Arial"/>
                <w:sz w:val="14"/>
                <w:szCs w:val="14"/>
              </w:rPr>
              <w:t>Intelektualne i osobne usluge</w:t>
            </w:r>
          </w:p>
        </w:tc>
        <w:tc>
          <w:tcPr>
            <w:tcW w:w="1095" w:type="dxa"/>
            <w:tcBorders>
              <w:top w:val="single" w:sz="4" w:space="0" w:color="auto"/>
              <w:left w:val="nil"/>
              <w:bottom w:val="single" w:sz="4" w:space="0" w:color="auto"/>
              <w:right w:val="single" w:sz="4" w:space="0" w:color="auto"/>
            </w:tcBorders>
            <w:noWrap/>
            <w:vAlign w:val="bottom"/>
            <w:hideMark/>
          </w:tcPr>
          <w:p w14:paraId="38A68FC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8E73DE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A3EBAF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5.325,00</w:t>
            </w:r>
          </w:p>
        </w:tc>
        <w:tc>
          <w:tcPr>
            <w:tcW w:w="918" w:type="dxa"/>
            <w:tcBorders>
              <w:top w:val="single" w:sz="4" w:space="0" w:color="auto"/>
              <w:left w:val="nil"/>
              <w:bottom w:val="single" w:sz="4" w:space="0" w:color="auto"/>
              <w:right w:val="single" w:sz="4" w:space="0" w:color="auto"/>
            </w:tcBorders>
            <w:noWrap/>
            <w:vAlign w:val="bottom"/>
            <w:hideMark/>
          </w:tcPr>
          <w:p w14:paraId="239816E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083518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139965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694A0E3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5910B9D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93.380,00</w:t>
            </w:r>
          </w:p>
        </w:tc>
        <w:tc>
          <w:tcPr>
            <w:tcW w:w="1070" w:type="dxa"/>
            <w:tcBorders>
              <w:top w:val="single" w:sz="4" w:space="0" w:color="auto"/>
              <w:left w:val="nil"/>
              <w:bottom w:val="single" w:sz="4" w:space="0" w:color="auto"/>
              <w:right w:val="single" w:sz="4" w:space="0" w:color="auto"/>
            </w:tcBorders>
            <w:noWrap/>
            <w:vAlign w:val="bottom"/>
            <w:hideMark/>
          </w:tcPr>
          <w:p w14:paraId="71B7114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93.380,00</w:t>
            </w:r>
          </w:p>
        </w:tc>
        <w:tc>
          <w:tcPr>
            <w:tcW w:w="1095" w:type="dxa"/>
            <w:tcBorders>
              <w:top w:val="single" w:sz="4" w:space="0" w:color="auto"/>
              <w:left w:val="nil"/>
              <w:bottom w:val="single" w:sz="4" w:space="0" w:color="auto"/>
              <w:right w:val="single" w:sz="4" w:space="0" w:color="auto"/>
            </w:tcBorders>
            <w:noWrap/>
            <w:vAlign w:val="bottom"/>
            <w:hideMark/>
          </w:tcPr>
          <w:p w14:paraId="171DA66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51.820,36</w:t>
            </w:r>
          </w:p>
        </w:tc>
        <w:tc>
          <w:tcPr>
            <w:tcW w:w="918" w:type="dxa"/>
            <w:tcBorders>
              <w:top w:val="single" w:sz="4" w:space="0" w:color="auto"/>
              <w:left w:val="nil"/>
              <w:bottom w:val="single" w:sz="4" w:space="0" w:color="auto"/>
              <w:right w:val="single" w:sz="4" w:space="0" w:color="auto"/>
            </w:tcBorders>
            <w:noWrap/>
            <w:vAlign w:val="bottom"/>
            <w:hideMark/>
          </w:tcPr>
          <w:p w14:paraId="6785BBD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55,49%</w:t>
            </w:r>
          </w:p>
        </w:tc>
      </w:tr>
      <w:tr w:rsidR="00416D67" w:rsidRPr="00416D67" w14:paraId="45B6A24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8DBE457" w14:textId="77777777" w:rsidR="00416D67" w:rsidRPr="00416D67" w:rsidRDefault="00416D67" w:rsidP="00416D67">
            <w:pPr>
              <w:rPr>
                <w:rFonts w:ascii="Arial" w:hAnsi="Arial" w:cs="Arial"/>
                <w:sz w:val="14"/>
                <w:szCs w:val="14"/>
              </w:rPr>
            </w:pPr>
            <w:r w:rsidRPr="00416D67">
              <w:rPr>
                <w:rFonts w:ascii="Arial" w:hAnsi="Arial" w:cs="Arial"/>
                <w:sz w:val="14"/>
                <w:szCs w:val="14"/>
              </w:rPr>
              <w:t>4214</w:t>
            </w:r>
          </w:p>
        </w:tc>
        <w:tc>
          <w:tcPr>
            <w:tcW w:w="8106" w:type="dxa"/>
            <w:tcBorders>
              <w:top w:val="single" w:sz="4" w:space="0" w:color="auto"/>
              <w:left w:val="nil"/>
              <w:bottom w:val="single" w:sz="4" w:space="0" w:color="auto"/>
              <w:right w:val="single" w:sz="4" w:space="0" w:color="auto"/>
            </w:tcBorders>
            <w:noWrap/>
            <w:vAlign w:val="bottom"/>
            <w:hideMark/>
          </w:tcPr>
          <w:p w14:paraId="46D3A2D7" w14:textId="77777777" w:rsidR="00416D67" w:rsidRPr="00416D67" w:rsidRDefault="00416D67" w:rsidP="00416D67">
            <w:pPr>
              <w:rPr>
                <w:rFonts w:ascii="Arial" w:hAnsi="Arial" w:cs="Arial"/>
                <w:sz w:val="14"/>
                <w:szCs w:val="14"/>
              </w:rPr>
            </w:pPr>
            <w:r w:rsidRPr="00416D67">
              <w:rPr>
                <w:rFonts w:ascii="Arial" w:hAnsi="Arial" w:cs="Arial"/>
                <w:sz w:val="14"/>
                <w:szCs w:val="14"/>
              </w:rPr>
              <w:t>Ostali građevinski objekti</w:t>
            </w:r>
          </w:p>
        </w:tc>
        <w:tc>
          <w:tcPr>
            <w:tcW w:w="1095" w:type="dxa"/>
            <w:tcBorders>
              <w:top w:val="single" w:sz="4" w:space="0" w:color="auto"/>
              <w:left w:val="nil"/>
              <w:bottom w:val="single" w:sz="4" w:space="0" w:color="auto"/>
              <w:right w:val="single" w:sz="4" w:space="0" w:color="auto"/>
            </w:tcBorders>
            <w:noWrap/>
            <w:vAlign w:val="bottom"/>
            <w:hideMark/>
          </w:tcPr>
          <w:p w14:paraId="401AE5A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2E8FF7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F9CB91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34.476,61</w:t>
            </w:r>
          </w:p>
        </w:tc>
        <w:tc>
          <w:tcPr>
            <w:tcW w:w="918" w:type="dxa"/>
            <w:tcBorders>
              <w:top w:val="single" w:sz="4" w:space="0" w:color="auto"/>
              <w:left w:val="nil"/>
              <w:bottom w:val="single" w:sz="4" w:space="0" w:color="auto"/>
              <w:right w:val="single" w:sz="4" w:space="0" w:color="auto"/>
            </w:tcBorders>
            <w:noWrap/>
            <w:vAlign w:val="bottom"/>
            <w:hideMark/>
          </w:tcPr>
          <w:p w14:paraId="5A74964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5B314A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A7C27E8" w14:textId="77777777" w:rsidR="00416D67" w:rsidRPr="00416D67" w:rsidRDefault="00416D67" w:rsidP="00416D67">
            <w:pPr>
              <w:rPr>
                <w:rFonts w:ascii="Arial" w:hAnsi="Arial" w:cs="Arial"/>
                <w:sz w:val="14"/>
                <w:szCs w:val="14"/>
              </w:rPr>
            </w:pPr>
            <w:r w:rsidRPr="00416D67">
              <w:rPr>
                <w:rFonts w:ascii="Arial" w:hAnsi="Arial" w:cs="Arial"/>
                <w:sz w:val="14"/>
                <w:szCs w:val="14"/>
              </w:rPr>
              <w:t>4227</w:t>
            </w:r>
          </w:p>
        </w:tc>
        <w:tc>
          <w:tcPr>
            <w:tcW w:w="8106" w:type="dxa"/>
            <w:tcBorders>
              <w:top w:val="single" w:sz="4" w:space="0" w:color="auto"/>
              <w:left w:val="nil"/>
              <w:bottom w:val="single" w:sz="4" w:space="0" w:color="auto"/>
              <w:right w:val="single" w:sz="4" w:space="0" w:color="auto"/>
            </w:tcBorders>
            <w:noWrap/>
            <w:vAlign w:val="bottom"/>
            <w:hideMark/>
          </w:tcPr>
          <w:p w14:paraId="5813A5E7" w14:textId="77777777" w:rsidR="00416D67" w:rsidRPr="00416D67" w:rsidRDefault="00416D67" w:rsidP="00416D67">
            <w:pPr>
              <w:rPr>
                <w:rFonts w:ascii="Arial" w:hAnsi="Arial" w:cs="Arial"/>
                <w:sz w:val="14"/>
                <w:szCs w:val="14"/>
              </w:rPr>
            </w:pPr>
            <w:r w:rsidRPr="00416D67">
              <w:rPr>
                <w:rFonts w:ascii="Arial" w:hAnsi="Arial" w:cs="Arial"/>
                <w:sz w:val="14"/>
                <w:szCs w:val="14"/>
              </w:rPr>
              <w:t>Uređaji, strojevi i oprema za ostale namjene</w:t>
            </w:r>
          </w:p>
        </w:tc>
        <w:tc>
          <w:tcPr>
            <w:tcW w:w="1095" w:type="dxa"/>
            <w:tcBorders>
              <w:top w:val="single" w:sz="4" w:space="0" w:color="auto"/>
              <w:left w:val="nil"/>
              <w:bottom w:val="single" w:sz="4" w:space="0" w:color="auto"/>
              <w:right w:val="single" w:sz="4" w:space="0" w:color="auto"/>
            </w:tcBorders>
            <w:noWrap/>
            <w:vAlign w:val="bottom"/>
            <w:hideMark/>
          </w:tcPr>
          <w:p w14:paraId="04D078B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CB3F09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E2221E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17.343,75</w:t>
            </w:r>
          </w:p>
        </w:tc>
        <w:tc>
          <w:tcPr>
            <w:tcW w:w="918" w:type="dxa"/>
            <w:tcBorders>
              <w:top w:val="single" w:sz="4" w:space="0" w:color="auto"/>
              <w:left w:val="nil"/>
              <w:bottom w:val="single" w:sz="4" w:space="0" w:color="auto"/>
              <w:right w:val="single" w:sz="4" w:space="0" w:color="auto"/>
            </w:tcBorders>
            <w:noWrap/>
            <w:vAlign w:val="bottom"/>
            <w:hideMark/>
          </w:tcPr>
          <w:p w14:paraId="6E7B929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87776CB"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22D13AE"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 Pomoći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658C41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 </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66783F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C3D895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28.013,75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FCBCCA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 </w:t>
            </w:r>
          </w:p>
        </w:tc>
      </w:tr>
      <w:tr w:rsidR="00416D67" w:rsidRPr="00416D67" w14:paraId="386E4D0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1505D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5.1.13 Kapitalne pomoći državni proračun</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38DD68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 </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36B050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BADBD0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28.013,75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339B8A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 </w:t>
            </w:r>
          </w:p>
        </w:tc>
      </w:tr>
      <w:tr w:rsidR="00416D67" w:rsidRPr="00416D67" w14:paraId="13DE130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A8D649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1D58383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5C72581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29AA8C0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1095" w:type="dxa"/>
            <w:tcBorders>
              <w:top w:val="single" w:sz="4" w:space="0" w:color="auto"/>
              <w:left w:val="nil"/>
              <w:bottom w:val="single" w:sz="4" w:space="0" w:color="auto"/>
              <w:right w:val="single" w:sz="4" w:space="0" w:color="auto"/>
            </w:tcBorders>
            <w:noWrap/>
            <w:vAlign w:val="bottom"/>
            <w:hideMark/>
          </w:tcPr>
          <w:p w14:paraId="0ECBA7D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28.013,75</w:t>
            </w:r>
          </w:p>
        </w:tc>
        <w:tc>
          <w:tcPr>
            <w:tcW w:w="918" w:type="dxa"/>
            <w:tcBorders>
              <w:top w:val="single" w:sz="4" w:space="0" w:color="auto"/>
              <w:left w:val="nil"/>
              <w:bottom w:val="single" w:sz="4" w:space="0" w:color="auto"/>
              <w:right w:val="single" w:sz="4" w:space="0" w:color="auto"/>
            </w:tcBorders>
            <w:noWrap/>
            <w:vAlign w:val="bottom"/>
            <w:hideMark/>
          </w:tcPr>
          <w:p w14:paraId="35F1AF4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r>
      <w:tr w:rsidR="00416D67" w:rsidRPr="00416D67" w14:paraId="1585902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98CE462" w14:textId="77777777" w:rsidR="00416D67" w:rsidRPr="00416D67" w:rsidRDefault="00416D67" w:rsidP="00416D67">
            <w:pPr>
              <w:rPr>
                <w:rFonts w:ascii="Arial" w:hAnsi="Arial" w:cs="Arial"/>
                <w:sz w:val="14"/>
                <w:szCs w:val="14"/>
              </w:rPr>
            </w:pPr>
            <w:r w:rsidRPr="00416D67">
              <w:rPr>
                <w:rFonts w:ascii="Arial" w:hAnsi="Arial" w:cs="Arial"/>
                <w:sz w:val="14"/>
                <w:szCs w:val="14"/>
              </w:rPr>
              <w:t>4214</w:t>
            </w:r>
          </w:p>
        </w:tc>
        <w:tc>
          <w:tcPr>
            <w:tcW w:w="8106" w:type="dxa"/>
            <w:tcBorders>
              <w:top w:val="single" w:sz="4" w:space="0" w:color="auto"/>
              <w:left w:val="nil"/>
              <w:bottom w:val="single" w:sz="4" w:space="0" w:color="auto"/>
              <w:right w:val="single" w:sz="4" w:space="0" w:color="auto"/>
            </w:tcBorders>
            <w:noWrap/>
            <w:vAlign w:val="bottom"/>
            <w:hideMark/>
          </w:tcPr>
          <w:p w14:paraId="3D227292" w14:textId="77777777" w:rsidR="00416D67" w:rsidRPr="00416D67" w:rsidRDefault="00416D67" w:rsidP="00416D67">
            <w:pPr>
              <w:rPr>
                <w:rFonts w:ascii="Arial" w:hAnsi="Arial" w:cs="Arial"/>
                <w:sz w:val="14"/>
                <w:szCs w:val="14"/>
              </w:rPr>
            </w:pPr>
            <w:r w:rsidRPr="00416D67">
              <w:rPr>
                <w:rFonts w:ascii="Arial" w:hAnsi="Arial" w:cs="Arial"/>
                <w:sz w:val="14"/>
                <w:szCs w:val="14"/>
              </w:rPr>
              <w:t>Ostali građevinski objekti</w:t>
            </w:r>
          </w:p>
        </w:tc>
        <w:tc>
          <w:tcPr>
            <w:tcW w:w="1095" w:type="dxa"/>
            <w:tcBorders>
              <w:top w:val="single" w:sz="4" w:space="0" w:color="auto"/>
              <w:left w:val="nil"/>
              <w:bottom w:val="single" w:sz="4" w:space="0" w:color="auto"/>
              <w:right w:val="single" w:sz="4" w:space="0" w:color="auto"/>
            </w:tcBorders>
            <w:noWrap/>
            <w:vAlign w:val="bottom"/>
            <w:hideMark/>
          </w:tcPr>
          <w:p w14:paraId="6D92254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AABFCC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530CB01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28.013,75</w:t>
            </w:r>
          </w:p>
        </w:tc>
        <w:tc>
          <w:tcPr>
            <w:tcW w:w="918" w:type="dxa"/>
            <w:tcBorders>
              <w:top w:val="single" w:sz="4" w:space="0" w:color="auto"/>
              <w:left w:val="nil"/>
              <w:bottom w:val="single" w:sz="4" w:space="0" w:color="auto"/>
              <w:right w:val="single" w:sz="4" w:space="0" w:color="auto"/>
            </w:tcBorders>
            <w:noWrap/>
            <w:vAlign w:val="bottom"/>
            <w:hideMark/>
          </w:tcPr>
          <w:p w14:paraId="28CB2CE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C1874B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FF6F40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7. Prihodi od prodaje ili zamjene nefinancijske imovine i </w:t>
            </w:r>
            <w:proofErr w:type="spellStart"/>
            <w:r w:rsidRPr="00416D67">
              <w:rPr>
                <w:rFonts w:ascii="Arial" w:hAnsi="Arial" w:cs="Arial"/>
                <w:b/>
                <w:bCs/>
                <w:color w:val="333333"/>
                <w:sz w:val="14"/>
                <w:szCs w:val="14"/>
              </w:rPr>
              <w:t>nakna</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FFD0A5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36.770,00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983466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35.181,50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C300B3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67.898,75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A2B599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193,00%</w:t>
            </w:r>
          </w:p>
        </w:tc>
      </w:tr>
      <w:tr w:rsidR="00416D67" w:rsidRPr="00416D67" w14:paraId="0612B51F"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1430E5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7.1. 07 Prihodi od prodaje ili zamjene  </w:t>
            </w:r>
            <w:proofErr w:type="spellStart"/>
            <w:r w:rsidRPr="00416D67">
              <w:rPr>
                <w:rFonts w:ascii="Arial" w:hAnsi="Arial" w:cs="Arial"/>
                <w:b/>
                <w:bCs/>
                <w:color w:val="333333"/>
                <w:sz w:val="14"/>
                <w:szCs w:val="14"/>
              </w:rPr>
              <w:t>nefinanc.imovine</w:t>
            </w:r>
            <w:proofErr w:type="spellEnd"/>
            <w:r w:rsidRPr="00416D67">
              <w:rPr>
                <w:rFonts w:ascii="Arial" w:hAnsi="Arial" w:cs="Arial"/>
                <w:b/>
                <w:bCs/>
                <w:color w:val="333333"/>
                <w:sz w:val="14"/>
                <w:szCs w:val="14"/>
              </w:rPr>
              <w:t xml:space="preserve"> i </w:t>
            </w:r>
            <w:proofErr w:type="spellStart"/>
            <w:r w:rsidRPr="00416D67">
              <w:rPr>
                <w:rFonts w:ascii="Arial" w:hAnsi="Arial" w:cs="Arial"/>
                <w:b/>
                <w:bCs/>
                <w:color w:val="333333"/>
                <w:sz w:val="14"/>
                <w:szCs w:val="14"/>
              </w:rPr>
              <w:t>nadokn</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489E25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36.770,00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8BE03E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35.181,50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CA92B0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67.898,75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0E5AC6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193,00%</w:t>
            </w:r>
          </w:p>
        </w:tc>
      </w:tr>
      <w:tr w:rsidR="00416D67" w:rsidRPr="00416D67" w14:paraId="1E113C9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6BB1C5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233BE04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4B18D39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36.770,00</w:t>
            </w:r>
          </w:p>
        </w:tc>
        <w:tc>
          <w:tcPr>
            <w:tcW w:w="1070" w:type="dxa"/>
            <w:tcBorders>
              <w:top w:val="single" w:sz="4" w:space="0" w:color="auto"/>
              <w:left w:val="nil"/>
              <w:bottom w:val="single" w:sz="4" w:space="0" w:color="auto"/>
              <w:right w:val="single" w:sz="4" w:space="0" w:color="auto"/>
            </w:tcBorders>
            <w:noWrap/>
            <w:vAlign w:val="bottom"/>
            <w:hideMark/>
          </w:tcPr>
          <w:p w14:paraId="127AA10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35.181,50</w:t>
            </w:r>
          </w:p>
        </w:tc>
        <w:tc>
          <w:tcPr>
            <w:tcW w:w="1095" w:type="dxa"/>
            <w:tcBorders>
              <w:top w:val="single" w:sz="4" w:space="0" w:color="auto"/>
              <w:left w:val="nil"/>
              <w:bottom w:val="single" w:sz="4" w:space="0" w:color="auto"/>
              <w:right w:val="single" w:sz="4" w:space="0" w:color="auto"/>
            </w:tcBorders>
            <w:noWrap/>
            <w:vAlign w:val="bottom"/>
            <w:hideMark/>
          </w:tcPr>
          <w:p w14:paraId="057F3F9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67.898,75</w:t>
            </w:r>
          </w:p>
        </w:tc>
        <w:tc>
          <w:tcPr>
            <w:tcW w:w="918" w:type="dxa"/>
            <w:tcBorders>
              <w:top w:val="single" w:sz="4" w:space="0" w:color="auto"/>
              <w:left w:val="nil"/>
              <w:bottom w:val="single" w:sz="4" w:space="0" w:color="auto"/>
              <w:right w:val="single" w:sz="4" w:space="0" w:color="auto"/>
            </w:tcBorders>
            <w:noWrap/>
            <w:vAlign w:val="bottom"/>
            <w:hideMark/>
          </w:tcPr>
          <w:p w14:paraId="7DB82FD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193,00%</w:t>
            </w:r>
          </w:p>
        </w:tc>
      </w:tr>
      <w:tr w:rsidR="00416D67" w:rsidRPr="00416D67" w14:paraId="4343886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64DC705" w14:textId="77777777" w:rsidR="00416D67" w:rsidRPr="00416D67" w:rsidRDefault="00416D67" w:rsidP="00416D67">
            <w:pPr>
              <w:rPr>
                <w:rFonts w:ascii="Arial" w:hAnsi="Arial" w:cs="Arial"/>
                <w:sz w:val="14"/>
                <w:szCs w:val="14"/>
              </w:rPr>
            </w:pPr>
            <w:r w:rsidRPr="00416D67">
              <w:rPr>
                <w:rFonts w:ascii="Arial" w:hAnsi="Arial" w:cs="Arial"/>
                <w:sz w:val="14"/>
                <w:szCs w:val="14"/>
              </w:rPr>
              <w:t>4214</w:t>
            </w:r>
          </w:p>
        </w:tc>
        <w:tc>
          <w:tcPr>
            <w:tcW w:w="8106" w:type="dxa"/>
            <w:tcBorders>
              <w:top w:val="single" w:sz="4" w:space="0" w:color="auto"/>
              <w:left w:val="nil"/>
              <w:bottom w:val="single" w:sz="4" w:space="0" w:color="auto"/>
              <w:right w:val="single" w:sz="4" w:space="0" w:color="auto"/>
            </w:tcBorders>
            <w:noWrap/>
            <w:vAlign w:val="bottom"/>
            <w:hideMark/>
          </w:tcPr>
          <w:p w14:paraId="40D8C8B5" w14:textId="77777777" w:rsidR="00416D67" w:rsidRPr="00416D67" w:rsidRDefault="00416D67" w:rsidP="00416D67">
            <w:pPr>
              <w:rPr>
                <w:rFonts w:ascii="Arial" w:hAnsi="Arial" w:cs="Arial"/>
                <w:sz w:val="14"/>
                <w:szCs w:val="14"/>
              </w:rPr>
            </w:pPr>
            <w:r w:rsidRPr="00416D67">
              <w:rPr>
                <w:rFonts w:ascii="Arial" w:hAnsi="Arial" w:cs="Arial"/>
                <w:sz w:val="14"/>
                <w:szCs w:val="14"/>
              </w:rPr>
              <w:t>Ostali građevinski objekti</w:t>
            </w:r>
          </w:p>
        </w:tc>
        <w:tc>
          <w:tcPr>
            <w:tcW w:w="1095" w:type="dxa"/>
            <w:tcBorders>
              <w:top w:val="single" w:sz="4" w:space="0" w:color="auto"/>
              <w:left w:val="nil"/>
              <w:bottom w:val="single" w:sz="4" w:space="0" w:color="auto"/>
              <w:right w:val="single" w:sz="4" w:space="0" w:color="auto"/>
            </w:tcBorders>
            <w:noWrap/>
            <w:vAlign w:val="bottom"/>
            <w:hideMark/>
          </w:tcPr>
          <w:p w14:paraId="5798A2F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5AFD39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554174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65.251,25</w:t>
            </w:r>
          </w:p>
        </w:tc>
        <w:tc>
          <w:tcPr>
            <w:tcW w:w="918" w:type="dxa"/>
            <w:tcBorders>
              <w:top w:val="single" w:sz="4" w:space="0" w:color="auto"/>
              <w:left w:val="nil"/>
              <w:bottom w:val="single" w:sz="4" w:space="0" w:color="auto"/>
              <w:right w:val="single" w:sz="4" w:space="0" w:color="auto"/>
            </w:tcBorders>
            <w:noWrap/>
            <w:vAlign w:val="bottom"/>
            <w:hideMark/>
          </w:tcPr>
          <w:p w14:paraId="560CC73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C4BCE6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10D5E30B" w14:textId="77777777" w:rsidR="00416D67" w:rsidRPr="00416D67" w:rsidRDefault="00416D67" w:rsidP="00416D67">
            <w:pPr>
              <w:rPr>
                <w:rFonts w:ascii="Arial" w:hAnsi="Arial" w:cs="Arial"/>
                <w:sz w:val="14"/>
                <w:szCs w:val="14"/>
              </w:rPr>
            </w:pPr>
            <w:r w:rsidRPr="00416D67">
              <w:rPr>
                <w:rFonts w:ascii="Arial" w:hAnsi="Arial" w:cs="Arial"/>
                <w:sz w:val="14"/>
                <w:szCs w:val="14"/>
              </w:rPr>
              <w:t>4227</w:t>
            </w:r>
          </w:p>
        </w:tc>
        <w:tc>
          <w:tcPr>
            <w:tcW w:w="8106" w:type="dxa"/>
            <w:tcBorders>
              <w:top w:val="single" w:sz="4" w:space="0" w:color="auto"/>
              <w:left w:val="nil"/>
              <w:bottom w:val="single" w:sz="4" w:space="0" w:color="auto"/>
              <w:right w:val="single" w:sz="4" w:space="0" w:color="auto"/>
            </w:tcBorders>
            <w:noWrap/>
            <w:vAlign w:val="bottom"/>
            <w:hideMark/>
          </w:tcPr>
          <w:p w14:paraId="7873D2DE" w14:textId="77777777" w:rsidR="00416D67" w:rsidRPr="00416D67" w:rsidRDefault="00416D67" w:rsidP="00416D67">
            <w:pPr>
              <w:rPr>
                <w:rFonts w:ascii="Arial" w:hAnsi="Arial" w:cs="Arial"/>
                <w:sz w:val="14"/>
                <w:szCs w:val="14"/>
              </w:rPr>
            </w:pPr>
            <w:r w:rsidRPr="00416D67">
              <w:rPr>
                <w:rFonts w:ascii="Arial" w:hAnsi="Arial" w:cs="Arial"/>
                <w:sz w:val="14"/>
                <w:szCs w:val="14"/>
              </w:rPr>
              <w:t>Uređaji, strojevi i oprema za ostale namjene</w:t>
            </w:r>
          </w:p>
        </w:tc>
        <w:tc>
          <w:tcPr>
            <w:tcW w:w="1095" w:type="dxa"/>
            <w:tcBorders>
              <w:top w:val="single" w:sz="4" w:space="0" w:color="auto"/>
              <w:left w:val="nil"/>
              <w:bottom w:val="single" w:sz="4" w:space="0" w:color="auto"/>
              <w:right w:val="single" w:sz="4" w:space="0" w:color="auto"/>
            </w:tcBorders>
            <w:noWrap/>
            <w:vAlign w:val="bottom"/>
            <w:hideMark/>
          </w:tcPr>
          <w:p w14:paraId="0E6D7F7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19C0CD8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4999C3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2.647,50</w:t>
            </w:r>
          </w:p>
        </w:tc>
        <w:tc>
          <w:tcPr>
            <w:tcW w:w="918" w:type="dxa"/>
            <w:tcBorders>
              <w:top w:val="single" w:sz="4" w:space="0" w:color="auto"/>
              <w:left w:val="nil"/>
              <w:bottom w:val="single" w:sz="4" w:space="0" w:color="auto"/>
              <w:right w:val="single" w:sz="4" w:space="0" w:color="auto"/>
            </w:tcBorders>
            <w:noWrap/>
            <w:vAlign w:val="bottom"/>
            <w:hideMark/>
          </w:tcPr>
          <w:p w14:paraId="6409F01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6F0B4B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33B67B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K100013</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0907C1C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Kapitalni projekt: Izgradnja građevina i uređaja javne namjene</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9A1123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03454AB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44FE37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12.721,25</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57D5FA5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63,61%</w:t>
            </w:r>
          </w:p>
        </w:tc>
      </w:tr>
      <w:tr w:rsidR="00416D67" w:rsidRPr="00416D67" w14:paraId="6D60CF3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B52A32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C4A0FF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053802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E68109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951421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43DF3C9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5FA0B3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lastRenderedPageBreak/>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48CB9E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5C4E85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E11995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434424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17EFBFC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624396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16BC233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4AA041F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1070" w:type="dxa"/>
            <w:tcBorders>
              <w:top w:val="single" w:sz="4" w:space="0" w:color="auto"/>
              <w:left w:val="nil"/>
              <w:bottom w:val="single" w:sz="4" w:space="0" w:color="auto"/>
              <w:right w:val="single" w:sz="4" w:space="0" w:color="auto"/>
            </w:tcBorders>
            <w:noWrap/>
            <w:vAlign w:val="bottom"/>
            <w:hideMark/>
          </w:tcPr>
          <w:p w14:paraId="0110393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w:t>
            </w:r>
          </w:p>
        </w:tc>
        <w:tc>
          <w:tcPr>
            <w:tcW w:w="1095" w:type="dxa"/>
            <w:tcBorders>
              <w:top w:val="single" w:sz="4" w:space="0" w:color="auto"/>
              <w:left w:val="nil"/>
              <w:bottom w:val="single" w:sz="4" w:space="0" w:color="auto"/>
              <w:right w:val="single" w:sz="4" w:space="0" w:color="auto"/>
            </w:tcBorders>
            <w:noWrap/>
            <w:vAlign w:val="bottom"/>
            <w:hideMark/>
          </w:tcPr>
          <w:p w14:paraId="666EBBB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4123DD5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5B7062B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39C24D4"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83DD16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698187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3EF6D5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5.217,06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343646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 </w:t>
            </w:r>
          </w:p>
        </w:tc>
      </w:tr>
      <w:tr w:rsidR="00416D67" w:rsidRPr="00416D67" w14:paraId="1298C8D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18709E1"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4.3.7 Naknada za dodjelu grobnih mjesta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492AD9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A1A642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182146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5.217,06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654E9C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 </w:t>
            </w:r>
          </w:p>
        </w:tc>
      </w:tr>
      <w:tr w:rsidR="00416D67" w:rsidRPr="00416D67" w14:paraId="5E9E185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A5DA24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4526F37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0256807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1070" w:type="dxa"/>
            <w:tcBorders>
              <w:top w:val="single" w:sz="4" w:space="0" w:color="auto"/>
              <w:left w:val="nil"/>
              <w:bottom w:val="single" w:sz="4" w:space="0" w:color="auto"/>
              <w:right w:val="single" w:sz="4" w:space="0" w:color="auto"/>
            </w:tcBorders>
            <w:noWrap/>
            <w:vAlign w:val="bottom"/>
            <w:hideMark/>
          </w:tcPr>
          <w:p w14:paraId="4B89ED4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1095" w:type="dxa"/>
            <w:tcBorders>
              <w:top w:val="single" w:sz="4" w:space="0" w:color="auto"/>
              <w:left w:val="nil"/>
              <w:bottom w:val="single" w:sz="4" w:space="0" w:color="auto"/>
              <w:right w:val="single" w:sz="4" w:space="0" w:color="auto"/>
            </w:tcBorders>
            <w:noWrap/>
            <w:vAlign w:val="bottom"/>
            <w:hideMark/>
          </w:tcPr>
          <w:p w14:paraId="055FA2A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5.217,06</w:t>
            </w:r>
          </w:p>
        </w:tc>
        <w:tc>
          <w:tcPr>
            <w:tcW w:w="918" w:type="dxa"/>
            <w:tcBorders>
              <w:top w:val="single" w:sz="4" w:space="0" w:color="auto"/>
              <w:left w:val="nil"/>
              <w:bottom w:val="single" w:sz="4" w:space="0" w:color="auto"/>
              <w:right w:val="single" w:sz="4" w:space="0" w:color="auto"/>
            </w:tcBorders>
            <w:noWrap/>
            <w:vAlign w:val="bottom"/>
            <w:hideMark/>
          </w:tcPr>
          <w:p w14:paraId="40F0529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r>
      <w:tr w:rsidR="00416D67" w:rsidRPr="00416D67" w14:paraId="5D46A88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219A4FD" w14:textId="77777777" w:rsidR="00416D67" w:rsidRPr="00416D67" w:rsidRDefault="00416D67" w:rsidP="00416D67">
            <w:pPr>
              <w:rPr>
                <w:rFonts w:ascii="Arial" w:hAnsi="Arial" w:cs="Arial"/>
                <w:sz w:val="14"/>
                <w:szCs w:val="14"/>
              </w:rPr>
            </w:pPr>
            <w:r w:rsidRPr="00416D67">
              <w:rPr>
                <w:rFonts w:ascii="Arial" w:hAnsi="Arial" w:cs="Arial"/>
                <w:sz w:val="14"/>
                <w:szCs w:val="14"/>
              </w:rPr>
              <w:t>4214</w:t>
            </w:r>
          </w:p>
        </w:tc>
        <w:tc>
          <w:tcPr>
            <w:tcW w:w="8106" w:type="dxa"/>
            <w:tcBorders>
              <w:top w:val="single" w:sz="4" w:space="0" w:color="auto"/>
              <w:left w:val="nil"/>
              <w:bottom w:val="single" w:sz="4" w:space="0" w:color="auto"/>
              <w:right w:val="single" w:sz="4" w:space="0" w:color="auto"/>
            </w:tcBorders>
            <w:noWrap/>
            <w:vAlign w:val="bottom"/>
            <w:hideMark/>
          </w:tcPr>
          <w:p w14:paraId="5CDB6BC1" w14:textId="77777777" w:rsidR="00416D67" w:rsidRPr="00416D67" w:rsidRDefault="00416D67" w:rsidP="00416D67">
            <w:pPr>
              <w:rPr>
                <w:rFonts w:ascii="Arial" w:hAnsi="Arial" w:cs="Arial"/>
                <w:sz w:val="14"/>
                <w:szCs w:val="14"/>
              </w:rPr>
            </w:pPr>
            <w:r w:rsidRPr="00416D67">
              <w:rPr>
                <w:rFonts w:ascii="Arial" w:hAnsi="Arial" w:cs="Arial"/>
                <w:sz w:val="14"/>
                <w:szCs w:val="14"/>
              </w:rPr>
              <w:t>Ostali građevinski objekti</w:t>
            </w:r>
          </w:p>
        </w:tc>
        <w:tc>
          <w:tcPr>
            <w:tcW w:w="1095" w:type="dxa"/>
            <w:tcBorders>
              <w:top w:val="single" w:sz="4" w:space="0" w:color="auto"/>
              <w:left w:val="nil"/>
              <w:bottom w:val="single" w:sz="4" w:space="0" w:color="auto"/>
              <w:right w:val="single" w:sz="4" w:space="0" w:color="auto"/>
            </w:tcBorders>
            <w:noWrap/>
            <w:vAlign w:val="bottom"/>
            <w:hideMark/>
          </w:tcPr>
          <w:p w14:paraId="68C1B00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98B632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3686C4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2.625,00</w:t>
            </w:r>
          </w:p>
        </w:tc>
        <w:tc>
          <w:tcPr>
            <w:tcW w:w="918" w:type="dxa"/>
            <w:tcBorders>
              <w:top w:val="single" w:sz="4" w:space="0" w:color="auto"/>
              <w:left w:val="nil"/>
              <w:bottom w:val="single" w:sz="4" w:space="0" w:color="auto"/>
              <w:right w:val="single" w:sz="4" w:space="0" w:color="auto"/>
            </w:tcBorders>
            <w:noWrap/>
            <w:vAlign w:val="bottom"/>
            <w:hideMark/>
          </w:tcPr>
          <w:p w14:paraId="780E725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A7CF87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ABB891F" w14:textId="77777777" w:rsidR="00416D67" w:rsidRPr="00416D67" w:rsidRDefault="00416D67" w:rsidP="00416D67">
            <w:pPr>
              <w:rPr>
                <w:rFonts w:ascii="Arial" w:hAnsi="Arial" w:cs="Arial"/>
                <w:sz w:val="14"/>
                <w:szCs w:val="14"/>
              </w:rPr>
            </w:pPr>
            <w:r w:rsidRPr="00416D67">
              <w:rPr>
                <w:rFonts w:ascii="Arial" w:hAnsi="Arial" w:cs="Arial"/>
                <w:sz w:val="14"/>
                <w:szCs w:val="14"/>
              </w:rPr>
              <w:t>4227</w:t>
            </w:r>
          </w:p>
        </w:tc>
        <w:tc>
          <w:tcPr>
            <w:tcW w:w="8106" w:type="dxa"/>
            <w:tcBorders>
              <w:top w:val="single" w:sz="4" w:space="0" w:color="auto"/>
              <w:left w:val="nil"/>
              <w:bottom w:val="single" w:sz="4" w:space="0" w:color="auto"/>
              <w:right w:val="single" w:sz="4" w:space="0" w:color="auto"/>
            </w:tcBorders>
            <w:noWrap/>
            <w:vAlign w:val="bottom"/>
            <w:hideMark/>
          </w:tcPr>
          <w:p w14:paraId="07885ACF" w14:textId="77777777" w:rsidR="00416D67" w:rsidRPr="00416D67" w:rsidRDefault="00416D67" w:rsidP="00416D67">
            <w:pPr>
              <w:rPr>
                <w:rFonts w:ascii="Arial" w:hAnsi="Arial" w:cs="Arial"/>
                <w:sz w:val="14"/>
                <w:szCs w:val="14"/>
              </w:rPr>
            </w:pPr>
            <w:r w:rsidRPr="00416D67">
              <w:rPr>
                <w:rFonts w:ascii="Arial" w:hAnsi="Arial" w:cs="Arial"/>
                <w:sz w:val="14"/>
                <w:szCs w:val="14"/>
              </w:rPr>
              <w:t>Uređaji, strojevi i oprema za ostale namjene</w:t>
            </w:r>
          </w:p>
        </w:tc>
        <w:tc>
          <w:tcPr>
            <w:tcW w:w="1095" w:type="dxa"/>
            <w:tcBorders>
              <w:top w:val="single" w:sz="4" w:space="0" w:color="auto"/>
              <w:left w:val="nil"/>
              <w:bottom w:val="single" w:sz="4" w:space="0" w:color="auto"/>
              <w:right w:val="single" w:sz="4" w:space="0" w:color="auto"/>
            </w:tcBorders>
            <w:noWrap/>
            <w:vAlign w:val="bottom"/>
            <w:hideMark/>
          </w:tcPr>
          <w:p w14:paraId="1510641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0DC4BE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0E58A15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2.592,06</w:t>
            </w:r>
          </w:p>
        </w:tc>
        <w:tc>
          <w:tcPr>
            <w:tcW w:w="918" w:type="dxa"/>
            <w:tcBorders>
              <w:top w:val="single" w:sz="4" w:space="0" w:color="auto"/>
              <w:left w:val="nil"/>
              <w:bottom w:val="single" w:sz="4" w:space="0" w:color="auto"/>
              <w:right w:val="single" w:sz="4" w:space="0" w:color="auto"/>
            </w:tcBorders>
            <w:noWrap/>
            <w:vAlign w:val="bottom"/>
            <w:hideMark/>
          </w:tcPr>
          <w:p w14:paraId="7931E72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CB18D9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54C37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7. Prihodi od prodaje ili zamjene nefinancijske imovine i </w:t>
            </w:r>
            <w:proofErr w:type="spellStart"/>
            <w:r w:rsidRPr="00416D67">
              <w:rPr>
                <w:rFonts w:ascii="Arial" w:hAnsi="Arial" w:cs="Arial"/>
                <w:b/>
                <w:bCs/>
                <w:color w:val="333333"/>
                <w:sz w:val="14"/>
                <w:szCs w:val="14"/>
              </w:rPr>
              <w:t>nakna</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9DBD56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18.000,00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197496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18.000,00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3E7E4F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7.504,19</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247847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41,69%</w:t>
            </w:r>
          </w:p>
        </w:tc>
      </w:tr>
      <w:tr w:rsidR="00416D67" w:rsidRPr="00416D67" w14:paraId="3BAE505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290C05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7.1. 07 Prihodi od prodaje ili zamjene  </w:t>
            </w:r>
            <w:proofErr w:type="spellStart"/>
            <w:r w:rsidRPr="00416D67">
              <w:rPr>
                <w:rFonts w:ascii="Arial" w:hAnsi="Arial" w:cs="Arial"/>
                <w:b/>
                <w:bCs/>
                <w:color w:val="333333"/>
                <w:sz w:val="14"/>
                <w:szCs w:val="14"/>
              </w:rPr>
              <w:t>nefinanc.imovine</w:t>
            </w:r>
            <w:proofErr w:type="spellEnd"/>
            <w:r w:rsidRPr="00416D67">
              <w:rPr>
                <w:rFonts w:ascii="Arial" w:hAnsi="Arial" w:cs="Arial"/>
                <w:b/>
                <w:bCs/>
                <w:color w:val="333333"/>
                <w:sz w:val="14"/>
                <w:szCs w:val="14"/>
              </w:rPr>
              <w:t xml:space="preserve"> i </w:t>
            </w:r>
            <w:proofErr w:type="spellStart"/>
            <w:r w:rsidRPr="00416D67">
              <w:rPr>
                <w:rFonts w:ascii="Arial" w:hAnsi="Arial" w:cs="Arial"/>
                <w:b/>
                <w:bCs/>
                <w:color w:val="333333"/>
                <w:sz w:val="14"/>
                <w:szCs w:val="14"/>
              </w:rPr>
              <w:t>nadokn</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62F297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18.000,00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A5670B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18.000,00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12E854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7.504,19</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0BADC9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41,69%</w:t>
            </w:r>
          </w:p>
        </w:tc>
      </w:tr>
      <w:tr w:rsidR="00416D67" w:rsidRPr="00416D67" w14:paraId="5C5F4EA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94C391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6C374FB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20FA254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18.000,00</w:t>
            </w:r>
          </w:p>
        </w:tc>
        <w:tc>
          <w:tcPr>
            <w:tcW w:w="1070" w:type="dxa"/>
            <w:tcBorders>
              <w:top w:val="single" w:sz="4" w:space="0" w:color="auto"/>
              <w:left w:val="nil"/>
              <w:bottom w:val="single" w:sz="4" w:space="0" w:color="auto"/>
              <w:right w:val="single" w:sz="4" w:space="0" w:color="auto"/>
            </w:tcBorders>
            <w:noWrap/>
            <w:vAlign w:val="bottom"/>
            <w:hideMark/>
          </w:tcPr>
          <w:p w14:paraId="3775E4B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18.000,00</w:t>
            </w:r>
          </w:p>
        </w:tc>
        <w:tc>
          <w:tcPr>
            <w:tcW w:w="1095" w:type="dxa"/>
            <w:tcBorders>
              <w:top w:val="single" w:sz="4" w:space="0" w:color="auto"/>
              <w:left w:val="nil"/>
              <w:bottom w:val="single" w:sz="4" w:space="0" w:color="auto"/>
              <w:right w:val="single" w:sz="4" w:space="0" w:color="auto"/>
            </w:tcBorders>
            <w:noWrap/>
            <w:vAlign w:val="bottom"/>
            <w:hideMark/>
          </w:tcPr>
          <w:p w14:paraId="40D365D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7.504,19</w:t>
            </w:r>
          </w:p>
        </w:tc>
        <w:tc>
          <w:tcPr>
            <w:tcW w:w="918" w:type="dxa"/>
            <w:tcBorders>
              <w:top w:val="single" w:sz="4" w:space="0" w:color="auto"/>
              <w:left w:val="nil"/>
              <w:bottom w:val="single" w:sz="4" w:space="0" w:color="auto"/>
              <w:right w:val="single" w:sz="4" w:space="0" w:color="auto"/>
            </w:tcBorders>
            <w:noWrap/>
            <w:vAlign w:val="bottom"/>
            <w:hideMark/>
          </w:tcPr>
          <w:p w14:paraId="08F5E50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41,69%</w:t>
            </w:r>
          </w:p>
        </w:tc>
      </w:tr>
      <w:tr w:rsidR="00416D67" w:rsidRPr="00416D67" w14:paraId="76FEB97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F5916BD" w14:textId="77777777" w:rsidR="00416D67" w:rsidRPr="00416D67" w:rsidRDefault="00416D67" w:rsidP="00416D67">
            <w:pPr>
              <w:rPr>
                <w:rFonts w:ascii="Arial" w:hAnsi="Arial" w:cs="Arial"/>
                <w:sz w:val="14"/>
                <w:szCs w:val="14"/>
              </w:rPr>
            </w:pPr>
            <w:r w:rsidRPr="00416D67">
              <w:rPr>
                <w:rFonts w:ascii="Arial" w:hAnsi="Arial" w:cs="Arial"/>
                <w:sz w:val="14"/>
                <w:szCs w:val="14"/>
              </w:rPr>
              <w:t>4214</w:t>
            </w:r>
          </w:p>
        </w:tc>
        <w:tc>
          <w:tcPr>
            <w:tcW w:w="8106" w:type="dxa"/>
            <w:tcBorders>
              <w:top w:val="single" w:sz="4" w:space="0" w:color="auto"/>
              <w:left w:val="nil"/>
              <w:bottom w:val="single" w:sz="4" w:space="0" w:color="auto"/>
              <w:right w:val="single" w:sz="4" w:space="0" w:color="auto"/>
            </w:tcBorders>
            <w:noWrap/>
            <w:vAlign w:val="bottom"/>
            <w:hideMark/>
          </w:tcPr>
          <w:p w14:paraId="27CA21BC" w14:textId="77777777" w:rsidR="00416D67" w:rsidRPr="00416D67" w:rsidRDefault="00416D67" w:rsidP="00416D67">
            <w:pPr>
              <w:rPr>
                <w:rFonts w:ascii="Arial" w:hAnsi="Arial" w:cs="Arial"/>
                <w:sz w:val="14"/>
                <w:szCs w:val="14"/>
              </w:rPr>
            </w:pPr>
            <w:r w:rsidRPr="00416D67">
              <w:rPr>
                <w:rFonts w:ascii="Arial" w:hAnsi="Arial" w:cs="Arial"/>
                <w:sz w:val="14"/>
                <w:szCs w:val="14"/>
              </w:rPr>
              <w:t>Ostali građevinski objekti</w:t>
            </w:r>
          </w:p>
        </w:tc>
        <w:tc>
          <w:tcPr>
            <w:tcW w:w="1095" w:type="dxa"/>
            <w:tcBorders>
              <w:top w:val="single" w:sz="4" w:space="0" w:color="auto"/>
              <w:left w:val="nil"/>
              <w:bottom w:val="single" w:sz="4" w:space="0" w:color="auto"/>
              <w:right w:val="single" w:sz="4" w:space="0" w:color="auto"/>
            </w:tcBorders>
            <w:noWrap/>
            <w:vAlign w:val="bottom"/>
            <w:hideMark/>
          </w:tcPr>
          <w:p w14:paraId="107CF14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2442062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13F3686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1.597,50</w:t>
            </w:r>
          </w:p>
        </w:tc>
        <w:tc>
          <w:tcPr>
            <w:tcW w:w="918" w:type="dxa"/>
            <w:tcBorders>
              <w:top w:val="single" w:sz="4" w:space="0" w:color="auto"/>
              <w:left w:val="nil"/>
              <w:bottom w:val="single" w:sz="4" w:space="0" w:color="auto"/>
              <w:right w:val="single" w:sz="4" w:space="0" w:color="auto"/>
            </w:tcBorders>
            <w:noWrap/>
            <w:vAlign w:val="bottom"/>
            <w:hideMark/>
          </w:tcPr>
          <w:p w14:paraId="7BF8130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6699A0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51D5CC0" w14:textId="77777777" w:rsidR="00416D67" w:rsidRPr="00416D67" w:rsidRDefault="00416D67" w:rsidP="00416D67">
            <w:pPr>
              <w:rPr>
                <w:rFonts w:ascii="Arial" w:hAnsi="Arial" w:cs="Arial"/>
                <w:sz w:val="14"/>
                <w:szCs w:val="14"/>
              </w:rPr>
            </w:pPr>
            <w:r w:rsidRPr="00416D67">
              <w:rPr>
                <w:rFonts w:ascii="Arial" w:hAnsi="Arial" w:cs="Arial"/>
                <w:sz w:val="14"/>
                <w:szCs w:val="14"/>
              </w:rPr>
              <w:t>4227</w:t>
            </w:r>
          </w:p>
        </w:tc>
        <w:tc>
          <w:tcPr>
            <w:tcW w:w="8106" w:type="dxa"/>
            <w:tcBorders>
              <w:top w:val="single" w:sz="4" w:space="0" w:color="auto"/>
              <w:left w:val="nil"/>
              <w:bottom w:val="single" w:sz="4" w:space="0" w:color="auto"/>
              <w:right w:val="single" w:sz="4" w:space="0" w:color="auto"/>
            </w:tcBorders>
            <w:noWrap/>
            <w:vAlign w:val="bottom"/>
            <w:hideMark/>
          </w:tcPr>
          <w:p w14:paraId="727C01D8" w14:textId="77777777" w:rsidR="00416D67" w:rsidRPr="00416D67" w:rsidRDefault="00416D67" w:rsidP="00416D67">
            <w:pPr>
              <w:rPr>
                <w:rFonts w:ascii="Arial" w:hAnsi="Arial" w:cs="Arial"/>
                <w:sz w:val="14"/>
                <w:szCs w:val="14"/>
              </w:rPr>
            </w:pPr>
            <w:r w:rsidRPr="00416D67">
              <w:rPr>
                <w:rFonts w:ascii="Arial" w:hAnsi="Arial" w:cs="Arial"/>
                <w:sz w:val="14"/>
                <w:szCs w:val="14"/>
              </w:rPr>
              <w:t>Uređaji, strojevi i oprema za ostale namjene</w:t>
            </w:r>
          </w:p>
        </w:tc>
        <w:tc>
          <w:tcPr>
            <w:tcW w:w="1095" w:type="dxa"/>
            <w:tcBorders>
              <w:top w:val="single" w:sz="4" w:space="0" w:color="auto"/>
              <w:left w:val="nil"/>
              <w:bottom w:val="single" w:sz="4" w:space="0" w:color="auto"/>
              <w:right w:val="single" w:sz="4" w:space="0" w:color="auto"/>
            </w:tcBorders>
            <w:noWrap/>
            <w:vAlign w:val="bottom"/>
            <w:hideMark/>
          </w:tcPr>
          <w:p w14:paraId="1A5FC25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6AF5BA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05BB33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5.906,69</w:t>
            </w:r>
          </w:p>
        </w:tc>
        <w:tc>
          <w:tcPr>
            <w:tcW w:w="918" w:type="dxa"/>
            <w:tcBorders>
              <w:top w:val="single" w:sz="4" w:space="0" w:color="auto"/>
              <w:left w:val="nil"/>
              <w:bottom w:val="single" w:sz="4" w:space="0" w:color="auto"/>
              <w:right w:val="single" w:sz="4" w:space="0" w:color="auto"/>
            </w:tcBorders>
            <w:noWrap/>
            <w:vAlign w:val="bottom"/>
            <w:hideMark/>
          </w:tcPr>
          <w:p w14:paraId="08F6280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ED400B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C4725C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K100014</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508153A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Kapitalni projekt: Izgradnja javne rasvjete u uređenim dijelovima građevinskih područja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0C7414F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81.500,00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5C5486D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81.500,00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1C5DAC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80.836,25</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0E668A4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99,19%</w:t>
            </w:r>
          </w:p>
        </w:tc>
      </w:tr>
      <w:tr w:rsidR="00416D67" w:rsidRPr="00416D67" w14:paraId="33B45772"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2D33E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 Višak prihoda ranijih godina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F2D8F5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81.500,00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1E1F0A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81.500,00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3D8FE0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80.836,25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696D69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99,19%</w:t>
            </w:r>
          </w:p>
        </w:tc>
      </w:tr>
      <w:tr w:rsidR="00416D67" w:rsidRPr="00416D67" w14:paraId="1A12C0B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88B876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9.1.1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BD6763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81.500,00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D815F1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81.500,00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728CF2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80.836,25</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3A05CB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99,19%</w:t>
            </w:r>
          </w:p>
        </w:tc>
      </w:tr>
      <w:tr w:rsidR="00416D67" w:rsidRPr="00416D67" w14:paraId="6E67EB9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C78D2B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2238E8A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7C4272F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81.500,00</w:t>
            </w:r>
          </w:p>
        </w:tc>
        <w:tc>
          <w:tcPr>
            <w:tcW w:w="1070" w:type="dxa"/>
            <w:tcBorders>
              <w:top w:val="single" w:sz="4" w:space="0" w:color="auto"/>
              <w:left w:val="nil"/>
              <w:bottom w:val="single" w:sz="4" w:space="0" w:color="auto"/>
              <w:right w:val="single" w:sz="4" w:space="0" w:color="auto"/>
            </w:tcBorders>
            <w:noWrap/>
            <w:vAlign w:val="bottom"/>
            <w:hideMark/>
          </w:tcPr>
          <w:p w14:paraId="1C42145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81.500,00</w:t>
            </w:r>
          </w:p>
        </w:tc>
        <w:tc>
          <w:tcPr>
            <w:tcW w:w="1095" w:type="dxa"/>
            <w:tcBorders>
              <w:top w:val="single" w:sz="4" w:space="0" w:color="auto"/>
              <w:left w:val="nil"/>
              <w:bottom w:val="single" w:sz="4" w:space="0" w:color="auto"/>
              <w:right w:val="single" w:sz="4" w:space="0" w:color="auto"/>
            </w:tcBorders>
            <w:noWrap/>
            <w:vAlign w:val="bottom"/>
            <w:hideMark/>
          </w:tcPr>
          <w:p w14:paraId="2E137C4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80.836,25</w:t>
            </w:r>
          </w:p>
        </w:tc>
        <w:tc>
          <w:tcPr>
            <w:tcW w:w="918" w:type="dxa"/>
            <w:tcBorders>
              <w:top w:val="single" w:sz="4" w:space="0" w:color="auto"/>
              <w:left w:val="nil"/>
              <w:bottom w:val="single" w:sz="4" w:space="0" w:color="auto"/>
              <w:right w:val="single" w:sz="4" w:space="0" w:color="auto"/>
            </w:tcBorders>
            <w:noWrap/>
            <w:vAlign w:val="bottom"/>
            <w:hideMark/>
          </w:tcPr>
          <w:p w14:paraId="3C92FFB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99,19%</w:t>
            </w:r>
          </w:p>
        </w:tc>
      </w:tr>
      <w:tr w:rsidR="00416D67" w:rsidRPr="00416D67" w14:paraId="347CDB6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3C6B65C" w14:textId="77777777" w:rsidR="00416D67" w:rsidRPr="00416D67" w:rsidRDefault="00416D67" w:rsidP="00416D67">
            <w:pPr>
              <w:rPr>
                <w:rFonts w:ascii="Arial" w:hAnsi="Arial" w:cs="Arial"/>
                <w:sz w:val="14"/>
                <w:szCs w:val="14"/>
              </w:rPr>
            </w:pPr>
            <w:r w:rsidRPr="00416D67">
              <w:rPr>
                <w:rFonts w:ascii="Arial" w:hAnsi="Arial" w:cs="Arial"/>
                <w:sz w:val="14"/>
                <w:szCs w:val="14"/>
              </w:rPr>
              <w:t>4214</w:t>
            </w:r>
          </w:p>
        </w:tc>
        <w:tc>
          <w:tcPr>
            <w:tcW w:w="8106" w:type="dxa"/>
            <w:tcBorders>
              <w:top w:val="single" w:sz="4" w:space="0" w:color="auto"/>
              <w:left w:val="nil"/>
              <w:bottom w:val="single" w:sz="4" w:space="0" w:color="auto"/>
              <w:right w:val="single" w:sz="4" w:space="0" w:color="auto"/>
            </w:tcBorders>
            <w:noWrap/>
            <w:vAlign w:val="bottom"/>
            <w:hideMark/>
          </w:tcPr>
          <w:p w14:paraId="194EB679" w14:textId="77777777" w:rsidR="00416D67" w:rsidRPr="00416D67" w:rsidRDefault="00416D67" w:rsidP="00416D67">
            <w:pPr>
              <w:rPr>
                <w:rFonts w:ascii="Arial" w:hAnsi="Arial" w:cs="Arial"/>
                <w:sz w:val="14"/>
                <w:szCs w:val="14"/>
              </w:rPr>
            </w:pPr>
            <w:r w:rsidRPr="00416D67">
              <w:rPr>
                <w:rFonts w:ascii="Arial" w:hAnsi="Arial" w:cs="Arial"/>
                <w:sz w:val="14"/>
                <w:szCs w:val="14"/>
              </w:rPr>
              <w:t>Ostali građevinski objekti</w:t>
            </w:r>
          </w:p>
        </w:tc>
        <w:tc>
          <w:tcPr>
            <w:tcW w:w="1095" w:type="dxa"/>
            <w:tcBorders>
              <w:top w:val="single" w:sz="4" w:space="0" w:color="auto"/>
              <w:left w:val="nil"/>
              <w:bottom w:val="single" w:sz="4" w:space="0" w:color="auto"/>
              <w:right w:val="single" w:sz="4" w:space="0" w:color="auto"/>
            </w:tcBorders>
            <w:noWrap/>
            <w:vAlign w:val="bottom"/>
            <w:hideMark/>
          </w:tcPr>
          <w:p w14:paraId="7BBB0BA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1BA313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EFF3CC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80.836,25</w:t>
            </w:r>
          </w:p>
        </w:tc>
        <w:tc>
          <w:tcPr>
            <w:tcW w:w="918" w:type="dxa"/>
            <w:tcBorders>
              <w:top w:val="single" w:sz="4" w:space="0" w:color="auto"/>
              <w:left w:val="nil"/>
              <w:bottom w:val="single" w:sz="4" w:space="0" w:color="auto"/>
              <w:right w:val="single" w:sz="4" w:space="0" w:color="auto"/>
            </w:tcBorders>
            <w:noWrap/>
            <w:vAlign w:val="bottom"/>
            <w:hideMark/>
          </w:tcPr>
          <w:p w14:paraId="50CBC62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EF2755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4F991C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K100015</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6559475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Kapitalni projekt: Izgradnja javne rasvjete u neuređenim dijelovima građevinskih područja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2D12D79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46E5361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258C45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0271B32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2A93346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68CA82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7. Prihodi od prodaje ili zamjene nefinancijske imovine i </w:t>
            </w:r>
            <w:proofErr w:type="spellStart"/>
            <w:r w:rsidRPr="00416D67">
              <w:rPr>
                <w:rFonts w:ascii="Arial" w:hAnsi="Arial" w:cs="Arial"/>
                <w:b/>
                <w:bCs/>
                <w:color w:val="333333"/>
                <w:sz w:val="14"/>
                <w:szCs w:val="14"/>
              </w:rPr>
              <w:t>nakna</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D1CDD2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75DF9D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B46758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918E19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14A9621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C4DFF0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7.1. 07 Prihodi od prodaje ili zamjene  </w:t>
            </w:r>
            <w:proofErr w:type="spellStart"/>
            <w:r w:rsidRPr="00416D67">
              <w:rPr>
                <w:rFonts w:ascii="Arial" w:hAnsi="Arial" w:cs="Arial"/>
                <w:b/>
                <w:bCs/>
                <w:color w:val="333333"/>
                <w:sz w:val="14"/>
                <w:szCs w:val="14"/>
              </w:rPr>
              <w:t>nefinanc.imovine</w:t>
            </w:r>
            <w:proofErr w:type="spellEnd"/>
            <w:r w:rsidRPr="00416D67">
              <w:rPr>
                <w:rFonts w:ascii="Arial" w:hAnsi="Arial" w:cs="Arial"/>
                <w:b/>
                <w:bCs/>
                <w:color w:val="333333"/>
                <w:sz w:val="14"/>
                <w:szCs w:val="14"/>
              </w:rPr>
              <w:t xml:space="preserve"> i </w:t>
            </w:r>
            <w:proofErr w:type="spellStart"/>
            <w:r w:rsidRPr="00416D67">
              <w:rPr>
                <w:rFonts w:ascii="Arial" w:hAnsi="Arial" w:cs="Arial"/>
                <w:b/>
                <w:bCs/>
                <w:color w:val="333333"/>
                <w:sz w:val="14"/>
                <w:szCs w:val="14"/>
              </w:rPr>
              <w:t>nadokn</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73D7E7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5D28993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11.000,00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98B40A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E3C26C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4D1D9A3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125ABB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5D3908E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70188BE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11.000,00</w:t>
            </w:r>
          </w:p>
        </w:tc>
        <w:tc>
          <w:tcPr>
            <w:tcW w:w="1070" w:type="dxa"/>
            <w:tcBorders>
              <w:top w:val="single" w:sz="4" w:space="0" w:color="auto"/>
              <w:left w:val="nil"/>
              <w:bottom w:val="single" w:sz="4" w:space="0" w:color="auto"/>
              <w:right w:val="single" w:sz="4" w:space="0" w:color="auto"/>
            </w:tcBorders>
            <w:noWrap/>
            <w:vAlign w:val="bottom"/>
            <w:hideMark/>
          </w:tcPr>
          <w:p w14:paraId="78BCA11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11.000,00</w:t>
            </w:r>
          </w:p>
        </w:tc>
        <w:tc>
          <w:tcPr>
            <w:tcW w:w="1095" w:type="dxa"/>
            <w:tcBorders>
              <w:top w:val="single" w:sz="4" w:space="0" w:color="auto"/>
              <w:left w:val="nil"/>
              <w:bottom w:val="single" w:sz="4" w:space="0" w:color="auto"/>
              <w:right w:val="single" w:sz="4" w:space="0" w:color="auto"/>
            </w:tcBorders>
            <w:noWrap/>
            <w:vAlign w:val="bottom"/>
            <w:hideMark/>
          </w:tcPr>
          <w:p w14:paraId="777BFC3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6A86B6B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70813FD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3B2589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K100021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6BFCA70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Kapitalni projekt: Rekonstrukcija postojećih groblja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6A107D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7AB6C1C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03601F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3.510,00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42F5F33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17,55%</w:t>
            </w:r>
          </w:p>
        </w:tc>
      </w:tr>
      <w:tr w:rsidR="00416D67" w:rsidRPr="00416D67" w14:paraId="638BE8F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97A8B9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D4A2F7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20CD67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18D012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3.510,00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9711DA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35,10%</w:t>
            </w:r>
          </w:p>
        </w:tc>
      </w:tr>
      <w:tr w:rsidR="00416D67" w:rsidRPr="00416D67" w14:paraId="6394BCAC"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74F5E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4.3.7 Naknada za dodjelu grobnih mjesta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70AF5F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A8AC40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88FC67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3.510,00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EBEAA3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35,10%</w:t>
            </w:r>
          </w:p>
        </w:tc>
      </w:tr>
      <w:tr w:rsidR="00416D67" w:rsidRPr="00416D67" w14:paraId="621ED0A3"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C16F14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7732B54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6F61ADD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10.000,00</w:t>
            </w:r>
          </w:p>
        </w:tc>
        <w:tc>
          <w:tcPr>
            <w:tcW w:w="1070" w:type="dxa"/>
            <w:tcBorders>
              <w:top w:val="single" w:sz="4" w:space="0" w:color="auto"/>
              <w:left w:val="nil"/>
              <w:bottom w:val="single" w:sz="4" w:space="0" w:color="auto"/>
              <w:right w:val="single" w:sz="4" w:space="0" w:color="auto"/>
            </w:tcBorders>
            <w:noWrap/>
            <w:vAlign w:val="bottom"/>
            <w:hideMark/>
          </w:tcPr>
          <w:p w14:paraId="11565EA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10.000,00</w:t>
            </w:r>
          </w:p>
        </w:tc>
        <w:tc>
          <w:tcPr>
            <w:tcW w:w="1095" w:type="dxa"/>
            <w:tcBorders>
              <w:top w:val="single" w:sz="4" w:space="0" w:color="auto"/>
              <w:left w:val="nil"/>
              <w:bottom w:val="single" w:sz="4" w:space="0" w:color="auto"/>
              <w:right w:val="single" w:sz="4" w:space="0" w:color="auto"/>
            </w:tcBorders>
            <w:noWrap/>
            <w:vAlign w:val="bottom"/>
            <w:hideMark/>
          </w:tcPr>
          <w:p w14:paraId="397B09C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3.510,00</w:t>
            </w:r>
          </w:p>
        </w:tc>
        <w:tc>
          <w:tcPr>
            <w:tcW w:w="918" w:type="dxa"/>
            <w:tcBorders>
              <w:top w:val="single" w:sz="4" w:space="0" w:color="auto"/>
              <w:left w:val="nil"/>
              <w:bottom w:val="single" w:sz="4" w:space="0" w:color="auto"/>
              <w:right w:val="single" w:sz="4" w:space="0" w:color="auto"/>
            </w:tcBorders>
            <w:noWrap/>
            <w:vAlign w:val="bottom"/>
            <w:hideMark/>
          </w:tcPr>
          <w:p w14:paraId="40323B6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35,10%</w:t>
            </w:r>
          </w:p>
        </w:tc>
      </w:tr>
      <w:tr w:rsidR="00416D67" w:rsidRPr="00416D67" w14:paraId="7AFCAF3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336E9B6" w14:textId="77777777" w:rsidR="00416D67" w:rsidRPr="00416D67" w:rsidRDefault="00416D67" w:rsidP="00416D67">
            <w:pPr>
              <w:rPr>
                <w:rFonts w:ascii="Arial" w:hAnsi="Arial" w:cs="Arial"/>
                <w:sz w:val="14"/>
                <w:szCs w:val="14"/>
              </w:rPr>
            </w:pPr>
            <w:r w:rsidRPr="00416D67">
              <w:rPr>
                <w:rFonts w:ascii="Arial" w:hAnsi="Arial" w:cs="Arial"/>
                <w:sz w:val="14"/>
                <w:szCs w:val="14"/>
              </w:rPr>
              <w:t>4214</w:t>
            </w:r>
          </w:p>
        </w:tc>
        <w:tc>
          <w:tcPr>
            <w:tcW w:w="8106" w:type="dxa"/>
            <w:tcBorders>
              <w:top w:val="single" w:sz="4" w:space="0" w:color="auto"/>
              <w:left w:val="nil"/>
              <w:bottom w:val="single" w:sz="4" w:space="0" w:color="auto"/>
              <w:right w:val="single" w:sz="4" w:space="0" w:color="auto"/>
            </w:tcBorders>
            <w:noWrap/>
            <w:vAlign w:val="bottom"/>
            <w:hideMark/>
          </w:tcPr>
          <w:p w14:paraId="7CB0C58D" w14:textId="77777777" w:rsidR="00416D67" w:rsidRPr="00416D67" w:rsidRDefault="00416D67" w:rsidP="00416D67">
            <w:pPr>
              <w:rPr>
                <w:rFonts w:ascii="Arial" w:hAnsi="Arial" w:cs="Arial"/>
                <w:sz w:val="14"/>
                <w:szCs w:val="14"/>
              </w:rPr>
            </w:pPr>
            <w:r w:rsidRPr="00416D67">
              <w:rPr>
                <w:rFonts w:ascii="Arial" w:hAnsi="Arial" w:cs="Arial"/>
                <w:sz w:val="14"/>
                <w:szCs w:val="14"/>
              </w:rPr>
              <w:t>Ostali građevinski objekti</w:t>
            </w:r>
          </w:p>
        </w:tc>
        <w:tc>
          <w:tcPr>
            <w:tcW w:w="1095" w:type="dxa"/>
            <w:tcBorders>
              <w:top w:val="single" w:sz="4" w:space="0" w:color="auto"/>
              <w:left w:val="nil"/>
              <w:bottom w:val="single" w:sz="4" w:space="0" w:color="auto"/>
              <w:right w:val="single" w:sz="4" w:space="0" w:color="auto"/>
            </w:tcBorders>
            <w:noWrap/>
            <w:vAlign w:val="bottom"/>
            <w:hideMark/>
          </w:tcPr>
          <w:p w14:paraId="2497BBA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6C06618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BD7BDC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3.510,00</w:t>
            </w:r>
          </w:p>
        </w:tc>
        <w:tc>
          <w:tcPr>
            <w:tcW w:w="918" w:type="dxa"/>
            <w:tcBorders>
              <w:top w:val="single" w:sz="4" w:space="0" w:color="auto"/>
              <w:left w:val="nil"/>
              <w:bottom w:val="single" w:sz="4" w:space="0" w:color="auto"/>
              <w:right w:val="single" w:sz="4" w:space="0" w:color="auto"/>
            </w:tcBorders>
            <w:noWrap/>
            <w:vAlign w:val="bottom"/>
            <w:hideMark/>
          </w:tcPr>
          <w:p w14:paraId="2E973C9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3147E9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ADAD7E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7. Prihodi od prodaje ili zamjene nefinancijske imovine i </w:t>
            </w:r>
            <w:proofErr w:type="spellStart"/>
            <w:r w:rsidRPr="00416D67">
              <w:rPr>
                <w:rFonts w:ascii="Arial" w:hAnsi="Arial" w:cs="Arial"/>
                <w:b/>
                <w:bCs/>
                <w:color w:val="333333"/>
                <w:sz w:val="14"/>
                <w:szCs w:val="14"/>
              </w:rPr>
              <w:t>nakna</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89A7E2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9E797C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4B7A5A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45B067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62124AB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44A366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7.1. 07 Prihodi od prodaje ili zamjene  </w:t>
            </w:r>
            <w:proofErr w:type="spellStart"/>
            <w:r w:rsidRPr="00416D67">
              <w:rPr>
                <w:rFonts w:ascii="Arial" w:hAnsi="Arial" w:cs="Arial"/>
                <w:b/>
                <w:bCs/>
                <w:color w:val="333333"/>
                <w:sz w:val="14"/>
                <w:szCs w:val="14"/>
              </w:rPr>
              <w:t>nefinanc.imovine</w:t>
            </w:r>
            <w:proofErr w:type="spellEnd"/>
            <w:r w:rsidRPr="00416D67">
              <w:rPr>
                <w:rFonts w:ascii="Arial" w:hAnsi="Arial" w:cs="Arial"/>
                <w:b/>
                <w:bCs/>
                <w:color w:val="333333"/>
                <w:sz w:val="14"/>
                <w:szCs w:val="14"/>
              </w:rPr>
              <w:t xml:space="preserve"> i </w:t>
            </w:r>
            <w:proofErr w:type="spellStart"/>
            <w:r w:rsidRPr="00416D67">
              <w:rPr>
                <w:rFonts w:ascii="Arial" w:hAnsi="Arial" w:cs="Arial"/>
                <w:b/>
                <w:bCs/>
                <w:color w:val="333333"/>
                <w:sz w:val="14"/>
                <w:szCs w:val="14"/>
              </w:rPr>
              <w:t>nadokn</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E15366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ED5D1E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BE38B9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36F5B6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2F9885B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2C8650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0CD9B47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16EDD03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4.500,00</w:t>
            </w:r>
          </w:p>
        </w:tc>
        <w:tc>
          <w:tcPr>
            <w:tcW w:w="1070" w:type="dxa"/>
            <w:tcBorders>
              <w:top w:val="single" w:sz="4" w:space="0" w:color="auto"/>
              <w:left w:val="nil"/>
              <w:bottom w:val="single" w:sz="4" w:space="0" w:color="auto"/>
              <w:right w:val="single" w:sz="4" w:space="0" w:color="auto"/>
            </w:tcBorders>
            <w:noWrap/>
            <w:vAlign w:val="bottom"/>
            <w:hideMark/>
          </w:tcPr>
          <w:p w14:paraId="3C58A4C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4.500,00</w:t>
            </w:r>
          </w:p>
        </w:tc>
        <w:tc>
          <w:tcPr>
            <w:tcW w:w="1095" w:type="dxa"/>
            <w:tcBorders>
              <w:top w:val="single" w:sz="4" w:space="0" w:color="auto"/>
              <w:left w:val="nil"/>
              <w:bottom w:val="single" w:sz="4" w:space="0" w:color="auto"/>
              <w:right w:val="single" w:sz="4" w:space="0" w:color="auto"/>
            </w:tcBorders>
            <w:noWrap/>
            <w:vAlign w:val="bottom"/>
            <w:hideMark/>
          </w:tcPr>
          <w:p w14:paraId="2FB6D40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13F16AB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1E0087B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94F7C8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8106" w:type="dxa"/>
            <w:tcBorders>
              <w:top w:val="single" w:sz="4" w:space="0" w:color="auto"/>
              <w:left w:val="nil"/>
              <w:bottom w:val="single" w:sz="4" w:space="0" w:color="auto"/>
              <w:right w:val="single" w:sz="4" w:space="0" w:color="auto"/>
            </w:tcBorders>
            <w:noWrap/>
            <w:vAlign w:val="bottom"/>
            <w:hideMark/>
          </w:tcPr>
          <w:p w14:paraId="49690AD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095" w:type="dxa"/>
            <w:tcBorders>
              <w:top w:val="single" w:sz="4" w:space="0" w:color="auto"/>
              <w:left w:val="nil"/>
              <w:bottom w:val="single" w:sz="4" w:space="0" w:color="auto"/>
              <w:right w:val="single" w:sz="4" w:space="0" w:color="auto"/>
            </w:tcBorders>
            <w:noWrap/>
            <w:vAlign w:val="bottom"/>
            <w:hideMark/>
          </w:tcPr>
          <w:p w14:paraId="5DD235C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5.500,00</w:t>
            </w:r>
          </w:p>
        </w:tc>
        <w:tc>
          <w:tcPr>
            <w:tcW w:w="1070" w:type="dxa"/>
            <w:tcBorders>
              <w:top w:val="single" w:sz="4" w:space="0" w:color="auto"/>
              <w:left w:val="nil"/>
              <w:bottom w:val="single" w:sz="4" w:space="0" w:color="auto"/>
              <w:right w:val="single" w:sz="4" w:space="0" w:color="auto"/>
            </w:tcBorders>
            <w:noWrap/>
            <w:vAlign w:val="bottom"/>
            <w:hideMark/>
          </w:tcPr>
          <w:p w14:paraId="64669C7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5.500,00</w:t>
            </w:r>
          </w:p>
        </w:tc>
        <w:tc>
          <w:tcPr>
            <w:tcW w:w="1095" w:type="dxa"/>
            <w:tcBorders>
              <w:top w:val="single" w:sz="4" w:space="0" w:color="auto"/>
              <w:left w:val="nil"/>
              <w:bottom w:val="single" w:sz="4" w:space="0" w:color="auto"/>
              <w:right w:val="single" w:sz="4" w:space="0" w:color="auto"/>
            </w:tcBorders>
            <w:noWrap/>
            <w:vAlign w:val="bottom"/>
            <w:hideMark/>
          </w:tcPr>
          <w:p w14:paraId="4F8D546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7BEBBEB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36126627"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156430E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4025</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3FB5068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Program: Ulaganja u građevinske objekte  i ostalu imovinu</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1EC939F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215.750,00</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28C2BF4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259.593,50</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523015B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279.779,86</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19BE56B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107,78%</w:t>
            </w:r>
          </w:p>
        </w:tc>
      </w:tr>
      <w:tr w:rsidR="00416D67" w:rsidRPr="00416D67" w14:paraId="3D6413B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AE5C9A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5C76ADB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Kapitalni projekt: Projektna dokumentacija za općinske objekte</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FF3246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50.750,00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3DC8D5A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50.750,00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CB9CED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50.525,00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5F4035F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99,56%</w:t>
            </w:r>
          </w:p>
        </w:tc>
      </w:tr>
      <w:tr w:rsidR="00416D67" w:rsidRPr="00416D67" w14:paraId="0E699DE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55F18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320C1C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21.750,00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AB5FBE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21.750,00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28DB14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34.525,00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0D5A00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158,74%</w:t>
            </w:r>
          </w:p>
        </w:tc>
      </w:tr>
      <w:tr w:rsidR="00416D67" w:rsidRPr="00416D67" w14:paraId="78140020"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4DAE9C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D4748B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21.750,00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2BE658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21.750,00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D4906D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34.525,00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5974A8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158,74%</w:t>
            </w:r>
          </w:p>
        </w:tc>
      </w:tr>
      <w:tr w:rsidR="00416D67" w:rsidRPr="00416D67" w14:paraId="363DE58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255C3F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1F4B836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2EFD6B8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4.750,00</w:t>
            </w:r>
          </w:p>
        </w:tc>
        <w:tc>
          <w:tcPr>
            <w:tcW w:w="1070" w:type="dxa"/>
            <w:tcBorders>
              <w:top w:val="single" w:sz="4" w:space="0" w:color="auto"/>
              <w:left w:val="nil"/>
              <w:bottom w:val="single" w:sz="4" w:space="0" w:color="auto"/>
              <w:right w:val="single" w:sz="4" w:space="0" w:color="auto"/>
            </w:tcBorders>
            <w:noWrap/>
            <w:vAlign w:val="bottom"/>
            <w:hideMark/>
          </w:tcPr>
          <w:p w14:paraId="4B13C53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4.750,00</w:t>
            </w:r>
          </w:p>
        </w:tc>
        <w:tc>
          <w:tcPr>
            <w:tcW w:w="1095" w:type="dxa"/>
            <w:tcBorders>
              <w:top w:val="single" w:sz="4" w:space="0" w:color="auto"/>
              <w:left w:val="nil"/>
              <w:bottom w:val="single" w:sz="4" w:space="0" w:color="auto"/>
              <w:right w:val="single" w:sz="4" w:space="0" w:color="auto"/>
            </w:tcBorders>
            <w:noWrap/>
            <w:vAlign w:val="bottom"/>
            <w:hideMark/>
          </w:tcPr>
          <w:p w14:paraId="50824D7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1.275,00</w:t>
            </w:r>
          </w:p>
        </w:tc>
        <w:tc>
          <w:tcPr>
            <w:tcW w:w="918" w:type="dxa"/>
            <w:tcBorders>
              <w:top w:val="single" w:sz="4" w:space="0" w:color="auto"/>
              <w:left w:val="nil"/>
              <w:bottom w:val="single" w:sz="4" w:space="0" w:color="auto"/>
              <w:right w:val="single" w:sz="4" w:space="0" w:color="auto"/>
            </w:tcBorders>
            <w:noWrap/>
            <w:vAlign w:val="bottom"/>
            <w:hideMark/>
          </w:tcPr>
          <w:p w14:paraId="31E195D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26,84%</w:t>
            </w:r>
          </w:p>
        </w:tc>
      </w:tr>
      <w:tr w:rsidR="00416D67" w:rsidRPr="00416D67" w14:paraId="578243B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F9BE52D" w14:textId="77777777" w:rsidR="00416D67" w:rsidRPr="00416D67" w:rsidRDefault="00416D67" w:rsidP="00416D67">
            <w:pPr>
              <w:rPr>
                <w:rFonts w:ascii="Arial" w:hAnsi="Arial" w:cs="Arial"/>
                <w:sz w:val="14"/>
                <w:szCs w:val="14"/>
              </w:rPr>
            </w:pPr>
            <w:r w:rsidRPr="00416D67">
              <w:rPr>
                <w:rFonts w:ascii="Arial" w:hAnsi="Arial" w:cs="Arial"/>
                <w:sz w:val="14"/>
                <w:szCs w:val="14"/>
              </w:rPr>
              <w:t>3237</w:t>
            </w:r>
          </w:p>
        </w:tc>
        <w:tc>
          <w:tcPr>
            <w:tcW w:w="8106" w:type="dxa"/>
            <w:tcBorders>
              <w:top w:val="single" w:sz="4" w:space="0" w:color="auto"/>
              <w:left w:val="nil"/>
              <w:bottom w:val="single" w:sz="4" w:space="0" w:color="auto"/>
              <w:right w:val="single" w:sz="4" w:space="0" w:color="auto"/>
            </w:tcBorders>
            <w:noWrap/>
            <w:vAlign w:val="bottom"/>
            <w:hideMark/>
          </w:tcPr>
          <w:p w14:paraId="1AB3EDD4" w14:textId="77777777" w:rsidR="00416D67" w:rsidRPr="00416D67" w:rsidRDefault="00416D67" w:rsidP="00416D67">
            <w:pPr>
              <w:rPr>
                <w:rFonts w:ascii="Arial" w:hAnsi="Arial" w:cs="Arial"/>
                <w:sz w:val="14"/>
                <w:szCs w:val="14"/>
              </w:rPr>
            </w:pPr>
            <w:r w:rsidRPr="00416D67">
              <w:rPr>
                <w:rFonts w:ascii="Arial" w:hAnsi="Arial" w:cs="Arial"/>
                <w:sz w:val="14"/>
                <w:szCs w:val="14"/>
              </w:rPr>
              <w:t>Intelektualne i osobne usluge</w:t>
            </w:r>
          </w:p>
        </w:tc>
        <w:tc>
          <w:tcPr>
            <w:tcW w:w="1095" w:type="dxa"/>
            <w:tcBorders>
              <w:top w:val="single" w:sz="4" w:space="0" w:color="auto"/>
              <w:left w:val="nil"/>
              <w:bottom w:val="single" w:sz="4" w:space="0" w:color="auto"/>
              <w:right w:val="single" w:sz="4" w:space="0" w:color="auto"/>
            </w:tcBorders>
            <w:noWrap/>
            <w:vAlign w:val="bottom"/>
            <w:hideMark/>
          </w:tcPr>
          <w:p w14:paraId="03B7A8D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7D6381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032DCB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1.275,00</w:t>
            </w:r>
          </w:p>
        </w:tc>
        <w:tc>
          <w:tcPr>
            <w:tcW w:w="918" w:type="dxa"/>
            <w:tcBorders>
              <w:top w:val="single" w:sz="4" w:space="0" w:color="auto"/>
              <w:left w:val="nil"/>
              <w:bottom w:val="single" w:sz="4" w:space="0" w:color="auto"/>
              <w:right w:val="single" w:sz="4" w:space="0" w:color="auto"/>
            </w:tcBorders>
            <w:noWrap/>
            <w:vAlign w:val="bottom"/>
            <w:hideMark/>
          </w:tcPr>
          <w:p w14:paraId="2A49425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B5C6F8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B6BB97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45</w:t>
            </w:r>
          </w:p>
        </w:tc>
        <w:tc>
          <w:tcPr>
            <w:tcW w:w="8106" w:type="dxa"/>
            <w:tcBorders>
              <w:top w:val="single" w:sz="4" w:space="0" w:color="auto"/>
              <w:left w:val="nil"/>
              <w:bottom w:val="single" w:sz="4" w:space="0" w:color="auto"/>
              <w:right w:val="single" w:sz="4" w:space="0" w:color="auto"/>
            </w:tcBorders>
            <w:noWrap/>
            <w:vAlign w:val="bottom"/>
            <w:hideMark/>
          </w:tcPr>
          <w:p w14:paraId="2EB6CDB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dodatna ulaganja na nefinancijskoj imovini</w:t>
            </w:r>
          </w:p>
        </w:tc>
        <w:tc>
          <w:tcPr>
            <w:tcW w:w="1095" w:type="dxa"/>
            <w:tcBorders>
              <w:top w:val="single" w:sz="4" w:space="0" w:color="auto"/>
              <w:left w:val="nil"/>
              <w:bottom w:val="single" w:sz="4" w:space="0" w:color="auto"/>
              <w:right w:val="single" w:sz="4" w:space="0" w:color="auto"/>
            </w:tcBorders>
            <w:noWrap/>
            <w:vAlign w:val="bottom"/>
            <w:hideMark/>
          </w:tcPr>
          <w:p w14:paraId="35FFBEC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17.000,00</w:t>
            </w:r>
          </w:p>
        </w:tc>
        <w:tc>
          <w:tcPr>
            <w:tcW w:w="1070" w:type="dxa"/>
            <w:tcBorders>
              <w:top w:val="single" w:sz="4" w:space="0" w:color="auto"/>
              <w:left w:val="nil"/>
              <w:bottom w:val="single" w:sz="4" w:space="0" w:color="auto"/>
              <w:right w:val="single" w:sz="4" w:space="0" w:color="auto"/>
            </w:tcBorders>
            <w:noWrap/>
            <w:vAlign w:val="bottom"/>
            <w:hideMark/>
          </w:tcPr>
          <w:p w14:paraId="2F45A59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17.000,00</w:t>
            </w:r>
          </w:p>
        </w:tc>
        <w:tc>
          <w:tcPr>
            <w:tcW w:w="1095" w:type="dxa"/>
            <w:tcBorders>
              <w:top w:val="single" w:sz="4" w:space="0" w:color="auto"/>
              <w:left w:val="nil"/>
              <w:bottom w:val="single" w:sz="4" w:space="0" w:color="auto"/>
              <w:right w:val="single" w:sz="4" w:space="0" w:color="auto"/>
            </w:tcBorders>
            <w:noWrap/>
            <w:vAlign w:val="bottom"/>
            <w:hideMark/>
          </w:tcPr>
          <w:p w14:paraId="1DEE638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33.250,00</w:t>
            </w:r>
          </w:p>
        </w:tc>
        <w:tc>
          <w:tcPr>
            <w:tcW w:w="918" w:type="dxa"/>
            <w:tcBorders>
              <w:top w:val="single" w:sz="4" w:space="0" w:color="auto"/>
              <w:left w:val="nil"/>
              <w:bottom w:val="single" w:sz="4" w:space="0" w:color="auto"/>
              <w:right w:val="single" w:sz="4" w:space="0" w:color="auto"/>
            </w:tcBorders>
            <w:noWrap/>
            <w:vAlign w:val="bottom"/>
            <w:hideMark/>
          </w:tcPr>
          <w:p w14:paraId="5D6D0B6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195,59%</w:t>
            </w:r>
          </w:p>
        </w:tc>
      </w:tr>
      <w:tr w:rsidR="00416D67" w:rsidRPr="00416D67" w14:paraId="1F0A8AC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4303FF9" w14:textId="77777777" w:rsidR="00416D67" w:rsidRPr="00416D67" w:rsidRDefault="00416D67" w:rsidP="00416D67">
            <w:pPr>
              <w:rPr>
                <w:rFonts w:ascii="Arial" w:hAnsi="Arial" w:cs="Arial"/>
                <w:sz w:val="14"/>
                <w:szCs w:val="14"/>
              </w:rPr>
            </w:pPr>
            <w:r w:rsidRPr="00416D67">
              <w:rPr>
                <w:rFonts w:ascii="Arial" w:hAnsi="Arial" w:cs="Arial"/>
                <w:sz w:val="14"/>
                <w:szCs w:val="14"/>
              </w:rPr>
              <w:t>4511</w:t>
            </w:r>
          </w:p>
        </w:tc>
        <w:tc>
          <w:tcPr>
            <w:tcW w:w="8106" w:type="dxa"/>
            <w:tcBorders>
              <w:top w:val="single" w:sz="4" w:space="0" w:color="auto"/>
              <w:left w:val="nil"/>
              <w:bottom w:val="single" w:sz="4" w:space="0" w:color="auto"/>
              <w:right w:val="single" w:sz="4" w:space="0" w:color="auto"/>
            </w:tcBorders>
            <w:noWrap/>
            <w:vAlign w:val="bottom"/>
            <w:hideMark/>
          </w:tcPr>
          <w:p w14:paraId="2A1325CD" w14:textId="77777777" w:rsidR="00416D67" w:rsidRPr="00416D67" w:rsidRDefault="00416D67" w:rsidP="00416D67">
            <w:pPr>
              <w:rPr>
                <w:rFonts w:ascii="Arial" w:hAnsi="Arial" w:cs="Arial"/>
                <w:sz w:val="14"/>
                <w:szCs w:val="14"/>
              </w:rPr>
            </w:pPr>
            <w:r w:rsidRPr="00416D67">
              <w:rPr>
                <w:rFonts w:ascii="Arial" w:hAnsi="Arial" w:cs="Arial"/>
                <w:sz w:val="14"/>
                <w:szCs w:val="14"/>
              </w:rPr>
              <w:t>Dodatna ulaganja na građevinskim objektima</w:t>
            </w:r>
          </w:p>
        </w:tc>
        <w:tc>
          <w:tcPr>
            <w:tcW w:w="1095" w:type="dxa"/>
            <w:tcBorders>
              <w:top w:val="single" w:sz="4" w:space="0" w:color="auto"/>
              <w:left w:val="nil"/>
              <w:bottom w:val="single" w:sz="4" w:space="0" w:color="auto"/>
              <w:right w:val="single" w:sz="4" w:space="0" w:color="auto"/>
            </w:tcBorders>
            <w:noWrap/>
            <w:vAlign w:val="bottom"/>
            <w:hideMark/>
          </w:tcPr>
          <w:p w14:paraId="3B9DE3F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33405BC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70E506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33.250,00</w:t>
            </w:r>
          </w:p>
        </w:tc>
        <w:tc>
          <w:tcPr>
            <w:tcW w:w="918" w:type="dxa"/>
            <w:tcBorders>
              <w:top w:val="single" w:sz="4" w:space="0" w:color="auto"/>
              <w:left w:val="nil"/>
              <w:bottom w:val="single" w:sz="4" w:space="0" w:color="auto"/>
              <w:right w:val="single" w:sz="4" w:space="0" w:color="auto"/>
            </w:tcBorders>
            <w:noWrap/>
            <w:vAlign w:val="bottom"/>
            <w:hideMark/>
          </w:tcPr>
          <w:p w14:paraId="0B2ED76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68C9248"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27A872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7. Prihodi od prodaje ili zamjene nefinancijske imovine i </w:t>
            </w:r>
            <w:proofErr w:type="spellStart"/>
            <w:r w:rsidRPr="00416D67">
              <w:rPr>
                <w:rFonts w:ascii="Arial" w:hAnsi="Arial" w:cs="Arial"/>
                <w:b/>
                <w:bCs/>
                <w:color w:val="333333"/>
                <w:sz w:val="14"/>
                <w:szCs w:val="14"/>
              </w:rPr>
              <w:t>nakna</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1A09A7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29.000,00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6953C92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29.000,00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E5A021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E0FFDE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55,17%</w:t>
            </w:r>
          </w:p>
        </w:tc>
      </w:tr>
      <w:tr w:rsidR="00416D67" w:rsidRPr="00416D67" w14:paraId="7E2518A7"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D4CEA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7.1. 07 Prihodi od prodaje ili zamjene  </w:t>
            </w:r>
            <w:proofErr w:type="spellStart"/>
            <w:r w:rsidRPr="00416D67">
              <w:rPr>
                <w:rFonts w:ascii="Arial" w:hAnsi="Arial" w:cs="Arial"/>
                <w:b/>
                <w:bCs/>
                <w:color w:val="333333"/>
                <w:sz w:val="14"/>
                <w:szCs w:val="14"/>
              </w:rPr>
              <w:t>nefinanc.imovine</w:t>
            </w:r>
            <w:proofErr w:type="spellEnd"/>
            <w:r w:rsidRPr="00416D67">
              <w:rPr>
                <w:rFonts w:ascii="Arial" w:hAnsi="Arial" w:cs="Arial"/>
                <w:b/>
                <w:bCs/>
                <w:color w:val="333333"/>
                <w:sz w:val="14"/>
                <w:szCs w:val="14"/>
              </w:rPr>
              <w:t xml:space="preserve"> i </w:t>
            </w:r>
            <w:proofErr w:type="spellStart"/>
            <w:r w:rsidRPr="00416D67">
              <w:rPr>
                <w:rFonts w:ascii="Arial" w:hAnsi="Arial" w:cs="Arial"/>
                <w:b/>
                <w:bCs/>
                <w:color w:val="333333"/>
                <w:sz w:val="14"/>
                <w:szCs w:val="14"/>
              </w:rPr>
              <w:t>nadokn</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40928F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29.000,00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E76A54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29.000,00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8AFDBE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2D9311F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55,17%</w:t>
            </w:r>
          </w:p>
        </w:tc>
      </w:tr>
      <w:tr w:rsidR="00416D67" w:rsidRPr="00416D67" w14:paraId="0679C45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02FBC6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45</w:t>
            </w:r>
          </w:p>
        </w:tc>
        <w:tc>
          <w:tcPr>
            <w:tcW w:w="8106" w:type="dxa"/>
            <w:tcBorders>
              <w:top w:val="single" w:sz="4" w:space="0" w:color="auto"/>
              <w:left w:val="nil"/>
              <w:bottom w:val="single" w:sz="4" w:space="0" w:color="auto"/>
              <w:right w:val="single" w:sz="4" w:space="0" w:color="auto"/>
            </w:tcBorders>
            <w:noWrap/>
            <w:vAlign w:val="bottom"/>
            <w:hideMark/>
          </w:tcPr>
          <w:p w14:paraId="725B671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dodatna ulaganja na nefinancijskoj imovini</w:t>
            </w:r>
          </w:p>
        </w:tc>
        <w:tc>
          <w:tcPr>
            <w:tcW w:w="1095" w:type="dxa"/>
            <w:tcBorders>
              <w:top w:val="single" w:sz="4" w:space="0" w:color="auto"/>
              <w:left w:val="nil"/>
              <w:bottom w:val="single" w:sz="4" w:space="0" w:color="auto"/>
              <w:right w:val="single" w:sz="4" w:space="0" w:color="auto"/>
            </w:tcBorders>
            <w:noWrap/>
            <w:vAlign w:val="bottom"/>
            <w:hideMark/>
          </w:tcPr>
          <w:p w14:paraId="378F266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29.000,00</w:t>
            </w:r>
          </w:p>
        </w:tc>
        <w:tc>
          <w:tcPr>
            <w:tcW w:w="1070" w:type="dxa"/>
            <w:tcBorders>
              <w:top w:val="single" w:sz="4" w:space="0" w:color="auto"/>
              <w:left w:val="nil"/>
              <w:bottom w:val="single" w:sz="4" w:space="0" w:color="auto"/>
              <w:right w:val="single" w:sz="4" w:space="0" w:color="auto"/>
            </w:tcBorders>
            <w:noWrap/>
            <w:vAlign w:val="bottom"/>
            <w:hideMark/>
          </w:tcPr>
          <w:p w14:paraId="09C08AF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29.000,00</w:t>
            </w:r>
          </w:p>
        </w:tc>
        <w:tc>
          <w:tcPr>
            <w:tcW w:w="1095" w:type="dxa"/>
            <w:tcBorders>
              <w:top w:val="single" w:sz="4" w:space="0" w:color="auto"/>
              <w:left w:val="nil"/>
              <w:bottom w:val="single" w:sz="4" w:space="0" w:color="auto"/>
              <w:right w:val="single" w:sz="4" w:space="0" w:color="auto"/>
            </w:tcBorders>
            <w:noWrap/>
            <w:vAlign w:val="bottom"/>
            <w:hideMark/>
          </w:tcPr>
          <w:p w14:paraId="3AA102B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16.000,00</w:t>
            </w:r>
          </w:p>
        </w:tc>
        <w:tc>
          <w:tcPr>
            <w:tcW w:w="918" w:type="dxa"/>
            <w:tcBorders>
              <w:top w:val="single" w:sz="4" w:space="0" w:color="auto"/>
              <w:left w:val="nil"/>
              <w:bottom w:val="single" w:sz="4" w:space="0" w:color="auto"/>
              <w:right w:val="single" w:sz="4" w:space="0" w:color="auto"/>
            </w:tcBorders>
            <w:noWrap/>
            <w:vAlign w:val="bottom"/>
            <w:hideMark/>
          </w:tcPr>
          <w:p w14:paraId="4DF3365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55,17%</w:t>
            </w:r>
          </w:p>
        </w:tc>
      </w:tr>
      <w:tr w:rsidR="00416D67" w:rsidRPr="00416D67" w14:paraId="7B9E9F6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86CF6D3" w14:textId="77777777" w:rsidR="00416D67" w:rsidRPr="00416D67" w:rsidRDefault="00416D67" w:rsidP="00416D67">
            <w:pPr>
              <w:rPr>
                <w:rFonts w:ascii="Arial" w:hAnsi="Arial" w:cs="Arial"/>
                <w:sz w:val="14"/>
                <w:szCs w:val="14"/>
              </w:rPr>
            </w:pPr>
            <w:r w:rsidRPr="00416D67">
              <w:rPr>
                <w:rFonts w:ascii="Arial" w:hAnsi="Arial" w:cs="Arial"/>
                <w:sz w:val="14"/>
                <w:szCs w:val="14"/>
              </w:rPr>
              <w:t>4511</w:t>
            </w:r>
          </w:p>
        </w:tc>
        <w:tc>
          <w:tcPr>
            <w:tcW w:w="8106" w:type="dxa"/>
            <w:tcBorders>
              <w:top w:val="single" w:sz="4" w:space="0" w:color="auto"/>
              <w:left w:val="nil"/>
              <w:bottom w:val="single" w:sz="4" w:space="0" w:color="auto"/>
              <w:right w:val="single" w:sz="4" w:space="0" w:color="auto"/>
            </w:tcBorders>
            <w:noWrap/>
            <w:vAlign w:val="bottom"/>
            <w:hideMark/>
          </w:tcPr>
          <w:p w14:paraId="5745B43F" w14:textId="77777777" w:rsidR="00416D67" w:rsidRPr="00416D67" w:rsidRDefault="00416D67" w:rsidP="00416D67">
            <w:pPr>
              <w:rPr>
                <w:rFonts w:ascii="Arial" w:hAnsi="Arial" w:cs="Arial"/>
                <w:sz w:val="14"/>
                <w:szCs w:val="14"/>
              </w:rPr>
            </w:pPr>
            <w:r w:rsidRPr="00416D67">
              <w:rPr>
                <w:rFonts w:ascii="Arial" w:hAnsi="Arial" w:cs="Arial"/>
                <w:sz w:val="14"/>
                <w:szCs w:val="14"/>
              </w:rPr>
              <w:t>Dodatna ulaganja na građevinskim objektima</w:t>
            </w:r>
          </w:p>
        </w:tc>
        <w:tc>
          <w:tcPr>
            <w:tcW w:w="1095" w:type="dxa"/>
            <w:tcBorders>
              <w:top w:val="single" w:sz="4" w:space="0" w:color="auto"/>
              <w:left w:val="nil"/>
              <w:bottom w:val="single" w:sz="4" w:space="0" w:color="auto"/>
              <w:right w:val="single" w:sz="4" w:space="0" w:color="auto"/>
            </w:tcBorders>
            <w:noWrap/>
            <w:vAlign w:val="bottom"/>
            <w:hideMark/>
          </w:tcPr>
          <w:p w14:paraId="2820CC8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D53F3C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68BBAF6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16.000,00</w:t>
            </w:r>
          </w:p>
        </w:tc>
        <w:tc>
          <w:tcPr>
            <w:tcW w:w="918" w:type="dxa"/>
            <w:tcBorders>
              <w:top w:val="single" w:sz="4" w:space="0" w:color="auto"/>
              <w:left w:val="nil"/>
              <w:bottom w:val="single" w:sz="4" w:space="0" w:color="auto"/>
              <w:right w:val="single" w:sz="4" w:space="0" w:color="auto"/>
            </w:tcBorders>
            <w:noWrap/>
            <w:vAlign w:val="bottom"/>
            <w:hideMark/>
          </w:tcPr>
          <w:p w14:paraId="0344A5F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9AD4E18"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F5653F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K100005</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7DE00CF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Kapitalni projekt: Dodatna ulaganja u općinske objekte</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75E183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165.000,00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0FD4416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208.843,50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CDE38E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229.254,86</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5439D50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109,77%</w:t>
            </w:r>
          </w:p>
        </w:tc>
      </w:tr>
      <w:tr w:rsidR="00416D67" w:rsidRPr="00416D67" w14:paraId="13145EF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899DA8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7. Prihodi od prodaje ili zamjene nefinancijske imovine i </w:t>
            </w:r>
            <w:proofErr w:type="spellStart"/>
            <w:r w:rsidRPr="00416D67">
              <w:rPr>
                <w:rFonts w:ascii="Arial" w:hAnsi="Arial" w:cs="Arial"/>
                <w:b/>
                <w:bCs/>
                <w:color w:val="333333"/>
                <w:sz w:val="14"/>
                <w:szCs w:val="14"/>
              </w:rPr>
              <w:t>nakna</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161C89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165.000,00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F58DDE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208.843,50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F460F0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229.254,86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DBC7D0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109,77%</w:t>
            </w:r>
          </w:p>
        </w:tc>
      </w:tr>
      <w:tr w:rsidR="00416D67" w:rsidRPr="00416D67" w14:paraId="5834B93D"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F8AF34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lastRenderedPageBreak/>
              <w:t xml:space="preserve">Izvor 7.1. 07 Prihodi od prodaje ili zamjene  </w:t>
            </w:r>
            <w:proofErr w:type="spellStart"/>
            <w:r w:rsidRPr="00416D67">
              <w:rPr>
                <w:rFonts w:ascii="Arial" w:hAnsi="Arial" w:cs="Arial"/>
                <w:b/>
                <w:bCs/>
                <w:color w:val="333333"/>
                <w:sz w:val="14"/>
                <w:szCs w:val="14"/>
              </w:rPr>
              <w:t>nefinanc.imovine</w:t>
            </w:r>
            <w:proofErr w:type="spellEnd"/>
            <w:r w:rsidRPr="00416D67">
              <w:rPr>
                <w:rFonts w:ascii="Arial" w:hAnsi="Arial" w:cs="Arial"/>
                <w:b/>
                <w:bCs/>
                <w:color w:val="333333"/>
                <w:sz w:val="14"/>
                <w:szCs w:val="14"/>
              </w:rPr>
              <w:t xml:space="preserve"> i </w:t>
            </w:r>
            <w:proofErr w:type="spellStart"/>
            <w:r w:rsidRPr="00416D67">
              <w:rPr>
                <w:rFonts w:ascii="Arial" w:hAnsi="Arial" w:cs="Arial"/>
                <w:b/>
                <w:bCs/>
                <w:color w:val="333333"/>
                <w:sz w:val="14"/>
                <w:szCs w:val="14"/>
              </w:rPr>
              <w:t>nadokn</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0A3DFA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165.000,00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9C8FDD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208.843,50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EBEDC9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229.254,86</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7B21BBF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109,77%</w:t>
            </w:r>
          </w:p>
        </w:tc>
      </w:tr>
      <w:tr w:rsidR="00416D67" w:rsidRPr="00416D67" w14:paraId="61AE7D6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9B3302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45</w:t>
            </w:r>
          </w:p>
        </w:tc>
        <w:tc>
          <w:tcPr>
            <w:tcW w:w="8106" w:type="dxa"/>
            <w:tcBorders>
              <w:top w:val="single" w:sz="4" w:space="0" w:color="auto"/>
              <w:left w:val="nil"/>
              <w:bottom w:val="single" w:sz="4" w:space="0" w:color="auto"/>
              <w:right w:val="single" w:sz="4" w:space="0" w:color="auto"/>
            </w:tcBorders>
            <w:noWrap/>
            <w:vAlign w:val="bottom"/>
            <w:hideMark/>
          </w:tcPr>
          <w:p w14:paraId="6A4B1D9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dodatna ulaganja na nefinancijskoj imovini</w:t>
            </w:r>
          </w:p>
        </w:tc>
        <w:tc>
          <w:tcPr>
            <w:tcW w:w="1095" w:type="dxa"/>
            <w:tcBorders>
              <w:top w:val="single" w:sz="4" w:space="0" w:color="auto"/>
              <w:left w:val="nil"/>
              <w:bottom w:val="single" w:sz="4" w:space="0" w:color="auto"/>
              <w:right w:val="single" w:sz="4" w:space="0" w:color="auto"/>
            </w:tcBorders>
            <w:noWrap/>
            <w:vAlign w:val="bottom"/>
            <w:hideMark/>
          </w:tcPr>
          <w:p w14:paraId="5EBAE00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165.000,00</w:t>
            </w:r>
          </w:p>
        </w:tc>
        <w:tc>
          <w:tcPr>
            <w:tcW w:w="1070" w:type="dxa"/>
            <w:tcBorders>
              <w:top w:val="single" w:sz="4" w:space="0" w:color="auto"/>
              <w:left w:val="nil"/>
              <w:bottom w:val="single" w:sz="4" w:space="0" w:color="auto"/>
              <w:right w:val="single" w:sz="4" w:space="0" w:color="auto"/>
            </w:tcBorders>
            <w:noWrap/>
            <w:vAlign w:val="bottom"/>
            <w:hideMark/>
          </w:tcPr>
          <w:p w14:paraId="423152E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208.843,50</w:t>
            </w:r>
          </w:p>
        </w:tc>
        <w:tc>
          <w:tcPr>
            <w:tcW w:w="1095" w:type="dxa"/>
            <w:tcBorders>
              <w:top w:val="single" w:sz="4" w:space="0" w:color="auto"/>
              <w:left w:val="nil"/>
              <w:bottom w:val="single" w:sz="4" w:space="0" w:color="auto"/>
              <w:right w:val="single" w:sz="4" w:space="0" w:color="auto"/>
            </w:tcBorders>
            <w:noWrap/>
            <w:vAlign w:val="bottom"/>
            <w:hideMark/>
          </w:tcPr>
          <w:p w14:paraId="7945F9A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229.254,86</w:t>
            </w:r>
          </w:p>
        </w:tc>
        <w:tc>
          <w:tcPr>
            <w:tcW w:w="918" w:type="dxa"/>
            <w:tcBorders>
              <w:top w:val="single" w:sz="4" w:space="0" w:color="auto"/>
              <w:left w:val="nil"/>
              <w:bottom w:val="single" w:sz="4" w:space="0" w:color="auto"/>
              <w:right w:val="single" w:sz="4" w:space="0" w:color="auto"/>
            </w:tcBorders>
            <w:noWrap/>
            <w:vAlign w:val="bottom"/>
            <w:hideMark/>
          </w:tcPr>
          <w:p w14:paraId="0C883D9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109,77%</w:t>
            </w:r>
          </w:p>
        </w:tc>
      </w:tr>
      <w:tr w:rsidR="00416D67" w:rsidRPr="00416D67" w14:paraId="39F8166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E0CB153" w14:textId="77777777" w:rsidR="00416D67" w:rsidRPr="00416D67" w:rsidRDefault="00416D67" w:rsidP="00416D67">
            <w:pPr>
              <w:rPr>
                <w:rFonts w:ascii="Arial" w:hAnsi="Arial" w:cs="Arial"/>
                <w:sz w:val="14"/>
                <w:szCs w:val="14"/>
              </w:rPr>
            </w:pPr>
            <w:r w:rsidRPr="00416D67">
              <w:rPr>
                <w:rFonts w:ascii="Arial" w:hAnsi="Arial" w:cs="Arial"/>
                <w:sz w:val="14"/>
                <w:szCs w:val="14"/>
              </w:rPr>
              <w:t>4511</w:t>
            </w:r>
          </w:p>
        </w:tc>
        <w:tc>
          <w:tcPr>
            <w:tcW w:w="8106" w:type="dxa"/>
            <w:tcBorders>
              <w:top w:val="single" w:sz="4" w:space="0" w:color="auto"/>
              <w:left w:val="nil"/>
              <w:bottom w:val="single" w:sz="4" w:space="0" w:color="auto"/>
              <w:right w:val="single" w:sz="4" w:space="0" w:color="auto"/>
            </w:tcBorders>
            <w:noWrap/>
            <w:vAlign w:val="bottom"/>
            <w:hideMark/>
          </w:tcPr>
          <w:p w14:paraId="47FBBB1B" w14:textId="77777777" w:rsidR="00416D67" w:rsidRPr="00416D67" w:rsidRDefault="00416D67" w:rsidP="00416D67">
            <w:pPr>
              <w:rPr>
                <w:rFonts w:ascii="Arial" w:hAnsi="Arial" w:cs="Arial"/>
                <w:sz w:val="14"/>
                <w:szCs w:val="14"/>
              </w:rPr>
            </w:pPr>
            <w:r w:rsidRPr="00416D67">
              <w:rPr>
                <w:rFonts w:ascii="Arial" w:hAnsi="Arial" w:cs="Arial"/>
                <w:sz w:val="14"/>
                <w:szCs w:val="14"/>
              </w:rPr>
              <w:t>Dodatna ulaganja na građevinskim objektima</w:t>
            </w:r>
          </w:p>
        </w:tc>
        <w:tc>
          <w:tcPr>
            <w:tcW w:w="1095" w:type="dxa"/>
            <w:tcBorders>
              <w:top w:val="single" w:sz="4" w:space="0" w:color="auto"/>
              <w:left w:val="nil"/>
              <w:bottom w:val="single" w:sz="4" w:space="0" w:color="auto"/>
              <w:right w:val="single" w:sz="4" w:space="0" w:color="auto"/>
            </w:tcBorders>
            <w:noWrap/>
            <w:vAlign w:val="bottom"/>
            <w:hideMark/>
          </w:tcPr>
          <w:p w14:paraId="1F45E1B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56EFDF7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4B5D0A2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229.254,86</w:t>
            </w:r>
          </w:p>
        </w:tc>
        <w:tc>
          <w:tcPr>
            <w:tcW w:w="918" w:type="dxa"/>
            <w:tcBorders>
              <w:top w:val="single" w:sz="4" w:space="0" w:color="auto"/>
              <w:left w:val="nil"/>
              <w:bottom w:val="single" w:sz="4" w:space="0" w:color="auto"/>
              <w:right w:val="single" w:sz="4" w:space="0" w:color="auto"/>
            </w:tcBorders>
            <w:noWrap/>
            <w:vAlign w:val="bottom"/>
            <w:hideMark/>
          </w:tcPr>
          <w:p w14:paraId="4B5C962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AB61DE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7D81346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4026</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60C4475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Program: Kapitalna  potpora  Lučka uprava Pula za </w:t>
            </w:r>
            <w:proofErr w:type="spellStart"/>
            <w:r w:rsidRPr="00416D67">
              <w:rPr>
                <w:rFonts w:ascii="Arial" w:hAnsi="Arial" w:cs="Arial"/>
                <w:b/>
                <w:bCs/>
                <w:sz w:val="14"/>
                <w:szCs w:val="14"/>
              </w:rPr>
              <w:t>Krnički</w:t>
            </w:r>
            <w:proofErr w:type="spellEnd"/>
            <w:r w:rsidRPr="00416D67">
              <w:rPr>
                <w:rFonts w:ascii="Arial" w:hAnsi="Arial" w:cs="Arial"/>
                <w:b/>
                <w:bCs/>
                <w:sz w:val="14"/>
                <w:szCs w:val="14"/>
              </w:rPr>
              <w:t xml:space="preserve"> porat</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64F161B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20.000,00</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1B3EA18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20.000,00</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4CC71E5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0DE3E43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2B860AA6"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7A68C5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K100025</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0B63135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Kapitalni projekt: Kapitalna  potpora  Lučka uprava Pula za </w:t>
            </w:r>
            <w:proofErr w:type="spellStart"/>
            <w:r w:rsidRPr="00416D67">
              <w:rPr>
                <w:rFonts w:ascii="Arial" w:hAnsi="Arial" w:cs="Arial"/>
                <w:b/>
                <w:bCs/>
                <w:sz w:val="14"/>
                <w:szCs w:val="14"/>
              </w:rPr>
              <w:t>Krnički</w:t>
            </w:r>
            <w:proofErr w:type="spellEnd"/>
            <w:r w:rsidRPr="00416D67">
              <w:rPr>
                <w:rFonts w:ascii="Arial" w:hAnsi="Arial" w:cs="Arial"/>
                <w:b/>
                <w:bCs/>
                <w:sz w:val="14"/>
                <w:szCs w:val="14"/>
              </w:rPr>
              <w:t xml:space="preserve"> porat</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72EAB93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31D14CE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580EC0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7DEA95E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0061C0F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5357A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85650E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269657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067242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3FE2F1C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17DF9AF9"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133EE7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05009F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99A726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5241CC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57014E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758FB43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7848F1E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21746A7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0A25C26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20.000,00</w:t>
            </w:r>
          </w:p>
        </w:tc>
        <w:tc>
          <w:tcPr>
            <w:tcW w:w="1070" w:type="dxa"/>
            <w:tcBorders>
              <w:top w:val="single" w:sz="4" w:space="0" w:color="auto"/>
              <w:left w:val="nil"/>
              <w:bottom w:val="single" w:sz="4" w:space="0" w:color="auto"/>
              <w:right w:val="single" w:sz="4" w:space="0" w:color="auto"/>
            </w:tcBorders>
            <w:noWrap/>
            <w:vAlign w:val="bottom"/>
            <w:hideMark/>
          </w:tcPr>
          <w:p w14:paraId="65A0D65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20.000,00</w:t>
            </w:r>
          </w:p>
        </w:tc>
        <w:tc>
          <w:tcPr>
            <w:tcW w:w="1095" w:type="dxa"/>
            <w:tcBorders>
              <w:top w:val="single" w:sz="4" w:space="0" w:color="auto"/>
              <w:left w:val="nil"/>
              <w:bottom w:val="single" w:sz="4" w:space="0" w:color="auto"/>
              <w:right w:val="single" w:sz="4" w:space="0" w:color="auto"/>
            </w:tcBorders>
            <w:noWrap/>
            <w:vAlign w:val="bottom"/>
            <w:hideMark/>
          </w:tcPr>
          <w:p w14:paraId="664AD1E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5F630A5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076882A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2502A12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4027</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70ED9EC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Program: Kapitalna potpora Županijska uprava za ceste Istarske županije</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66F1F07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160.000,00</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6AA2147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180.000,00</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66F7E4E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180.000,00</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4F1583A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75859E7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F69D4A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2A0EFDA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Kapitalni projekt: Kapitalna potpora ŽUC Istarske županije</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C25CF5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160.000,00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719087C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180.000,00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0B7016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180.000,00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17BE2B0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1CEEFA15"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21DC6F4"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7. Prihodi od prodaje ili zamjene nefinancijske imovine i </w:t>
            </w:r>
            <w:proofErr w:type="spellStart"/>
            <w:r w:rsidRPr="00416D67">
              <w:rPr>
                <w:rFonts w:ascii="Arial" w:hAnsi="Arial" w:cs="Arial"/>
                <w:b/>
                <w:bCs/>
                <w:color w:val="333333"/>
                <w:sz w:val="14"/>
                <w:szCs w:val="14"/>
              </w:rPr>
              <w:t>nakna</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6B66324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AA33A5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180.000,00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300E03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180.000,00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03A6469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6380857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6FCA85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7.1. 07 Prihodi od prodaje ili zamjene  </w:t>
            </w:r>
            <w:proofErr w:type="spellStart"/>
            <w:r w:rsidRPr="00416D67">
              <w:rPr>
                <w:rFonts w:ascii="Arial" w:hAnsi="Arial" w:cs="Arial"/>
                <w:b/>
                <w:bCs/>
                <w:color w:val="333333"/>
                <w:sz w:val="14"/>
                <w:szCs w:val="14"/>
              </w:rPr>
              <w:t>nefinanc.imovine</w:t>
            </w:r>
            <w:proofErr w:type="spellEnd"/>
            <w:r w:rsidRPr="00416D67">
              <w:rPr>
                <w:rFonts w:ascii="Arial" w:hAnsi="Arial" w:cs="Arial"/>
                <w:b/>
                <w:bCs/>
                <w:color w:val="333333"/>
                <w:sz w:val="14"/>
                <w:szCs w:val="14"/>
              </w:rPr>
              <w:t xml:space="preserve"> i </w:t>
            </w:r>
            <w:proofErr w:type="spellStart"/>
            <w:r w:rsidRPr="00416D67">
              <w:rPr>
                <w:rFonts w:ascii="Arial" w:hAnsi="Arial" w:cs="Arial"/>
                <w:b/>
                <w:bCs/>
                <w:color w:val="333333"/>
                <w:sz w:val="14"/>
                <w:szCs w:val="14"/>
              </w:rPr>
              <w:t>nadokn</w:t>
            </w:r>
            <w:proofErr w:type="spellEnd"/>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5D2A14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C81861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180.000,00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00313A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180.000,00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114BC1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58CCD6AE"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48CF5F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3EC5E5A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4907B2A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160.000,00</w:t>
            </w:r>
          </w:p>
        </w:tc>
        <w:tc>
          <w:tcPr>
            <w:tcW w:w="1070" w:type="dxa"/>
            <w:tcBorders>
              <w:top w:val="single" w:sz="4" w:space="0" w:color="auto"/>
              <w:left w:val="nil"/>
              <w:bottom w:val="single" w:sz="4" w:space="0" w:color="auto"/>
              <w:right w:val="single" w:sz="4" w:space="0" w:color="auto"/>
            </w:tcBorders>
            <w:noWrap/>
            <w:vAlign w:val="bottom"/>
            <w:hideMark/>
          </w:tcPr>
          <w:p w14:paraId="475D5DA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180.000,00</w:t>
            </w:r>
          </w:p>
        </w:tc>
        <w:tc>
          <w:tcPr>
            <w:tcW w:w="1095" w:type="dxa"/>
            <w:tcBorders>
              <w:top w:val="single" w:sz="4" w:space="0" w:color="auto"/>
              <w:left w:val="nil"/>
              <w:bottom w:val="single" w:sz="4" w:space="0" w:color="auto"/>
              <w:right w:val="single" w:sz="4" w:space="0" w:color="auto"/>
            </w:tcBorders>
            <w:noWrap/>
            <w:vAlign w:val="bottom"/>
            <w:hideMark/>
          </w:tcPr>
          <w:p w14:paraId="63DD9C5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180.000,00</w:t>
            </w:r>
          </w:p>
        </w:tc>
        <w:tc>
          <w:tcPr>
            <w:tcW w:w="918" w:type="dxa"/>
            <w:tcBorders>
              <w:top w:val="single" w:sz="4" w:space="0" w:color="auto"/>
              <w:left w:val="nil"/>
              <w:bottom w:val="single" w:sz="4" w:space="0" w:color="auto"/>
              <w:right w:val="single" w:sz="4" w:space="0" w:color="auto"/>
            </w:tcBorders>
            <w:noWrap/>
            <w:vAlign w:val="bottom"/>
            <w:hideMark/>
          </w:tcPr>
          <w:p w14:paraId="47C4827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5E853D7A"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554C2CD" w14:textId="77777777" w:rsidR="00416D67" w:rsidRPr="00416D67" w:rsidRDefault="00416D67" w:rsidP="00416D67">
            <w:pPr>
              <w:rPr>
                <w:rFonts w:ascii="Arial" w:hAnsi="Arial" w:cs="Arial"/>
                <w:sz w:val="14"/>
                <w:szCs w:val="14"/>
              </w:rPr>
            </w:pPr>
            <w:r w:rsidRPr="00416D67">
              <w:rPr>
                <w:rFonts w:ascii="Arial" w:hAnsi="Arial" w:cs="Arial"/>
                <w:sz w:val="14"/>
                <w:szCs w:val="14"/>
              </w:rPr>
              <w:t>3861</w:t>
            </w:r>
          </w:p>
        </w:tc>
        <w:tc>
          <w:tcPr>
            <w:tcW w:w="8106" w:type="dxa"/>
            <w:tcBorders>
              <w:top w:val="single" w:sz="4" w:space="0" w:color="auto"/>
              <w:left w:val="nil"/>
              <w:bottom w:val="single" w:sz="4" w:space="0" w:color="auto"/>
              <w:right w:val="single" w:sz="4" w:space="0" w:color="auto"/>
            </w:tcBorders>
            <w:noWrap/>
            <w:vAlign w:val="bottom"/>
            <w:hideMark/>
          </w:tcPr>
          <w:p w14:paraId="5FC21A66"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Kapitalne pomoći kreditnim i ostalim financijskim institucijama te trgovačkim društvima u javnom </w:t>
            </w:r>
            <w:proofErr w:type="spellStart"/>
            <w:r w:rsidRPr="00416D67">
              <w:rPr>
                <w:rFonts w:ascii="Arial" w:hAnsi="Arial" w:cs="Arial"/>
                <w:sz w:val="14"/>
                <w:szCs w:val="14"/>
              </w:rPr>
              <w:t>sek</w:t>
            </w:r>
            <w:proofErr w:type="spellEnd"/>
          </w:p>
        </w:tc>
        <w:tc>
          <w:tcPr>
            <w:tcW w:w="1095" w:type="dxa"/>
            <w:tcBorders>
              <w:top w:val="single" w:sz="4" w:space="0" w:color="auto"/>
              <w:left w:val="nil"/>
              <w:bottom w:val="single" w:sz="4" w:space="0" w:color="auto"/>
              <w:right w:val="single" w:sz="4" w:space="0" w:color="auto"/>
            </w:tcBorders>
            <w:noWrap/>
            <w:vAlign w:val="bottom"/>
            <w:hideMark/>
          </w:tcPr>
          <w:p w14:paraId="347B926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3AD0B2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2090DF4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180.000,00</w:t>
            </w:r>
          </w:p>
        </w:tc>
        <w:tc>
          <w:tcPr>
            <w:tcW w:w="918" w:type="dxa"/>
            <w:tcBorders>
              <w:top w:val="single" w:sz="4" w:space="0" w:color="auto"/>
              <w:left w:val="nil"/>
              <w:bottom w:val="single" w:sz="4" w:space="0" w:color="auto"/>
              <w:right w:val="single" w:sz="4" w:space="0" w:color="auto"/>
            </w:tcBorders>
            <w:noWrap/>
            <w:vAlign w:val="bottom"/>
            <w:hideMark/>
          </w:tcPr>
          <w:p w14:paraId="70D2B56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AE9CC4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3894593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4030</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2E309D4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Program: Razvoj sustava vodoopskrbe</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1A0D988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69.850,00</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16A0A18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67.350,00</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2B61538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16.875,00</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4FCEC85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25,06%</w:t>
            </w:r>
          </w:p>
        </w:tc>
      </w:tr>
      <w:tr w:rsidR="00416D67" w:rsidRPr="00416D67" w14:paraId="2F849E61"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64EFC5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1F32633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Kapitalni projekt: Projektna dokumentacija za vodovodnu mrežu</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B14891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19.850,00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0DDB66D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19.850,00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503E30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16.875,00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71283BA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85,01%</w:t>
            </w:r>
          </w:p>
        </w:tc>
      </w:tr>
      <w:tr w:rsidR="00416D67" w:rsidRPr="00416D67" w14:paraId="3BC341B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DBCB1B4"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1AF9FE4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19.850,00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39D23B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19.850,00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E6F09B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16.875,00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4D508E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85,01%</w:t>
            </w:r>
          </w:p>
        </w:tc>
      </w:tr>
      <w:tr w:rsidR="00416D67" w:rsidRPr="00416D67" w14:paraId="3A474E04"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CBCBB02"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F5F180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19.850,00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E2A091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19.850,00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DAB2F3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16.875,00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B3E261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85,01%</w:t>
            </w:r>
          </w:p>
        </w:tc>
      </w:tr>
      <w:tr w:rsidR="00416D67" w:rsidRPr="00416D67" w14:paraId="7F14120C"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5C88C23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0590E01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21F1160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19.850,00</w:t>
            </w:r>
          </w:p>
        </w:tc>
        <w:tc>
          <w:tcPr>
            <w:tcW w:w="1070" w:type="dxa"/>
            <w:tcBorders>
              <w:top w:val="single" w:sz="4" w:space="0" w:color="auto"/>
              <w:left w:val="nil"/>
              <w:bottom w:val="single" w:sz="4" w:space="0" w:color="auto"/>
              <w:right w:val="single" w:sz="4" w:space="0" w:color="auto"/>
            </w:tcBorders>
            <w:noWrap/>
            <w:vAlign w:val="bottom"/>
            <w:hideMark/>
          </w:tcPr>
          <w:p w14:paraId="38E74F0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19.850,00</w:t>
            </w:r>
          </w:p>
        </w:tc>
        <w:tc>
          <w:tcPr>
            <w:tcW w:w="1095" w:type="dxa"/>
            <w:tcBorders>
              <w:top w:val="single" w:sz="4" w:space="0" w:color="auto"/>
              <w:left w:val="nil"/>
              <w:bottom w:val="single" w:sz="4" w:space="0" w:color="auto"/>
              <w:right w:val="single" w:sz="4" w:space="0" w:color="auto"/>
            </w:tcBorders>
            <w:noWrap/>
            <w:vAlign w:val="bottom"/>
            <w:hideMark/>
          </w:tcPr>
          <w:p w14:paraId="1CCEBD3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16.875,00</w:t>
            </w:r>
          </w:p>
        </w:tc>
        <w:tc>
          <w:tcPr>
            <w:tcW w:w="918" w:type="dxa"/>
            <w:tcBorders>
              <w:top w:val="single" w:sz="4" w:space="0" w:color="auto"/>
              <w:left w:val="nil"/>
              <w:bottom w:val="single" w:sz="4" w:space="0" w:color="auto"/>
              <w:right w:val="single" w:sz="4" w:space="0" w:color="auto"/>
            </w:tcBorders>
            <w:noWrap/>
            <w:vAlign w:val="bottom"/>
            <w:hideMark/>
          </w:tcPr>
          <w:p w14:paraId="423ED23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85,01%</w:t>
            </w:r>
          </w:p>
        </w:tc>
      </w:tr>
      <w:tr w:rsidR="00416D67" w:rsidRPr="00416D67" w14:paraId="7D884295"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400556C9" w14:textId="77777777" w:rsidR="00416D67" w:rsidRPr="00416D67" w:rsidRDefault="00416D67" w:rsidP="00416D67">
            <w:pPr>
              <w:rPr>
                <w:rFonts w:ascii="Arial" w:hAnsi="Arial" w:cs="Arial"/>
                <w:sz w:val="14"/>
                <w:szCs w:val="14"/>
              </w:rPr>
            </w:pPr>
            <w:r w:rsidRPr="00416D67">
              <w:rPr>
                <w:rFonts w:ascii="Arial" w:hAnsi="Arial" w:cs="Arial"/>
                <w:sz w:val="14"/>
                <w:szCs w:val="14"/>
              </w:rPr>
              <w:t>3237</w:t>
            </w:r>
          </w:p>
        </w:tc>
        <w:tc>
          <w:tcPr>
            <w:tcW w:w="8106" w:type="dxa"/>
            <w:tcBorders>
              <w:top w:val="single" w:sz="4" w:space="0" w:color="auto"/>
              <w:left w:val="nil"/>
              <w:bottom w:val="single" w:sz="4" w:space="0" w:color="auto"/>
              <w:right w:val="single" w:sz="4" w:space="0" w:color="auto"/>
            </w:tcBorders>
            <w:noWrap/>
            <w:vAlign w:val="bottom"/>
            <w:hideMark/>
          </w:tcPr>
          <w:p w14:paraId="27DF43BF" w14:textId="77777777" w:rsidR="00416D67" w:rsidRPr="00416D67" w:rsidRDefault="00416D67" w:rsidP="00416D67">
            <w:pPr>
              <w:rPr>
                <w:rFonts w:ascii="Arial" w:hAnsi="Arial" w:cs="Arial"/>
                <w:sz w:val="14"/>
                <w:szCs w:val="14"/>
              </w:rPr>
            </w:pPr>
            <w:r w:rsidRPr="00416D67">
              <w:rPr>
                <w:rFonts w:ascii="Arial" w:hAnsi="Arial" w:cs="Arial"/>
                <w:sz w:val="14"/>
                <w:szCs w:val="14"/>
              </w:rPr>
              <w:t>Intelektualne i osobne usluge</w:t>
            </w:r>
          </w:p>
        </w:tc>
        <w:tc>
          <w:tcPr>
            <w:tcW w:w="1095" w:type="dxa"/>
            <w:tcBorders>
              <w:top w:val="single" w:sz="4" w:space="0" w:color="auto"/>
              <w:left w:val="nil"/>
              <w:bottom w:val="single" w:sz="4" w:space="0" w:color="auto"/>
              <w:right w:val="single" w:sz="4" w:space="0" w:color="auto"/>
            </w:tcBorders>
            <w:noWrap/>
            <w:vAlign w:val="bottom"/>
            <w:hideMark/>
          </w:tcPr>
          <w:p w14:paraId="3B36D15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410A30C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3EFF10C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16.875,00</w:t>
            </w:r>
          </w:p>
        </w:tc>
        <w:tc>
          <w:tcPr>
            <w:tcW w:w="918" w:type="dxa"/>
            <w:tcBorders>
              <w:top w:val="single" w:sz="4" w:space="0" w:color="auto"/>
              <w:left w:val="nil"/>
              <w:bottom w:val="single" w:sz="4" w:space="0" w:color="auto"/>
              <w:right w:val="single" w:sz="4" w:space="0" w:color="auto"/>
            </w:tcBorders>
            <w:noWrap/>
            <w:vAlign w:val="bottom"/>
            <w:hideMark/>
          </w:tcPr>
          <w:p w14:paraId="5A334FC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72E37C4"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F6F3E4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K100010</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19B5C04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Kapitalni projekt: Kapitalna potpora Vodovod Pula </w:t>
            </w:r>
            <w:proofErr w:type="spellStart"/>
            <w:r w:rsidRPr="00416D67">
              <w:rPr>
                <w:rFonts w:ascii="Arial" w:hAnsi="Arial" w:cs="Arial"/>
                <w:b/>
                <w:bCs/>
                <w:sz w:val="14"/>
                <w:szCs w:val="14"/>
              </w:rPr>
              <w:t>doo</w:t>
            </w:r>
            <w:proofErr w:type="spellEnd"/>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C9F29F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311969A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47.500,00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36F6263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1C251F4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7AD9EDA6"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31E4AE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5C2C143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2210B12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47.500,00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56965A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76DD03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30592A51"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57EFC6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43A6DD0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73794F6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47.500,00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FE8B6D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6DBABFB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4AC16E79"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67B93BA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38</w:t>
            </w:r>
          </w:p>
        </w:tc>
        <w:tc>
          <w:tcPr>
            <w:tcW w:w="8106" w:type="dxa"/>
            <w:tcBorders>
              <w:top w:val="single" w:sz="4" w:space="0" w:color="auto"/>
              <w:left w:val="nil"/>
              <w:bottom w:val="single" w:sz="4" w:space="0" w:color="auto"/>
              <w:right w:val="single" w:sz="4" w:space="0" w:color="auto"/>
            </w:tcBorders>
            <w:noWrap/>
            <w:vAlign w:val="bottom"/>
            <w:hideMark/>
          </w:tcPr>
          <w:p w14:paraId="4832EB9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donacije, kazne, naknade šteta i kapitalne pomoći</w:t>
            </w:r>
          </w:p>
        </w:tc>
        <w:tc>
          <w:tcPr>
            <w:tcW w:w="1095" w:type="dxa"/>
            <w:tcBorders>
              <w:top w:val="single" w:sz="4" w:space="0" w:color="auto"/>
              <w:left w:val="nil"/>
              <w:bottom w:val="single" w:sz="4" w:space="0" w:color="auto"/>
              <w:right w:val="single" w:sz="4" w:space="0" w:color="auto"/>
            </w:tcBorders>
            <w:noWrap/>
            <w:vAlign w:val="bottom"/>
            <w:hideMark/>
          </w:tcPr>
          <w:p w14:paraId="6484928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50.000,00</w:t>
            </w:r>
          </w:p>
        </w:tc>
        <w:tc>
          <w:tcPr>
            <w:tcW w:w="1070" w:type="dxa"/>
            <w:tcBorders>
              <w:top w:val="single" w:sz="4" w:space="0" w:color="auto"/>
              <w:left w:val="nil"/>
              <w:bottom w:val="single" w:sz="4" w:space="0" w:color="auto"/>
              <w:right w:val="single" w:sz="4" w:space="0" w:color="auto"/>
            </w:tcBorders>
            <w:noWrap/>
            <w:vAlign w:val="bottom"/>
            <w:hideMark/>
          </w:tcPr>
          <w:p w14:paraId="4CF58E3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47.500,00</w:t>
            </w:r>
          </w:p>
        </w:tc>
        <w:tc>
          <w:tcPr>
            <w:tcW w:w="1095" w:type="dxa"/>
            <w:tcBorders>
              <w:top w:val="single" w:sz="4" w:space="0" w:color="auto"/>
              <w:left w:val="nil"/>
              <w:bottom w:val="single" w:sz="4" w:space="0" w:color="auto"/>
              <w:right w:val="single" w:sz="4" w:space="0" w:color="auto"/>
            </w:tcBorders>
            <w:noWrap/>
            <w:vAlign w:val="bottom"/>
            <w:hideMark/>
          </w:tcPr>
          <w:p w14:paraId="035CEF8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1F5CEB7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4766F40B"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79B7EDA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4035</w:t>
            </w:r>
          </w:p>
        </w:tc>
        <w:tc>
          <w:tcPr>
            <w:tcW w:w="8106" w:type="dxa"/>
            <w:tcBorders>
              <w:top w:val="single" w:sz="4" w:space="0" w:color="auto"/>
              <w:left w:val="nil"/>
              <w:bottom w:val="single" w:sz="4" w:space="0" w:color="auto"/>
              <w:right w:val="single" w:sz="4" w:space="0" w:color="auto"/>
            </w:tcBorders>
            <w:shd w:val="clear" w:color="000000" w:fill="FF9900"/>
            <w:noWrap/>
            <w:vAlign w:val="bottom"/>
            <w:hideMark/>
          </w:tcPr>
          <w:p w14:paraId="2025D7E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Program: Prostorno planiranje</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66D8422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52.000,00</w:t>
            </w:r>
          </w:p>
        </w:tc>
        <w:tc>
          <w:tcPr>
            <w:tcW w:w="1070" w:type="dxa"/>
            <w:tcBorders>
              <w:top w:val="single" w:sz="4" w:space="0" w:color="auto"/>
              <w:left w:val="nil"/>
              <w:bottom w:val="single" w:sz="4" w:space="0" w:color="auto"/>
              <w:right w:val="single" w:sz="4" w:space="0" w:color="auto"/>
            </w:tcBorders>
            <w:shd w:val="clear" w:color="000000" w:fill="FF9900"/>
            <w:noWrap/>
            <w:vAlign w:val="bottom"/>
            <w:hideMark/>
          </w:tcPr>
          <w:p w14:paraId="116DF94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52.000,00</w:t>
            </w:r>
          </w:p>
        </w:tc>
        <w:tc>
          <w:tcPr>
            <w:tcW w:w="1095" w:type="dxa"/>
            <w:tcBorders>
              <w:top w:val="single" w:sz="4" w:space="0" w:color="auto"/>
              <w:left w:val="nil"/>
              <w:bottom w:val="single" w:sz="4" w:space="0" w:color="auto"/>
              <w:right w:val="single" w:sz="4" w:space="0" w:color="auto"/>
            </w:tcBorders>
            <w:shd w:val="clear" w:color="000000" w:fill="FF9900"/>
            <w:noWrap/>
            <w:vAlign w:val="bottom"/>
            <w:hideMark/>
          </w:tcPr>
          <w:p w14:paraId="4301EED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8.350,00</w:t>
            </w:r>
          </w:p>
        </w:tc>
        <w:tc>
          <w:tcPr>
            <w:tcW w:w="918" w:type="dxa"/>
            <w:tcBorders>
              <w:top w:val="single" w:sz="4" w:space="0" w:color="auto"/>
              <w:left w:val="nil"/>
              <w:bottom w:val="single" w:sz="4" w:space="0" w:color="auto"/>
              <w:right w:val="single" w:sz="4" w:space="0" w:color="auto"/>
            </w:tcBorders>
            <w:shd w:val="clear" w:color="000000" w:fill="FF9900"/>
            <w:noWrap/>
            <w:vAlign w:val="bottom"/>
            <w:hideMark/>
          </w:tcPr>
          <w:p w14:paraId="3C348F3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16,06%</w:t>
            </w:r>
          </w:p>
        </w:tc>
      </w:tr>
      <w:tr w:rsidR="00416D67" w:rsidRPr="00416D67" w14:paraId="6A2345C0"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3AD134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A100001</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31C956F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Izrada urbanističkih planova uređenja</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141B441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750EE1F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56FFBDD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8.350,00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2C2387F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41,75%</w:t>
            </w:r>
          </w:p>
        </w:tc>
      </w:tr>
      <w:tr w:rsidR="00416D67" w:rsidRPr="00416D67" w14:paraId="2674908E"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637B3B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1F71D1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00240DD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0233CF1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8.350,00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189BA77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41,75%</w:t>
            </w:r>
          </w:p>
        </w:tc>
      </w:tr>
      <w:tr w:rsidR="00416D67" w:rsidRPr="00416D67" w14:paraId="0655CBDA"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DA542A"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2DBB6C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31FF8E1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20.000,00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3FBD39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8.350,00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EF2092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41,75%</w:t>
            </w:r>
          </w:p>
        </w:tc>
      </w:tr>
      <w:tr w:rsidR="00416D67" w:rsidRPr="00416D67" w14:paraId="55F1FADD"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247A23E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7CBFB66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61C629D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20.000,00</w:t>
            </w:r>
          </w:p>
        </w:tc>
        <w:tc>
          <w:tcPr>
            <w:tcW w:w="1070" w:type="dxa"/>
            <w:tcBorders>
              <w:top w:val="single" w:sz="4" w:space="0" w:color="auto"/>
              <w:left w:val="nil"/>
              <w:bottom w:val="single" w:sz="4" w:space="0" w:color="auto"/>
              <w:right w:val="single" w:sz="4" w:space="0" w:color="auto"/>
            </w:tcBorders>
            <w:noWrap/>
            <w:vAlign w:val="bottom"/>
            <w:hideMark/>
          </w:tcPr>
          <w:p w14:paraId="0A4030C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20.000,00</w:t>
            </w:r>
          </w:p>
        </w:tc>
        <w:tc>
          <w:tcPr>
            <w:tcW w:w="1095" w:type="dxa"/>
            <w:tcBorders>
              <w:top w:val="single" w:sz="4" w:space="0" w:color="auto"/>
              <w:left w:val="nil"/>
              <w:bottom w:val="single" w:sz="4" w:space="0" w:color="auto"/>
              <w:right w:val="single" w:sz="4" w:space="0" w:color="auto"/>
            </w:tcBorders>
            <w:noWrap/>
            <w:vAlign w:val="bottom"/>
            <w:hideMark/>
          </w:tcPr>
          <w:p w14:paraId="5B9C8FB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8.350,00</w:t>
            </w:r>
          </w:p>
        </w:tc>
        <w:tc>
          <w:tcPr>
            <w:tcW w:w="918" w:type="dxa"/>
            <w:tcBorders>
              <w:top w:val="single" w:sz="4" w:space="0" w:color="auto"/>
              <w:left w:val="nil"/>
              <w:bottom w:val="single" w:sz="4" w:space="0" w:color="auto"/>
              <w:right w:val="single" w:sz="4" w:space="0" w:color="auto"/>
            </w:tcBorders>
            <w:noWrap/>
            <w:vAlign w:val="bottom"/>
            <w:hideMark/>
          </w:tcPr>
          <w:p w14:paraId="20436E7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41,75%</w:t>
            </w:r>
          </w:p>
        </w:tc>
      </w:tr>
      <w:tr w:rsidR="00416D67" w:rsidRPr="00416D67" w14:paraId="0E626CE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3F31C122" w14:textId="77777777" w:rsidR="00416D67" w:rsidRPr="00416D67" w:rsidRDefault="00416D67" w:rsidP="00416D67">
            <w:pPr>
              <w:rPr>
                <w:rFonts w:ascii="Arial" w:hAnsi="Arial" w:cs="Arial"/>
                <w:sz w:val="14"/>
                <w:szCs w:val="14"/>
              </w:rPr>
            </w:pPr>
            <w:r w:rsidRPr="00416D67">
              <w:rPr>
                <w:rFonts w:ascii="Arial" w:hAnsi="Arial" w:cs="Arial"/>
                <w:sz w:val="14"/>
                <w:szCs w:val="14"/>
              </w:rPr>
              <w:t>3237</w:t>
            </w:r>
          </w:p>
        </w:tc>
        <w:tc>
          <w:tcPr>
            <w:tcW w:w="8106" w:type="dxa"/>
            <w:tcBorders>
              <w:top w:val="single" w:sz="4" w:space="0" w:color="auto"/>
              <w:left w:val="nil"/>
              <w:bottom w:val="single" w:sz="4" w:space="0" w:color="auto"/>
              <w:right w:val="single" w:sz="4" w:space="0" w:color="auto"/>
            </w:tcBorders>
            <w:noWrap/>
            <w:vAlign w:val="bottom"/>
            <w:hideMark/>
          </w:tcPr>
          <w:p w14:paraId="72CB0ED0" w14:textId="77777777" w:rsidR="00416D67" w:rsidRPr="00416D67" w:rsidRDefault="00416D67" w:rsidP="00416D67">
            <w:pPr>
              <w:rPr>
                <w:rFonts w:ascii="Arial" w:hAnsi="Arial" w:cs="Arial"/>
                <w:sz w:val="14"/>
                <w:szCs w:val="14"/>
              </w:rPr>
            </w:pPr>
            <w:r w:rsidRPr="00416D67">
              <w:rPr>
                <w:rFonts w:ascii="Arial" w:hAnsi="Arial" w:cs="Arial"/>
                <w:sz w:val="14"/>
                <w:szCs w:val="14"/>
              </w:rPr>
              <w:t>Intelektualne i osobne usluge</w:t>
            </w:r>
          </w:p>
        </w:tc>
        <w:tc>
          <w:tcPr>
            <w:tcW w:w="1095" w:type="dxa"/>
            <w:tcBorders>
              <w:top w:val="single" w:sz="4" w:space="0" w:color="auto"/>
              <w:left w:val="nil"/>
              <w:bottom w:val="single" w:sz="4" w:space="0" w:color="auto"/>
              <w:right w:val="single" w:sz="4" w:space="0" w:color="auto"/>
            </w:tcBorders>
            <w:noWrap/>
            <w:vAlign w:val="bottom"/>
            <w:hideMark/>
          </w:tcPr>
          <w:p w14:paraId="73043D1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70" w:type="dxa"/>
            <w:tcBorders>
              <w:top w:val="single" w:sz="4" w:space="0" w:color="auto"/>
              <w:left w:val="nil"/>
              <w:bottom w:val="single" w:sz="4" w:space="0" w:color="auto"/>
              <w:right w:val="single" w:sz="4" w:space="0" w:color="auto"/>
            </w:tcBorders>
            <w:noWrap/>
            <w:vAlign w:val="bottom"/>
            <w:hideMark/>
          </w:tcPr>
          <w:p w14:paraId="04A995F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95" w:type="dxa"/>
            <w:tcBorders>
              <w:top w:val="single" w:sz="4" w:space="0" w:color="auto"/>
              <w:left w:val="nil"/>
              <w:bottom w:val="single" w:sz="4" w:space="0" w:color="auto"/>
              <w:right w:val="single" w:sz="4" w:space="0" w:color="auto"/>
            </w:tcBorders>
            <w:noWrap/>
            <w:vAlign w:val="bottom"/>
            <w:hideMark/>
          </w:tcPr>
          <w:p w14:paraId="78EB1E7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8.350,00</w:t>
            </w:r>
          </w:p>
        </w:tc>
        <w:tc>
          <w:tcPr>
            <w:tcW w:w="918" w:type="dxa"/>
            <w:tcBorders>
              <w:top w:val="single" w:sz="4" w:space="0" w:color="auto"/>
              <w:left w:val="nil"/>
              <w:bottom w:val="single" w:sz="4" w:space="0" w:color="auto"/>
              <w:right w:val="single" w:sz="4" w:space="0" w:color="auto"/>
            </w:tcBorders>
            <w:noWrap/>
            <w:vAlign w:val="bottom"/>
            <w:hideMark/>
          </w:tcPr>
          <w:p w14:paraId="6EFD819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3E20362"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0F9BAE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A100002</w:t>
            </w:r>
          </w:p>
        </w:tc>
        <w:tc>
          <w:tcPr>
            <w:tcW w:w="8106" w:type="dxa"/>
            <w:tcBorders>
              <w:top w:val="single" w:sz="4" w:space="0" w:color="auto"/>
              <w:left w:val="nil"/>
              <w:bottom w:val="single" w:sz="4" w:space="0" w:color="auto"/>
              <w:right w:val="single" w:sz="4" w:space="0" w:color="auto"/>
            </w:tcBorders>
            <w:shd w:val="clear" w:color="000000" w:fill="FFFF99"/>
            <w:noWrap/>
            <w:vAlign w:val="bottom"/>
            <w:hideMark/>
          </w:tcPr>
          <w:p w14:paraId="378424F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Izrada izmjena i dopuna PPUOM (E PLAN)</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638A9A5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32.000,00</w:t>
            </w:r>
          </w:p>
        </w:tc>
        <w:tc>
          <w:tcPr>
            <w:tcW w:w="1070" w:type="dxa"/>
            <w:tcBorders>
              <w:top w:val="single" w:sz="4" w:space="0" w:color="auto"/>
              <w:left w:val="nil"/>
              <w:bottom w:val="single" w:sz="4" w:space="0" w:color="auto"/>
              <w:right w:val="single" w:sz="4" w:space="0" w:color="auto"/>
            </w:tcBorders>
            <w:shd w:val="clear" w:color="000000" w:fill="FFFF99"/>
            <w:noWrap/>
            <w:vAlign w:val="bottom"/>
            <w:hideMark/>
          </w:tcPr>
          <w:p w14:paraId="5750563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32.000,00</w:t>
            </w:r>
          </w:p>
        </w:tc>
        <w:tc>
          <w:tcPr>
            <w:tcW w:w="1095" w:type="dxa"/>
            <w:tcBorders>
              <w:top w:val="single" w:sz="4" w:space="0" w:color="auto"/>
              <w:left w:val="nil"/>
              <w:bottom w:val="single" w:sz="4" w:space="0" w:color="auto"/>
              <w:right w:val="single" w:sz="4" w:space="0" w:color="auto"/>
            </w:tcBorders>
            <w:shd w:val="clear" w:color="000000" w:fill="FFFF99"/>
            <w:noWrap/>
            <w:vAlign w:val="bottom"/>
            <w:hideMark/>
          </w:tcPr>
          <w:p w14:paraId="400989C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shd w:val="clear" w:color="000000" w:fill="FFFF99"/>
            <w:noWrap/>
            <w:vAlign w:val="bottom"/>
            <w:hideMark/>
          </w:tcPr>
          <w:p w14:paraId="48F7576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23254293"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0A89A13"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 Pomoći</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F2B8BB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32.000,00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449BC9E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32.000,00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279D049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4DC53F9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4D48EA7F" w14:textId="77777777" w:rsidTr="00BB1392">
        <w:trPr>
          <w:trHeight w:val="195"/>
        </w:trPr>
        <w:tc>
          <w:tcPr>
            <w:tcW w:w="87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777B62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5.1.11 Pomoći Ministarstvo graditeljstva</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7693CB3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32.000,00</w:t>
            </w:r>
          </w:p>
        </w:tc>
        <w:tc>
          <w:tcPr>
            <w:tcW w:w="1070" w:type="dxa"/>
            <w:tcBorders>
              <w:top w:val="single" w:sz="4" w:space="0" w:color="auto"/>
              <w:left w:val="nil"/>
              <w:bottom w:val="single" w:sz="4" w:space="0" w:color="auto"/>
              <w:right w:val="single" w:sz="4" w:space="0" w:color="auto"/>
            </w:tcBorders>
            <w:shd w:val="clear" w:color="000000" w:fill="CCCCFF"/>
            <w:noWrap/>
            <w:vAlign w:val="bottom"/>
            <w:hideMark/>
          </w:tcPr>
          <w:p w14:paraId="1EE7B6A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32.000,00</w:t>
            </w:r>
          </w:p>
        </w:tc>
        <w:tc>
          <w:tcPr>
            <w:tcW w:w="1095" w:type="dxa"/>
            <w:tcBorders>
              <w:top w:val="single" w:sz="4" w:space="0" w:color="auto"/>
              <w:left w:val="nil"/>
              <w:bottom w:val="single" w:sz="4" w:space="0" w:color="auto"/>
              <w:right w:val="single" w:sz="4" w:space="0" w:color="auto"/>
            </w:tcBorders>
            <w:shd w:val="clear" w:color="000000" w:fill="CCCCFF"/>
            <w:noWrap/>
            <w:vAlign w:val="bottom"/>
            <w:hideMark/>
          </w:tcPr>
          <w:p w14:paraId="3A57DF9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918" w:type="dxa"/>
            <w:tcBorders>
              <w:top w:val="single" w:sz="4" w:space="0" w:color="auto"/>
              <w:left w:val="nil"/>
              <w:bottom w:val="single" w:sz="4" w:space="0" w:color="auto"/>
              <w:right w:val="single" w:sz="4" w:space="0" w:color="auto"/>
            </w:tcBorders>
            <w:shd w:val="clear" w:color="000000" w:fill="CCCCFF"/>
            <w:noWrap/>
            <w:vAlign w:val="bottom"/>
            <w:hideMark/>
          </w:tcPr>
          <w:p w14:paraId="58298E6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549B1D4F" w14:textId="77777777" w:rsidTr="00BB1392">
        <w:trPr>
          <w:trHeight w:val="195"/>
        </w:trPr>
        <w:tc>
          <w:tcPr>
            <w:tcW w:w="636" w:type="dxa"/>
            <w:tcBorders>
              <w:top w:val="single" w:sz="4" w:space="0" w:color="auto"/>
              <w:left w:val="single" w:sz="4" w:space="0" w:color="auto"/>
              <w:bottom w:val="single" w:sz="4" w:space="0" w:color="auto"/>
              <w:right w:val="single" w:sz="4" w:space="0" w:color="auto"/>
            </w:tcBorders>
            <w:noWrap/>
            <w:vAlign w:val="bottom"/>
            <w:hideMark/>
          </w:tcPr>
          <w:p w14:paraId="0158E54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8106" w:type="dxa"/>
            <w:tcBorders>
              <w:top w:val="single" w:sz="4" w:space="0" w:color="auto"/>
              <w:left w:val="nil"/>
              <w:bottom w:val="single" w:sz="4" w:space="0" w:color="auto"/>
              <w:right w:val="single" w:sz="4" w:space="0" w:color="auto"/>
            </w:tcBorders>
            <w:noWrap/>
            <w:vAlign w:val="bottom"/>
            <w:hideMark/>
          </w:tcPr>
          <w:p w14:paraId="4A5F9D4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095" w:type="dxa"/>
            <w:tcBorders>
              <w:top w:val="single" w:sz="4" w:space="0" w:color="auto"/>
              <w:left w:val="nil"/>
              <w:bottom w:val="single" w:sz="4" w:space="0" w:color="auto"/>
              <w:right w:val="single" w:sz="4" w:space="0" w:color="auto"/>
            </w:tcBorders>
            <w:noWrap/>
            <w:vAlign w:val="bottom"/>
            <w:hideMark/>
          </w:tcPr>
          <w:p w14:paraId="5122264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32.000,00</w:t>
            </w:r>
          </w:p>
        </w:tc>
        <w:tc>
          <w:tcPr>
            <w:tcW w:w="1070" w:type="dxa"/>
            <w:tcBorders>
              <w:top w:val="single" w:sz="4" w:space="0" w:color="auto"/>
              <w:left w:val="nil"/>
              <w:bottom w:val="single" w:sz="4" w:space="0" w:color="auto"/>
              <w:right w:val="single" w:sz="4" w:space="0" w:color="auto"/>
            </w:tcBorders>
            <w:noWrap/>
            <w:vAlign w:val="bottom"/>
            <w:hideMark/>
          </w:tcPr>
          <w:p w14:paraId="26245E6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32.000,00</w:t>
            </w:r>
          </w:p>
        </w:tc>
        <w:tc>
          <w:tcPr>
            <w:tcW w:w="1095" w:type="dxa"/>
            <w:tcBorders>
              <w:top w:val="single" w:sz="4" w:space="0" w:color="auto"/>
              <w:left w:val="nil"/>
              <w:bottom w:val="single" w:sz="4" w:space="0" w:color="auto"/>
              <w:right w:val="single" w:sz="4" w:space="0" w:color="auto"/>
            </w:tcBorders>
            <w:noWrap/>
            <w:vAlign w:val="bottom"/>
            <w:hideMark/>
          </w:tcPr>
          <w:p w14:paraId="5C461D4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18" w:type="dxa"/>
            <w:tcBorders>
              <w:top w:val="single" w:sz="4" w:space="0" w:color="auto"/>
              <w:left w:val="nil"/>
              <w:bottom w:val="single" w:sz="4" w:space="0" w:color="auto"/>
              <w:right w:val="single" w:sz="4" w:space="0" w:color="auto"/>
            </w:tcBorders>
            <w:noWrap/>
            <w:vAlign w:val="bottom"/>
            <w:hideMark/>
          </w:tcPr>
          <w:p w14:paraId="08DE562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bl>
    <w:p w14:paraId="3E013FBC" w14:textId="77777777" w:rsidR="00A41313" w:rsidRDefault="00A41313" w:rsidP="007B3E41">
      <w:pPr>
        <w:jc w:val="both"/>
      </w:pPr>
    </w:p>
    <w:p w14:paraId="2B1E581B" w14:textId="77777777" w:rsidR="00A41313" w:rsidRDefault="00A41313" w:rsidP="007B3E41">
      <w:pPr>
        <w:jc w:val="both"/>
      </w:pPr>
    </w:p>
    <w:p w14:paraId="0A72481B" w14:textId="77777777" w:rsidR="00A41313" w:rsidRDefault="00A41313" w:rsidP="007B3E41">
      <w:pPr>
        <w:jc w:val="both"/>
      </w:pPr>
    </w:p>
    <w:p w14:paraId="39B9D28D" w14:textId="77777777" w:rsidR="00A41313" w:rsidRDefault="00A41313" w:rsidP="007B3E41">
      <w:pPr>
        <w:jc w:val="both"/>
      </w:pPr>
    </w:p>
    <w:p w14:paraId="06C4BFE3" w14:textId="77777777" w:rsidR="00416D67" w:rsidRDefault="00416D67" w:rsidP="007B3E41">
      <w:pPr>
        <w:jc w:val="both"/>
        <w:sectPr w:rsidR="00416D67" w:rsidSect="00A41313">
          <w:pgSz w:w="16838" w:h="11906" w:orient="landscape"/>
          <w:pgMar w:top="1417" w:right="1417" w:bottom="1417" w:left="1417" w:header="708" w:footer="708" w:gutter="0"/>
          <w:cols w:space="708"/>
          <w:titlePg/>
          <w:docGrid w:linePitch="360"/>
        </w:sectPr>
      </w:pPr>
    </w:p>
    <w:p w14:paraId="174C3BB0" w14:textId="77777777" w:rsidR="00416D67" w:rsidRPr="00416D67" w:rsidRDefault="00416D67" w:rsidP="00416D67">
      <w:pPr>
        <w:jc w:val="center"/>
        <w:rPr>
          <w:b/>
        </w:rPr>
      </w:pPr>
      <w:r w:rsidRPr="00416D67">
        <w:rPr>
          <w:b/>
        </w:rPr>
        <w:lastRenderedPageBreak/>
        <w:t>Članak 3.</w:t>
      </w:r>
    </w:p>
    <w:p w14:paraId="629A8722" w14:textId="77777777" w:rsidR="00416D67" w:rsidRPr="00416D67" w:rsidRDefault="00416D67" w:rsidP="00416D67">
      <w:pPr>
        <w:ind w:left="360"/>
        <w:contextualSpacing/>
        <w:jc w:val="both"/>
      </w:pPr>
      <w:r w:rsidRPr="00416D67">
        <w:t>Sastavni dio ovog izvještaja su i</w:t>
      </w:r>
    </w:p>
    <w:p w14:paraId="5D3F0608" w14:textId="77777777" w:rsidR="00416D67" w:rsidRPr="00416D67" w:rsidRDefault="00416D67" w:rsidP="00416D67">
      <w:pPr>
        <w:ind w:left="360"/>
        <w:contextualSpacing/>
        <w:jc w:val="both"/>
      </w:pPr>
      <w:r w:rsidRPr="00416D67">
        <w:t xml:space="preserve">- Izvještaj o zaduživanju na domaćem i stranom tržištu novca i kapitala (Prilog I), </w:t>
      </w:r>
    </w:p>
    <w:p w14:paraId="55D74336" w14:textId="77777777" w:rsidR="00416D67" w:rsidRPr="00416D67" w:rsidRDefault="00416D67" w:rsidP="00416D67">
      <w:pPr>
        <w:ind w:left="360"/>
        <w:contextualSpacing/>
        <w:jc w:val="both"/>
      </w:pPr>
      <w:r w:rsidRPr="00416D67">
        <w:t xml:space="preserve">- Izvještaj o korištenju proračunske zalihe(Prilog II),  </w:t>
      </w:r>
    </w:p>
    <w:p w14:paraId="3E3A5472" w14:textId="77777777" w:rsidR="00416D67" w:rsidRPr="00416D67" w:rsidRDefault="00416D67" w:rsidP="00416D67">
      <w:pPr>
        <w:ind w:left="360"/>
        <w:contextualSpacing/>
        <w:jc w:val="both"/>
      </w:pPr>
      <w:r w:rsidRPr="00416D67">
        <w:t xml:space="preserve">- Izvještaj o danim jamstvima i izdacima po jamstvima (Prilog III),  te </w:t>
      </w:r>
    </w:p>
    <w:p w14:paraId="5EC66D7B" w14:textId="77777777" w:rsidR="00416D67" w:rsidRPr="00416D67" w:rsidRDefault="00416D67" w:rsidP="00416D67">
      <w:pPr>
        <w:ind w:left="360"/>
        <w:contextualSpacing/>
        <w:jc w:val="both"/>
      </w:pPr>
      <w:r w:rsidRPr="00416D67">
        <w:t>- Obrazloženje ostvarenja prihoda i primitaka, rashoda i izdataka (Prilog IV).</w:t>
      </w:r>
    </w:p>
    <w:p w14:paraId="7D63003D" w14:textId="77777777" w:rsidR="00416D67" w:rsidRPr="00416D67" w:rsidRDefault="00416D67" w:rsidP="00416D67">
      <w:pPr>
        <w:jc w:val="both"/>
      </w:pPr>
    </w:p>
    <w:p w14:paraId="5A0D2E54" w14:textId="77777777" w:rsidR="00416D67" w:rsidRPr="00416D67" w:rsidRDefault="00416D67" w:rsidP="00416D67">
      <w:pPr>
        <w:jc w:val="both"/>
      </w:pPr>
    </w:p>
    <w:p w14:paraId="46B72442" w14:textId="77777777" w:rsidR="00416D67" w:rsidRPr="00416D67" w:rsidRDefault="00416D67" w:rsidP="00416D67">
      <w:pPr>
        <w:jc w:val="both"/>
      </w:pPr>
    </w:p>
    <w:p w14:paraId="7AF6C659" w14:textId="77777777" w:rsidR="00416D67" w:rsidRPr="00416D67" w:rsidRDefault="00416D67" w:rsidP="00416D67">
      <w:pPr>
        <w:jc w:val="both"/>
      </w:pPr>
    </w:p>
    <w:p w14:paraId="68244462" w14:textId="77777777" w:rsidR="00416D67" w:rsidRPr="00416D67" w:rsidRDefault="00416D67" w:rsidP="00416D67">
      <w:pPr>
        <w:jc w:val="center"/>
        <w:rPr>
          <w:b/>
        </w:rPr>
      </w:pPr>
      <w:r w:rsidRPr="00416D67">
        <w:rPr>
          <w:b/>
        </w:rPr>
        <w:t>Članak 4.</w:t>
      </w:r>
    </w:p>
    <w:p w14:paraId="52604DC6" w14:textId="77777777" w:rsidR="00416D67" w:rsidRPr="00416D67" w:rsidRDefault="00416D67" w:rsidP="00416D67">
      <w:pPr>
        <w:ind w:firstLine="720"/>
        <w:jc w:val="center"/>
        <w:rPr>
          <w:b/>
        </w:rPr>
      </w:pPr>
    </w:p>
    <w:p w14:paraId="53948D87" w14:textId="77777777" w:rsidR="00416D67" w:rsidRPr="00416D67" w:rsidRDefault="00416D67" w:rsidP="00416D67">
      <w:pPr>
        <w:jc w:val="both"/>
        <w:rPr>
          <w:b/>
        </w:rPr>
      </w:pPr>
      <w:r w:rsidRPr="00416D67">
        <w:t xml:space="preserve">          Godišnji izvještaj o izvršenju proračuna Općine Marčana za 2025. godinu objavit će se na internetskim stranicama Općine Marčana i u “Službenim novinama Općine Marčana”.</w:t>
      </w:r>
    </w:p>
    <w:p w14:paraId="050663C4" w14:textId="77777777" w:rsidR="00416D67" w:rsidRPr="00416D67" w:rsidRDefault="00416D67" w:rsidP="00416D67">
      <w:pPr>
        <w:jc w:val="both"/>
      </w:pPr>
    </w:p>
    <w:p w14:paraId="612E0302" w14:textId="77777777" w:rsidR="00416D67" w:rsidRPr="00416D67" w:rsidRDefault="00416D67" w:rsidP="00416D67">
      <w:pPr>
        <w:jc w:val="center"/>
        <w:rPr>
          <w:sz w:val="12"/>
          <w:szCs w:val="12"/>
        </w:rPr>
      </w:pPr>
    </w:p>
    <w:p w14:paraId="3D365565" w14:textId="77777777" w:rsidR="00416D67" w:rsidRPr="00416D67" w:rsidRDefault="00416D67" w:rsidP="00416D67">
      <w:pPr>
        <w:jc w:val="both"/>
      </w:pPr>
      <w:r w:rsidRPr="00416D67">
        <w:t>KLASA: 400-01/24-01/07</w:t>
      </w:r>
    </w:p>
    <w:p w14:paraId="6876CC38" w14:textId="77777777" w:rsidR="00416D67" w:rsidRPr="00416D67" w:rsidRDefault="00416D67" w:rsidP="00416D67">
      <w:pPr>
        <w:jc w:val="both"/>
      </w:pPr>
      <w:r w:rsidRPr="00416D67">
        <w:t>URBROJ: 2163-26-1-26-30</w:t>
      </w:r>
    </w:p>
    <w:p w14:paraId="308579F4" w14:textId="77777777" w:rsidR="00416D67" w:rsidRPr="00416D67" w:rsidRDefault="00416D67" w:rsidP="00416D67">
      <w:pPr>
        <w:jc w:val="both"/>
      </w:pPr>
      <w:r w:rsidRPr="00416D67">
        <w:t>Marčana, 28. svibnja 2026.</w:t>
      </w:r>
    </w:p>
    <w:p w14:paraId="0BA457EA" w14:textId="77777777" w:rsidR="00416D67" w:rsidRPr="00416D67" w:rsidRDefault="00416D67" w:rsidP="00416D67">
      <w:pPr>
        <w:keepNext/>
        <w:ind w:left="360"/>
        <w:jc w:val="both"/>
        <w:outlineLvl w:val="0"/>
        <w:rPr>
          <w:b/>
        </w:rPr>
      </w:pPr>
      <w:r w:rsidRPr="00416D67">
        <w:rPr>
          <w:b/>
        </w:rPr>
        <w:t xml:space="preserve">                                                                     OPĆINSKO VIJEĆE OPĆINE MARČANA</w:t>
      </w:r>
    </w:p>
    <w:p w14:paraId="3ACD706B" w14:textId="77777777" w:rsidR="00416D67" w:rsidRPr="00416D67" w:rsidRDefault="00416D67" w:rsidP="00416D67">
      <w:pPr>
        <w:jc w:val="both"/>
      </w:pPr>
      <w:r w:rsidRPr="00416D67">
        <w:rPr>
          <w:b/>
        </w:rPr>
        <w:t xml:space="preserve">                                                                                                    PREDSJEDNIK</w:t>
      </w:r>
      <w:r w:rsidRPr="00416D67">
        <w:t xml:space="preserve">                                                                                                    </w:t>
      </w:r>
    </w:p>
    <w:p w14:paraId="765E8C7D" w14:textId="5F6AE0EE" w:rsidR="00416D67" w:rsidRPr="00416D67" w:rsidRDefault="00416D67" w:rsidP="00416D67">
      <w:pPr>
        <w:tabs>
          <w:tab w:val="left" w:pos="6735"/>
        </w:tabs>
        <w:rPr>
          <w:b/>
          <w:bCs/>
        </w:rPr>
      </w:pPr>
      <w:r w:rsidRPr="00416D67">
        <w:rPr>
          <w:b/>
          <w:bCs/>
        </w:rPr>
        <w:t xml:space="preserve">                                                                                               </w:t>
      </w:r>
      <w:r w:rsidR="00660C07">
        <w:rPr>
          <w:b/>
          <w:bCs/>
        </w:rPr>
        <w:t xml:space="preserve"> </w:t>
      </w:r>
      <w:r w:rsidRPr="00416D67">
        <w:rPr>
          <w:b/>
          <w:bCs/>
        </w:rPr>
        <w:t xml:space="preserve">   Denis </w:t>
      </w:r>
      <w:proofErr w:type="spellStart"/>
      <w:r w:rsidRPr="00416D67">
        <w:rPr>
          <w:b/>
          <w:bCs/>
        </w:rPr>
        <w:t>Diković</w:t>
      </w:r>
      <w:proofErr w:type="spellEnd"/>
      <w:r w:rsidR="00660C07">
        <w:rPr>
          <w:b/>
          <w:bCs/>
        </w:rPr>
        <w:t>, v.r.</w:t>
      </w:r>
      <w:r w:rsidRPr="00416D67">
        <w:rPr>
          <w:b/>
          <w:bCs/>
        </w:rPr>
        <w:t xml:space="preserve">   </w:t>
      </w:r>
    </w:p>
    <w:p w14:paraId="24408C86" w14:textId="77777777" w:rsidR="00416D67" w:rsidRPr="00416D67" w:rsidRDefault="00416D67" w:rsidP="00416D67">
      <w:pPr>
        <w:tabs>
          <w:tab w:val="left" w:pos="6735"/>
        </w:tabs>
        <w:rPr>
          <w:b/>
          <w:bCs/>
        </w:rPr>
      </w:pPr>
    </w:p>
    <w:p w14:paraId="5B5BC6EC" w14:textId="77777777" w:rsidR="00416D67" w:rsidRPr="00416D67" w:rsidRDefault="00416D67" w:rsidP="00416D67">
      <w:pPr>
        <w:tabs>
          <w:tab w:val="left" w:pos="6735"/>
        </w:tabs>
        <w:rPr>
          <w:b/>
          <w:bCs/>
        </w:rPr>
      </w:pPr>
    </w:p>
    <w:p w14:paraId="6AEB2832" w14:textId="77777777" w:rsidR="00416D67" w:rsidRPr="00416D67" w:rsidRDefault="00416D67" w:rsidP="00416D67">
      <w:pPr>
        <w:tabs>
          <w:tab w:val="left" w:pos="6735"/>
        </w:tabs>
        <w:rPr>
          <w:b/>
          <w:bCs/>
        </w:rPr>
      </w:pPr>
    </w:p>
    <w:p w14:paraId="5A71E58C" w14:textId="77777777" w:rsidR="00416D67" w:rsidRPr="00416D67" w:rsidRDefault="00416D67" w:rsidP="00416D67">
      <w:pPr>
        <w:tabs>
          <w:tab w:val="left" w:pos="6735"/>
        </w:tabs>
        <w:rPr>
          <w:b/>
          <w:bCs/>
        </w:rPr>
      </w:pPr>
    </w:p>
    <w:p w14:paraId="5E800E8A" w14:textId="77777777" w:rsidR="00416D67" w:rsidRPr="00416D67" w:rsidRDefault="00416D67" w:rsidP="00416D67">
      <w:pPr>
        <w:tabs>
          <w:tab w:val="left" w:pos="6735"/>
        </w:tabs>
        <w:rPr>
          <w:b/>
          <w:bCs/>
        </w:rPr>
      </w:pPr>
    </w:p>
    <w:p w14:paraId="71BAA670" w14:textId="77777777" w:rsidR="00416D67" w:rsidRPr="00416D67" w:rsidRDefault="00416D67" w:rsidP="00416D67">
      <w:pPr>
        <w:tabs>
          <w:tab w:val="left" w:pos="6735"/>
        </w:tabs>
        <w:rPr>
          <w:b/>
          <w:bCs/>
        </w:rPr>
      </w:pPr>
      <w:r w:rsidRPr="00416D67">
        <w:rPr>
          <w:b/>
          <w:bCs/>
        </w:rPr>
        <w:t>PRILOG I</w:t>
      </w:r>
    </w:p>
    <w:p w14:paraId="208FFC84" w14:textId="77777777" w:rsidR="00416D67" w:rsidRPr="00416D67" w:rsidRDefault="00416D67" w:rsidP="00416D67">
      <w:pPr>
        <w:rPr>
          <w:b/>
        </w:rPr>
      </w:pPr>
      <w:r w:rsidRPr="00416D67">
        <w:rPr>
          <w:b/>
        </w:rPr>
        <w:t>Izvještaj o zaduživanju na domaćem i stranom tržištu novca i kapitala</w:t>
      </w:r>
    </w:p>
    <w:p w14:paraId="4ED72819" w14:textId="77777777" w:rsidR="00416D67" w:rsidRPr="00416D67" w:rsidRDefault="00416D67" w:rsidP="00416D67">
      <w:pPr>
        <w:ind w:left="360"/>
        <w:jc w:val="both"/>
      </w:pPr>
    </w:p>
    <w:p w14:paraId="2F2A2040" w14:textId="77777777" w:rsidR="00416D67" w:rsidRPr="00416D67" w:rsidRDefault="00416D67" w:rsidP="00416D67">
      <w:pPr>
        <w:shd w:val="clear" w:color="auto" w:fill="FFFFFF"/>
        <w:spacing w:after="50"/>
        <w:ind w:left="360"/>
        <w:jc w:val="both"/>
      </w:pPr>
      <w:r w:rsidRPr="00416D67">
        <w:t xml:space="preserve">       </w:t>
      </w:r>
      <w:r w:rsidRPr="00416D67">
        <w:rPr>
          <w:color w:val="000000"/>
        </w:rPr>
        <w:t xml:space="preserve">Općina Marčana  tijekom 2025. godine nije realizirala kreditno zaduženje. Obveza za postojeće kreditno zaduženje (Odluka o davanju suglasnosti Vlade RH od 04. lipnja 2020. godine  za financiranje realizacije kapitalnog projekta građenja i opremanja  dječjeg vrtića u mjestu Marčana ) na dan 31. prosinca 2025. godine </w:t>
      </w:r>
      <w:r w:rsidRPr="00416D67">
        <w:t xml:space="preserve">iznosi 255.956,58 EUR.    Davatelj kredita </w:t>
      </w:r>
      <w:proofErr w:type="spellStart"/>
      <w:r w:rsidRPr="00416D67">
        <w:t>Erste&amp;Steiermärkische</w:t>
      </w:r>
      <w:proofErr w:type="spellEnd"/>
      <w:r w:rsidRPr="00416D67">
        <w:t xml:space="preserve"> </w:t>
      </w:r>
      <w:proofErr w:type="spellStart"/>
      <w:r w:rsidRPr="00416D67">
        <w:t>bank</w:t>
      </w:r>
      <w:proofErr w:type="spellEnd"/>
      <w:r w:rsidRPr="00416D67">
        <w:t xml:space="preserve"> d.d., kamatna stopa 1,28%  , rok otplate 31.07.2029. godine (8 godina) sa razdobljem počeka od 7 mjeseci. </w:t>
      </w:r>
    </w:p>
    <w:p w14:paraId="7E23F091" w14:textId="77777777" w:rsidR="00416D67" w:rsidRPr="00416D67" w:rsidRDefault="00416D67" w:rsidP="00416D67">
      <w:pPr>
        <w:ind w:left="360"/>
        <w:contextualSpacing/>
        <w:jc w:val="both"/>
      </w:pPr>
    </w:p>
    <w:p w14:paraId="43D0E928" w14:textId="77777777" w:rsidR="00416D67" w:rsidRPr="00416D67" w:rsidRDefault="00416D67" w:rsidP="00416D67">
      <w:pPr>
        <w:ind w:left="360"/>
        <w:contextualSpacing/>
        <w:jc w:val="both"/>
      </w:pPr>
      <w:r w:rsidRPr="00416D67">
        <w:t xml:space="preserve">Pregled otplate dugoročnog kreditnog zaduženja tijekom 2025. godine: </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984"/>
        <w:gridCol w:w="1843"/>
        <w:gridCol w:w="1701"/>
        <w:gridCol w:w="1559"/>
      </w:tblGrid>
      <w:tr w:rsidR="00416D67" w:rsidRPr="00416D67" w14:paraId="117CAE95" w14:textId="77777777" w:rsidTr="00BB1392">
        <w:trPr>
          <w:trHeight w:val="367"/>
        </w:trPr>
        <w:tc>
          <w:tcPr>
            <w:tcW w:w="2000" w:type="dxa"/>
            <w:shd w:val="clear" w:color="000000" w:fill="C0C0C0"/>
            <w:vAlign w:val="center"/>
            <w:hideMark/>
          </w:tcPr>
          <w:p w14:paraId="408D6E63" w14:textId="77777777" w:rsidR="00416D67" w:rsidRPr="00416D67" w:rsidRDefault="00416D67" w:rsidP="00416D67">
            <w:pPr>
              <w:jc w:val="center"/>
              <w:rPr>
                <w:bCs/>
                <w:sz w:val="20"/>
                <w:szCs w:val="20"/>
              </w:rPr>
            </w:pPr>
            <w:r w:rsidRPr="00416D67">
              <w:rPr>
                <w:bCs/>
                <w:sz w:val="20"/>
                <w:szCs w:val="20"/>
              </w:rPr>
              <w:t>Ugovorena valuta i iznos</w:t>
            </w:r>
          </w:p>
        </w:tc>
        <w:tc>
          <w:tcPr>
            <w:tcW w:w="1984" w:type="dxa"/>
            <w:shd w:val="clear" w:color="000000" w:fill="C0C0C0"/>
            <w:vAlign w:val="center"/>
            <w:hideMark/>
          </w:tcPr>
          <w:p w14:paraId="0CD0910D" w14:textId="77777777" w:rsidR="00416D67" w:rsidRPr="00416D67" w:rsidRDefault="00416D67" w:rsidP="00416D67">
            <w:pPr>
              <w:jc w:val="center"/>
              <w:rPr>
                <w:bCs/>
                <w:sz w:val="20"/>
                <w:szCs w:val="20"/>
              </w:rPr>
            </w:pPr>
            <w:r w:rsidRPr="00416D67">
              <w:rPr>
                <w:bCs/>
                <w:sz w:val="20"/>
                <w:szCs w:val="20"/>
              </w:rPr>
              <w:t>Stanje kredita i zajma 1.1.2025.</w:t>
            </w:r>
          </w:p>
        </w:tc>
        <w:tc>
          <w:tcPr>
            <w:tcW w:w="1843" w:type="dxa"/>
            <w:shd w:val="clear" w:color="000000" w:fill="C0C0C0"/>
          </w:tcPr>
          <w:p w14:paraId="38596555" w14:textId="77777777" w:rsidR="00416D67" w:rsidRPr="00416D67" w:rsidRDefault="00416D67" w:rsidP="00416D67">
            <w:pPr>
              <w:jc w:val="center"/>
              <w:rPr>
                <w:bCs/>
                <w:sz w:val="20"/>
                <w:szCs w:val="20"/>
              </w:rPr>
            </w:pPr>
          </w:p>
          <w:p w14:paraId="58913DE7" w14:textId="77777777" w:rsidR="00416D67" w:rsidRPr="00416D67" w:rsidRDefault="00416D67" w:rsidP="00416D67">
            <w:pPr>
              <w:jc w:val="center"/>
              <w:rPr>
                <w:bCs/>
                <w:sz w:val="20"/>
                <w:szCs w:val="20"/>
              </w:rPr>
            </w:pPr>
            <w:r w:rsidRPr="00416D67">
              <w:rPr>
                <w:bCs/>
                <w:sz w:val="20"/>
                <w:szCs w:val="20"/>
              </w:rPr>
              <w:t>Primljeni krediti i  zajmovi u tekućoj godini</w:t>
            </w:r>
          </w:p>
        </w:tc>
        <w:tc>
          <w:tcPr>
            <w:tcW w:w="1701" w:type="dxa"/>
            <w:shd w:val="clear" w:color="000000" w:fill="C0C0C0"/>
            <w:vAlign w:val="center"/>
            <w:hideMark/>
          </w:tcPr>
          <w:p w14:paraId="5700A075" w14:textId="77777777" w:rsidR="00416D67" w:rsidRPr="00416D67" w:rsidRDefault="00416D67" w:rsidP="00416D67">
            <w:pPr>
              <w:jc w:val="center"/>
              <w:rPr>
                <w:bCs/>
                <w:sz w:val="20"/>
                <w:szCs w:val="20"/>
              </w:rPr>
            </w:pPr>
            <w:r w:rsidRPr="00416D67">
              <w:rPr>
                <w:bCs/>
                <w:sz w:val="20"/>
                <w:szCs w:val="20"/>
              </w:rPr>
              <w:t>Otplate glavnice 2025.</w:t>
            </w:r>
          </w:p>
        </w:tc>
        <w:tc>
          <w:tcPr>
            <w:tcW w:w="1559" w:type="dxa"/>
            <w:shd w:val="clear" w:color="000000" w:fill="C0C0C0"/>
            <w:vAlign w:val="center"/>
            <w:hideMark/>
          </w:tcPr>
          <w:p w14:paraId="4E1884AA" w14:textId="77777777" w:rsidR="00416D67" w:rsidRPr="00416D67" w:rsidRDefault="00416D67" w:rsidP="00416D67">
            <w:pPr>
              <w:jc w:val="center"/>
              <w:rPr>
                <w:bCs/>
                <w:sz w:val="20"/>
                <w:szCs w:val="20"/>
              </w:rPr>
            </w:pPr>
            <w:r w:rsidRPr="00416D67">
              <w:rPr>
                <w:bCs/>
                <w:sz w:val="20"/>
                <w:szCs w:val="20"/>
              </w:rPr>
              <w:t xml:space="preserve">Stanje kredita i zajma </w:t>
            </w:r>
          </w:p>
          <w:p w14:paraId="1DA657A2" w14:textId="77777777" w:rsidR="00416D67" w:rsidRPr="00416D67" w:rsidRDefault="00416D67" w:rsidP="00416D67">
            <w:pPr>
              <w:jc w:val="center"/>
              <w:rPr>
                <w:bCs/>
                <w:sz w:val="20"/>
                <w:szCs w:val="20"/>
              </w:rPr>
            </w:pPr>
            <w:r w:rsidRPr="00416D67">
              <w:rPr>
                <w:bCs/>
                <w:sz w:val="20"/>
                <w:szCs w:val="20"/>
              </w:rPr>
              <w:t>31. 12.2025.</w:t>
            </w:r>
          </w:p>
        </w:tc>
      </w:tr>
      <w:tr w:rsidR="00416D67" w:rsidRPr="00416D67" w14:paraId="36248AFE" w14:textId="77777777" w:rsidTr="00BB1392">
        <w:trPr>
          <w:trHeight w:val="378"/>
        </w:trPr>
        <w:tc>
          <w:tcPr>
            <w:tcW w:w="2000" w:type="dxa"/>
            <w:vAlign w:val="center"/>
            <w:hideMark/>
          </w:tcPr>
          <w:p w14:paraId="77423D9A" w14:textId="77777777" w:rsidR="00416D67" w:rsidRPr="00416D67" w:rsidRDefault="00416D67" w:rsidP="00416D67">
            <w:pPr>
              <w:jc w:val="right"/>
              <w:rPr>
                <w:sz w:val="20"/>
                <w:szCs w:val="20"/>
              </w:rPr>
            </w:pPr>
            <w:r w:rsidRPr="00416D67">
              <w:rPr>
                <w:sz w:val="20"/>
                <w:szCs w:val="20"/>
              </w:rPr>
              <w:t>1.048.510,19 EUR</w:t>
            </w:r>
          </w:p>
          <w:p w14:paraId="434234FB" w14:textId="77777777" w:rsidR="00416D67" w:rsidRPr="00416D67" w:rsidRDefault="00416D67" w:rsidP="00416D67">
            <w:pPr>
              <w:jc w:val="right"/>
              <w:rPr>
                <w:sz w:val="20"/>
                <w:szCs w:val="20"/>
              </w:rPr>
            </w:pPr>
            <w:r w:rsidRPr="00416D67">
              <w:rPr>
                <w:sz w:val="20"/>
                <w:szCs w:val="20"/>
              </w:rPr>
              <w:t>(7.900.000,00 HRK)</w:t>
            </w:r>
          </w:p>
        </w:tc>
        <w:tc>
          <w:tcPr>
            <w:tcW w:w="1984" w:type="dxa"/>
            <w:vAlign w:val="center"/>
            <w:hideMark/>
          </w:tcPr>
          <w:p w14:paraId="5DF75AB9" w14:textId="77777777" w:rsidR="00416D67" w:rsidRPr="00416D67" w:rsidRDefault="00416D67" w:rsidP="00416D67">
            <w:pPr>
              <w:jc w:val="right"/>
              <w:rPr>
                <w:sz w:val="20"/>
                <w:szCs w:val="20"/>
              </w:rPr>
            </w:pPr>
            <w:r w:rsidRPr="00416D67">
              <w:rPr>
                <w:sz w:val="20"/>
                <w:szCs w:val="20"/>
              </w:rPr>
              <w:t>327.386,34</w:t>
            </w:r>
          </w:p>
        </w:tc>
        <w:tc>
          <w:tcPr>
            <w:tcW w:w="1843" w:type="dxa"/>
            <w:vAlign w:val="center"/>
          </w:tcPr>
          <w:p w14:paraId="7560475E" w14:textId="77777777" w:rsidR="00416D67" w:rsidRPr="00416D67" w:rsidRDefault="00416D67" w:rsidP="00416D67">
            <w:pPr>
              <w:jc w:val="right"/>
              <w:rPr>
                <w:sz w:val="20"/>
                <w:szCs w:val="20"/>
              </w:rPr>
            </w:pPr>
            <w:r w:rsidRPr="00416D67">
              <w:rPr>
                <w:sz w:val="20"/>
                <w:szCs w:val="20"/>
              </w:rPr>
              <w:t>0,00</w:t>
            </w:r>
          </w:p>
        </w:tc>
        <w:tc>
          <w:tcPr>
            <w:tcW w:w="1701" w:type="dxa"/>
            <w:vAlign w:val="center"/>
          </w:tcPr>
          <w:p w14:paraId="099ECB07" w14:textId="77777777" w:rsidR="00416D67" w:rsidRPr="00416D67" w:rsidRDefault="00416D67" w:rsidP="00416D67">
            <w:pPr>
              <w:jc w:val="right"/>
              <w:rPr>
                <w:sz w:val="20"/>
                <w:szCs w:val="20"/>
              </w:rPr>
            </w:pPr>
            <w:r w:rsidRPr="00416D67">
              <w:rPr>
                <w:sz w:val="20"/>
                <w:szCs w:val="20"/>
              </w:rPr>
              <w:t>71.429,76</w:t>
            </w:r>
          </w:p>
        </w:tc>
        <w:tc>
          <w:tcPr>
            <w:tcW w:w="1559" w:type="dxa"/>
            <w:vAlign w:val="center"/>
          </w:tcPr>
          <w:p w14:paraId="2BDF71FC" w14:textId="77777777" w:rsidR="00416D67" w:rsidRPr="00416D67" w:rsidRDefault="00416D67" w:rsidP="00416D67">
            <w:pPr>
              <w:jc w:val="right"/>
              <w:rPr>
                <w:sz w:val="20"/>
                <w:szCs w:val="20"/>
              </w:rPr>
            </w:pPr>
            <w:r w:rsidRPr="00416D67">
              <w:rPr>
                <w:sz w:val="20"/>
                <w:szCs w:val="20"/>
              </w:rPr>
              <w:t>255.956,58</w:t>
            </w:r>
          </w:p>
        </w:tc>
      </w:tr>
      <w:tr w:rsidR="00416D67" w:rsidRPr="00416D67" w14:paraId="24970517" w14:textId="77777777" w:rsidTr="00BB1392">
        <w:trPr>
          <w:trHeight w:val="378"/>
        </w:trPr>
        <w:tc>
          <w:tcPr>
            <w:tcW w:w="2000" w:type="dxa"/>
            <w:shd w:val="clear" w:color="000000" w:fill="C0C0C0"/>
            <w:vAlign w:val="center"/>
          </w:tcPr>
          <w:p w14:paraId="32F4FFD3" w14:textId="77777777" w:rsidR="00416D67" w:rsidRPr="00416D67" w:rsidRDefault="00416D67" w:rsidP="00416D67">
            <w:pPr>
              <w:jc w:val="right"/>
              <w:rPr>
                <w:sz w:val="20"/>
                <w:szCs w:val="20"/>
              </w:rPr>
            </w:pPr>
            <w:r w:rsidRPr="00416D67">
              <w:rPr>
                <w:b/>
                <w:bCs/>
                <w:sz w:val="20"/>
                <w:szCs w:val="20"/>
              </w:rPr>
              <w:t>UKUPNO 31.12.2024.</w:t>
            </w:r>
          </w:p>
        </w:tc>
        <w:tc>
          <w:tcPr>
            <w:tcW w:w="1984" w:type="dxa"/>
            <w:shd w:val="pct25" w:color="C0C0C0" w:fill="auto"/>
            <w:vAlign w:val="center"/>
          </w:tcPr>
          <w:p w14:paraId="7C071B6A" w14:textId="77777777" w:rsidR="00416D67" w:rsidRPr="00416D67" w:rsidRDefault="00416D67" w:rsidP="00416D67">
            <w:pPr>
              <w:jc w:val="right"/>
              <w:rPr>
                <w:sz w:val="20"/>
                <w:szCs w:val="20"/>
              </w:rPr>
            </w:pPr>
            <w:r w:rsidRPr="00416D67">
              <w:rPr>
                <w:b/>
                <w:bCs/>
                <w:sz w:val="20"/>
                <w:szCs w:val="20"/>
              </w:rPr>
              <w:t>327.386,34</w:t>
            </w:r>
          </w:p>
        </w:tc>
        <w:tc>
          <w:tcPr>
            <w:tcW w:w="1843" w:type="dxa"/>
            <w:shd w:val="pct25" w:color="C0C0C0" w:fill="auto"/>
            <w:vAlign w:val="center"/>
          </w:tcPr>
          <w:p w14:paraId="37B3A293" w14:textId="77777777" w:rsidR="00416D67" w:rsidRPr="00416D67" w:rsidRDefault="00416D67" w:rsidP="00416D67">
            <w:pPr>
              <w:jc w:val="right"/>
              <w:rPr>
                <w:sz w:val="20"/>
                <w:szCs w:val="20"/>
              </w:rPr>
            </w:pPr>
            <w:r w:rsidRPr="00416D67">
              <w:rPr>
                <w:b/>
                <w:bCs/>
                <w:sz w:val="20"/>
                <w:szCs w:val="20"/>
              </w:rPr>
              <w:t>0,00</w:t>
            </w:r>
          </w:p>
        </w:tc>
        <w:tc>
          <w:tcPr>
            <w:tcW w:w="1701" w:type="dxa"/>
            <w:shd w:val="pct25" w:color="C0C0C0" w:fill="auto"/>
            <w:vAlign w:val="center"/>
          </w:tcPr>
          <w:p w14:paraId="0170BEFE" w14:textId="77777777" w:rsidR="00416D67" w:rsidRPr="00416D67" w:rsidRDefault="00416D67" w:rsidP="00416D67">
            <w:pPr>
              <w:jc w:val="right"/>
              <w:rPr>
                <w:sz w:val="20"/>
                <w:szCs w:val="20"/>
              </w:rPr>
            </w:pPr>
            <w:r w:rsidRPr="00416D67">
              <w:rPr>
                <w:b/>
                <w:bCs/>
                <w:sz w:val="20"/>
                <w:szCs w:val="20"/>
              </w:rPr>
              <w:t>71.429,76</w:t>
            </w:r>
          </w:p>
        </w:tc>
        <w:tc>
          <w:tcPr>
            <w:tcW w:w="1559" w:type="dxa"/>
            <w:shd w:val="pct25" w:color="C0C0C0" w:fill="auto"/>
            <w:vAlign w:val="center"/>
          </w:tcPr>
          <w:p w14:paraId="5D5BC4BA" w14:textId="77777777" w:rsidR="00416D67" w:rsidRPr="00416D67" w:rsidRDefault="00416D67" w:rsidP="00416D67">
            <w:pPr>
              <w:jc w:val="right"/>
              <w:rPr>
                <w:sz w:val="20"/>
                <w:szCs w:val="20"/>
              </w:rPr>
            </w:pPr>
            <w:r w:rsidRPr="00416D67">
              <w:rPr>
                <w:b/>
                <w:bCs/>
                <w:sz w:val="20"/>
                <w:szCs w:val="20"/>
              </w:rPr>
              <w:t>255.956,58</w:t>
            </w:r>
          </w:p>
        </w:tc>
      </w:tr>
    </w:tbl>
    <w:p w14:paraId="50AB096A" w14:textId="77777777" w:rsidR="00416D67" w:rsidRPr="00416D67" w:rsidRDefault="00416D67" w:rsidP="00416D67">
      <w:pPr>
        <w:shd w:val="clear" w:color="auto" w:fill="FFFFFF"/>
        <w:spacing w:after="50"/>
        <w:ind w:left="360"/>
        <w:jc w:val="both"/>
        <w:rPr>
          <w:b/>
        </w:rPr>
      </w:pPr>
      <w:r w:rsidRPr="00416D67">
        <w:rPr>
          <w:b/>
        </w:rPr>
        <w:t xml:space="preserve">        </w:t>
      </w:r>
    </w:p>
    <w:p w14:paraId="4C94FAFA" w14:textId="77777777" w:rsidR="00416D67" w:rsidRPr="00416D67" w:rsidRDefault="00416D67" w:rsidP="00416D67">
      <w:pPr>
        <w:jc w:val="both"/>
        <w:rPr>
          <w:b/>
          <w:i/>
        </w:rPr>
      </w:pPr>
      <w:r w:rsidRPr="00416D67">
        <w:rPr>
          <w:b/>
          <w:i/>
        </w:rPr>
        <w:t xml:space="preserve"> </w:t>
      </w:r>
    </w:p>
    <w:p w14:paraId="0A6D3000" w14:textId="77777777" w:rsidR="00416D67" w:rsidRPr="00416D67" w:rsidRDefault="00416D67" w:rsidP="00416D67">
      <w:pPr>
        <w:jc w:val="both"/>
        <w:rPr>
          <w:b/>
          <w:i/>
        </w:rPr>
      </w:pPr>
    </w:p>
    <w:p w14:paraId="19D7280D" w14:textId="77777777" w:rsidR="00416D67" w:rsidRPr="00416D67" w:rsidRDefault="00416D67" w:rsidP="00416D67">
      <w:pPr>
        <w:jc w:val="both"/>
        <w:rPr>
          <w:b/>
          <w:i/>
        </w:rPr>
      </w:pPr>
    </w:p>
    <w:p w14:paraId="6E28291A" w14:textId="77777777" w:rsidR="00416D67" w:rsidRPr="00416D67" w:rsidRDefault="00416D67" w:rsidP="00416D67">
      <w:pPr>
        <w:jc w:val="both"/>
        <w:rPr>
          <w:b/>
          <w:i/>
        </w:rPr>
      </w:pPr>
    </w:p>
    <w:p w14:paraId="15BDB4FF" w14:textId="77777777" w:rsidR="00416D67" w:rsidRPr="00416D67" w:rsidRDefault="00416D67" w:rsidP="00416D67">
      <w:pPr>
        <w:jc w:val="both"/>
      </w:pPr>
    </w:p>
    <w:p w14:paraId="29D55981" w14:textId="77777777" w:rsidR="00416D67" w:rsidRPr="00416D67" w:rsidRDefault="00416D67" w:rsidP="00416D67">
      <w:pPr>
        <w:rPr>
          <w:b/>
        </w:rPr>
      </w:pPr>
      <w:r w:rsidRPr="00416D67">
        <w:rPr>
          <w:b/>
        </w:rPr>
        <w:t>PRILOG II</w:t>
      </w:r>
    </w:p>
    <w:p w14:paraId="78D76C8C" w14:textId="77777777" w:rsidR="00416D67" w:rsidRPr="00416D67" w:rsidRDefault="00416D67" w:rsidP="00416D67">
      <w:pPr>
        <w:spacing w:after="120"/>
        <w:ind w:left="567"/>
        <w:rPr>
          <w:b/>
        </w:rPr>
      </w:pPr>
      <w:r w:rsidRPr="00416D67">
        <w:rPr>
          <w:b/>
        </w:rPr>
        <w:t xml:space="preserve"> Izvještaj o korištenju proračunske zalihe </w:t>
      </w:r>
    </w:p>
    <w:p w14:paraId="7B6C2A05" w14:textId="77777777" w:rsidR="00416D67" w:rsidRPr="00416D67" w:rsidRDefault="00416D67" w:rsidP="00416D67">
      <w:pPr>
        <w:spacing w:after="120"/>
        <w:jc w:val="both"/>
      </w:pPr>
      <w:r w:rsidRPr="00416D67">
        <w:t xml:space="preserve">         Proračunom Općine Marčana planirana je proračunska zaliha (nepredviđeni rashodi) u iznosu od 2.000,00 EUR, koja nije korištena.</w:t>
      </w:r>
    </w:p>
    <w:p w14:paraId="7F95090F" w14:textId="77777777" w:rsidR="00416D67" w:rsidRPr="00416D67" w:rsidRDefault="00416D67" w:rsidP="00416D67">
      <w:pPr>
        <w:spacing w:after="120"/>
        <w:ind w:left="283"/>
      </w:pPr>
    </w:p>
    <w:p w14:paraId="13897F69" w14:textId="77777777" w:rsidR="00416D67" w:rsidRPr="00416D67" w:rsidRDefault="00416D67" w:rsidP="00416D67">
      <w:pPr>
        <w:spacing w:after="120"/>
        <w:ind w:left="283"/>
        <w:rPr>
          <w:b/>
        </w:rPr>
      </w:pPr>
      <w:r w:rsidRPr="00416D67">
        <w:rPr>
          <w:b/>
        </w:rPr>
        <w:t>PRILOG III</w:t>
      </w:r>
    </w:p>
    <w:p w14:paraId="1CE99578" w14:textId="77777777" w:rsidR="00416D67" w:rsidRPr="00416D67" w:rsidRDefault="00416D67" w:rsidP="00416D67">
      <w:pPr>
        <w:spacing w:after="120"/>
      </w:pPr>
      <w:r w:rsidRPr="00416D67">
        <w:t xml:space="preserve">          </w:t>
      </w:r>
      <w:r w:rsidRPr="00416D67">
        <w:rPr>
          <w:b/>
        </w:rPr>
        <w:t>Izvještaj o danim suglasnostima za zaduživanje i jamstvima</w:t>
      </w:r>
    </w:p>
    <w:p w14:paraId="4817EA85" w14:textId="77777777" w:rsidR="00416D67" w:rsidRPr="00416D67" w:rsidRDefault="00416D67" w:rsidP="00416D67">
      <w:pPr>
        <w:jc w:val="both"/>
      </w:pPr>
      <w:r w:rsidRPr="00416D67">
        <w:t xml:space="preserve">         Tijekom izvještajnog razdoblja Općina Marčana nije davala suglasnosti za zaduživanje i jamstva. Dana suglasnost u 2023. godini: Odluka o davanju suglasnosti Područnoj vatrogasnoj zajednici Pula i Javnoj vatrogasnoj postrojbi Pula za izdavanje jamstva poslovnoj banci po dugoročnom kreditu radi nabavke vatrogasnih vozila i opreme putem Vatrogasne zajednice Istarske županije, kreditor Istarska kreditna banka Umag d.d. u suradnji sa Hrvatskom bankom za obnovu i razvitak. Iznos glavnice kredita 18.375.000 kn, kamatna stopa 2%, rok otplate kredita 120 mjeseci, donijelo je Općinsko vijeće Općine Marčana je na sjednici održanoj 04. listopada 2019. godine</w:t>
      </w:r>
    </w:p>
    <w:p w14:paraId="588CC68F" w14:textId="77777777" w:rsidR="00416D67" w:rsidRPr="00416D67" w:rsidRDefault="00416D67" w:rsidP="00416D67">
      <w:pPr>
        <w:spacing w:line="260" w:lineRule="exact"/>
        <w:jc w:val="both"/>
        <w:rPr>
          <w:spacing w:val="1"/>
          <w:position w:val="-1"/>
        </w:rPr>
      </w:pPr>
      <w:r w:rsidRPr="00416D67">
        <w:t xml:space="preserve">        Pregled izdanih   </w:t>
      </w:r>
      <w:r w:rsidRPr="00416D67">
        <w:rPr>
          <w:spacing w:val="1"/>
          <w:position w:val="-1"/>
        </w:rPr>
        <w:t xml:space="preserve">instrumenata osiguranja plaćanja (bjanko zadužnice u obliku javnobilježničke potvrđene isprave) Općine Marčana izdala stanje na </w:t>
      </w:r>
      <w:proofErr w:type="spellStart"/>
      <w:r w:rsidRPr="00416D67">
        <w:rPr>
          <w:spacing w:val="1"/>
          <w:position w:val="-1"/>
        </w:rPr>
        <w:t>na</w:t>
      </w:r>
      <w:proofErr w:type="spellEnd"/>
      <w:r w:rsidRPr="00416D67">
        <w:rPr>
          <w:spacing w:val="1"/>
          <w:position w:val="-1"/>
        </w:rPr>
        <w:t xml:space="preserve"> dan 31.12.2025. godine iznose 1.279.260,82 EUR:</w:t>
      </w:r>
    </w:p>
    <w:p w14:paraId="2BAA386A" w14:textId="77777777" w:rsidR="00416D67" w:rsidRPr="00416D67" w:rsidRDefault="00416D67" w:rsidP="00416D67">
      <w:pPr>
        <w:jc w:val="both"/>
        <w:rPr>
          <w:spacing w:val="1"/>
          <w:position w:val="-1"/>
        </w:rPr>
      </w:pPr>
      <w:r w:rsidRPr="00416D67">
        <w:rPr>
          <w:spacing w:val="1"/>
          <w:position w:val="-1"/>
        </w:rPr>
        <w:t xml:space="preserve"> </w:t>
      </w:r>
    </w:p>
    <w:tbl>
      <w:tblPr>
        <w:tblW w:w="10247" w:type="dxa"/>
        <w:jc w:val="center"/>
        <w:tblLook w:val="04A0" w:firstRow="1" w:lastRow="0" w:firstColumn="1" w:lastColumn="0" w:noHBand="0" w:noVBand="1"/>
      </w:tblPr>
      <w:tblGrid>
        <w:gridCol w:w="1086"/>
        <w:gridCol w:w="3921"/>
        <w:gridCol w:w="1440"/>
        <w:gridCol w:w="1320"/>
        <w:gridCol w:w="1160"/>
        <w:gridCol w:w="1320"/>
      </w:tblGrid>
      <w:tr w:rsidR="00416D67" w:rsidRPr="00416D67" w14:paraId="69374B60" w14:textId="77777777" w:rsidTr="00BB1392">
        <w:trPr>
          <w:trHeight w:val="555"/>
          <w:jc w:val="center"/>
        </w:trPr>
        <w:tc>
          <w:tcPr>
            <w:tcW w:w="1086" w:type="dxa"/>
            <w:tcBorders>
              <w:top w:val="single" w:sz="4" w:space="0" w:color="808080"/>
              <w:left w:val="single" w:sz="4" w:space="0" w:color="808080"/>
              <w:bottom w:val="single" w:sz="4" w:space="0" w:color="808080"/>
              <w:right w:val="single" w:sz="4" w:space="0" w:color="808080"/>
            </w:tcBorders>
            <w:vAlign w:val="center"/>
          </w:tcPr>
          <w:p w14:paraId="3C42F387" w14:textId="77777777" w:rsidR="00416D67" w:rsidRPr="00416D67" w:rsidRDefault="00416D67" w:rsidP="00416D67">
            <w:pPr>
              <w:jc w:val="center"/>
              <w:rPr>
                <w:color w:val="000000"/>
                <w:sz w:val="18"/>
                <w:szCs w:val="18"/>
              </w:rPr>
            </w:pPr>
            <w:r w:rsidRPr="00416D67">
              <w:rPr>
                <w:color w:val="000000"/>
                <w:sz w:val="18"/>
                <w:szCs w:val="18"/>
              </w:rPr>
              <w:t>Broj računa</w:t>
            </w:r>
          </w:p>
        </w:tc>
        <w:tc>
          <w:tcPr>
            <w:tcW w:w="3921" w:type="dxa"/>
            <w:tcBorders>
              <w:top w:val="single" w:sz="4" w:space="0" w:color="808080"/>
              <w:left w:val="single" w:sz="4" w:space="0" w:color="808080"/>
              <w:bottom w:val="single" w:sz="4" w:space="0" w:color="808080"/>
              <w:right w:val="single" w:sz="4" w:space="0" w:color="808080"/>
            </w:tcBorders>
            <w:noWrap/>
            <w:vAlign w:val="center"/>
            <w:hideMark/>
          </w:tcPr>
          <w:p w14:paraId="6F8564A5" w14:textId="77777777" w:rsidR="00416D67" w:rsidRPr="00416D67" w:rsidRDefault="00416D67" w:rsidP="00416D67">
            <w:pPr>
              <w:jc w:val="center"/>
              <w:rPr>
                <w:color w:val="000000"/>
                <w:sz w:val="18"/>
                <w:szCs w:val="18"/>
              </w:rPr>
            </w:pPr>
            <w:r w:rsidRPr="00416D67">
              <w:rPr>
                <w:color w:val="000000"/>
                <w:sz w:val="18"/>
                <w:szCs w:val="18"/>
              </w:rPr>
              <w:t>Naziv</w:t>
            </w:r>
          </w:p>
        </w:tc>
        <w:tc>
          <w:tcPr>
            <w:tcW w:w="1440" w:type="dxa"/>
            <w:tcBorders>
              <w:top w:val="single" w:sz="4" w:space="0" w:color="808080"/>
              <w:left w:val="nil"/>
              <w:bottom w:val="single" w:sz="4" w:space="0" w:color="808080"/>
              <w:right w:val="single" w:sz="4" w:space="0" w:color="808080"/>
            </w:tcBorders>
            <w:vAlign w:val="center"/>
            <w:hideMark/>
          </w:tcPr>
          <w:p w14:paraId="6B730FA4" w14:textId="77777777" w:rsidR="00416D67" w:rsidRPr="00416D67" w:rsidRDefault="00416D67" w:rsidP="00416D67">
            <w:pPr>
              <w:jc w:val="center"/>
              <w:rPr>
                <w:color w:val="000000"/>
                <w:sz w:val="18"/>
                <w:szCs w:val="18"/>
              </w:rPr>
            </w:pPr>
            <w:r w:rsidRPr="00416D67">
              <w:rPr>
                <w:color w:val="000000"/>
                <w:sz w:val="18"/>
                <w:szCs w:val="18"/>
              </w:rPr>
              <w:t>Stanje 01.01.2025.</w:t>
            </w:r>
          </w:p>
        </w:tc>
        <w:tc>
          <w:tcPr>
            <w:tcW w:w="1320" w:type="dxa"/>
            <w:tcBorders>
              <w:top w:val="single" w:sz="4" w:space="0" w:color="808080"/>
              <w:left w:val="nil"/>
              <w:bottom w:val="single" w:sz="4" w:space="0" w:color="808080"/>
              <w:right w:val="single" w:sz="4" w:space="0" w:color="808080"/>
            </w:tcBorders>
            <w:vAlign w:val="center"/>
            <w:hideMark/>
          </w:tcPr>
          <w:p w14:paraId="382BF09A" w14:textId="77777777" w:rsidR="00416D67" w:rsidRPr="00416D67" w:rsidRDefault="00416D67" w:rsidP="00416D67">
            <w:pPr>
              <w:jc w:val="center"/>
              <w:rPr>
                <w:color w:val="000000"/>
                <w:sz w:val="18"/>
                <w:szCs w:val="18"/>
              </w:rPr>
            </w:pPr>
            <w:r w:rsidRPr="00416D67">
              <w:rPr>
                <w:color w:val="000000"/>
                <w:sz w:val="18"/>
                <w:szCs w:val="18"/>
              </w:rPr>
              <w:t>Povećanje 2025.</w:t>
            </w:r>
          </w:p>
        </w:tc>
        <w:tc>
          <w:tcPr>
            <w:tcW w:w="1160" w:type="dxa"/>
            <w:tcBorders>
              <w:top w:val="single" w:sz="4" w:space="0" w:color="808080"/>
              <w:left w:val="nil"/>
              <w:bottom w:val="single" w:sz="4" w:space="0" w:color="808080"/>
              <w:right w:val="single" w:sz="4" w:space="0" w:color="808080"/>
            </w:tcBorders>
            <w:vAlign w:val="center"/>
            <w:hideMark/>
          </w:tcPr>
          <w:p w14:paraId="08BA1EB0" w14:textId="77777777" w:rsidR="00416D67" w:rsidRPr="00416D67" w:rsidRDefault="00416D67" w:rsidP="00416D67">
            <w:pPr>
              <w:jc w:val="center"/>
              <w:rPr>
                <w:color w:val="000000"/>
                <w:sz w:val="18"/>
                <w:szCs w:val="18"/>
              </w:rPr>
            </w:pPr>
            <w:r w:rsidRPr="00416D67">
              <w:rPr>
                <w:color w:val="000000"/>
                <w:sz w:val="18"/>
                <w:szCs w:val="18"/>
              </w:rPr>
              <w:t>Smanjenje 2025.</w:t>
            </w:r>
          </w:p>
        </w:tc>
        <w:tc>
          <w:tcPr>
            <w:tcW w:w="1320" w:type="dxa"/>
            <w:tcBorders>
              <w:top w:val="single" w:sz="4" w:space="0" w:color="808080"/>
              <w:left w:val="nil"/>
              <w:bottom w:val="single" w:sz="4" w:space="0" w:color="808080"/>
              <w:right w:val="single" w:sz="4" w:space="0" w:color="808080"/>
            </w:tcBorders>
            <w:vAlign w:val="center"/>
            <w:hideMark/>
          </w:tcPr>
          <w:p w14:paraId="6737F823" w14:textId="77777777" w:rsidR="00416D67" w:rsidRPr="00416D67" w:rsidRDefault="00416D67" w:rsidP="00416D67">
            <w:pPr>
              <w:jc w:val="center"/>
              <w:rPr>
                <w:color w:val="000000"/>
                <w:sz w:val="18"/>
                <w:szCs w:val="18"/>
              </w:rPr>
            </w:pPr>
            <w:r w:rsidRPr="00416D67">
              <w:rPr>
                <w:color w:val="000000"/>
                <w:sz w:val="18"/>
                <w:szCs w:val="18"/>
              </w:rPr>
              <w:t>Stanje 31.12.2025.</w:t>
            </w:r>
          </w:p>
        </w:tc>
      </w:tr>
      <w:tr w:rsidR="00416D67" w:rsidRPr="00416D67" w14:paraId="005ECD88" w14:textId="77777777" w:rsidTr="00BB1392">
        <w:trPr>
          <w:trHeight w:val="555"/>
          <w:jc w:val="center"/>
        </w:trPr>
        <w:tc>
          <w:tcPr>
            <w:tcW w:w="1086" w:type="dxa"/>
            <w:tcBorders>
              <w:top w:val="single" w:sz="4" w:space="0" w:color="808080"/>
              <w:left w:val="single" w:sz="4" w:space="0" w:color="808080"/>
              <w:bottom w:val="single" w:sz="4" w:space="0" w:color="808080"/>
              <w:right w:val="single" w:sz="4" w:space="0" w:color="808080"/>
            </w:tcBorders>
            <w:vAlign w:val="center"/>
          </w:tcPr>
          <w:p w14:paraId="09539AF6" w14:textId="77777777" w:rsidR="00416D67" w:rsidRPr="00416D67" w:rsidRDefault="00416D67" w:rsidP="00416D67">
            <w:pPr>
              <w:jc w:val="center"/>
              <w:rPr>
                <w:color w:val="000000"/>
                <w:sz w:val="18"/>
                <w:szCs w:val="18"/>
              </w:rPr>
            </w:pPr>
            <w:r w:rsidRPr="00416D67">
              <w:rPr>
                <w:color w:val="000000"/>
                <w:sz w:val="18"/>
                <w:szCs w:val="18"/>
              </w:rPr>
              <w:t>991111</w:t>
            </w:r>
          </w:p>
        </w:tc>
        <w:tc>
          <w:tcPr>
            <w:tcW w:w="3921" w:type="dxa"/>
            <w:tcBorders>
              <w:top w:val="single" w:sz="4" w:space="0" w:color="808080"/>
              <w:left w:val="single" w:sz="4" w:space="0" w:color="808080"/>
              <w:bottom w:val="single" w:sz="4" w:space="0" w:color="808080"/>
              <w:right w:val="single" w:sz="4" w:space="0" w:color="808080"/>
            </w:tcBorders>
            <w:noWrap/>
            <w:vAlign w:val="bottom"/>
          </w:tcPr>
          <w:p w14:paraId="676C9739" w14:textId="77777777" w:rsidR="00416D67" w:rsidRPr="00416D67" w:rsidRDefault="00416D67" w:rsidP="00416D67">
            <w:pPr>
              <w:rPr>
                <w:color w:val="000000"/>
                <w:sz w:val="18"/>
                <w:szCs w:val="18"/>
              </w:rPr>
            </w:pPr>
            <w:r w:rsidRPr="00416D67">
              <w:rPr>
                <w:color w:val="000000"/>
                <w:sz w:val="18"/>
                <w:szCs w:val="18"/>
              </w:rPr>
              <w:t xml:space="preserve">Ugovor operativni leasing Agram leasing </w:t>
            </w:r>
            <w:proofErr w:type="spellStart"/>
            <w:r w:rsidRPr="00416D67">
              <w:rPr>
                <w:color w:val="000000"/>
                <w:sz w:val="18"/>
                <w:szCs w:val="18"/>
              </w:rPr>
              <w:t>doo</w:t>
            </w:r>
            <w:proofErr w:type="spellEnd"/>
            <w:r w:rsidRPr="00416D67">
              <w:rPr>
                <w:color w:val="000000"/>
                <w:sz w:val="18"/>
                <w:szCs w:val="18"/>
              </w:rPr>
              <w:t xml:space="preserve"> ugovor 52/021/23 od 13.02.2023.</w:t>
            </w:r>
          </w:p>
        </w:tc>
        <w:tc>
          <w:tcPr>
            <w:tcW w:w="1440" w:type="dxa"/>
            <w:tcBorders>
              <w:top w:val="single" w:sz="4" w:space="0" w:color="808080"/>
              <w:left w:val="nil"/>
              <w:bottom w:val="single" w:sz="4" w:space="0" w:color="808080"/>
              <w:right w:val="single" w:sz="4" w:space="0" w:color="808080"/>
            </w:tcBorders>
            <w:vAlign w:val="center"/>
          </w:tcPr>
          <w:p w14:paraId="4BF246F7" w14:textId="77777777" w:rsidR="00416D67" w:rsidRPr="00416D67" w:rsidRDefault="00416D67" w:rsidP="00416D67">
            <w:pPr>
              <w:jc w:val="right"/>
              <w:rPr>
                <w:color w:val="000000"/>
                <w:sz w:val="18"/>
                <w:szCs w:val="18"/>
              </w:rPr>
            </w:pPr>
            <w:r w:rsidRPr="00416D67">
              <w:rPr>
                <w:color w:val="000000"/>
                <w:sz w:val="18"/>
                <w:szCs w:val="18"/>
              </w:rPr>
              <w:t>26.410,99</w:t>
            </w:r>
          </w:p>
        </w:tc>
        <w:tc>
          <w:tcPr>
            <w:tcW w:w="1320" w:type="dxa"/>
            <w:tcBorders>
              <w:top w:val="single" w:sz="4" w:space="0" w:color="808080"/>
              <w:left w:val="nil"/>
              <w:bottom w:val="single" w:sz="4" w:space="0" w:color="808080"/>
              <w:right w:val="single" w:sz="4" w:space="0" w:color="808080"/>
            </w:tcBorders>
            <w:vAlign w:val="center"/>
          </w:tcPr>
          <w:p w14:paraId="289942BB" w14:textId="77777777" w:rsidR="00416D67" w:rsidRPr="00416D67" w:rsidRDefault="00416D67" w:rsidP="00416D67">
            <w:pPr>
              <w:jc w:val="right"/>
              <w:rPr>
                <w:color w:val="000000"/>
                <w:sz w:val="18"/>
                <w:szCs w:val="18"/>
              </w:rPr>
            </w:pPr>
            <w:r w:rsidRPr="00416D67">
              <w:rPr>
                <w:color w:val="000000"/>
                <w:sz w:val="18"/>
                <w:szCs w:val="18"/>
              </w:rPr>
              <w:t>0</w:t>
            </w:r>
          </w:p>
        </w:tc>
        <w:tc>
          <w:tcPr>
            <w:tcW w:w="1160" w:type="dxa"/>
            <w:tcBorders>
              <w:top w:val="single" w:sz="4" w:space="0" w:color="808080"/>
              <w:left w:val="nil"/>
              <w:bottom w:val="single" w:sz="4" w:space="0" w:color="808080"/>
              <w:right w:val="single" w:sz="4" w:space="0" w:color="808080"/>
            </w:tcBorders>
            <w:vAlign w:val="center"/>
          </w:tcPr>
          <w:p w14:paraId="1AA1C0F9" w14:textId="77777777" w:rsidR="00416D67" w:rsidRPr="00416D67" w:rsidRDefault="00416D67" w:rsidP="00416D67">
            <w:pPr>
              <w:jc w:val="right"/>
              <w:rPr>
                <w:color w:val="000000"/>
                <w:sz w:val="18"/>
                <w:szCs w:val="18"/>
              </w:rPr>
            </w:pPr>
            <w:r w:rsidRPr="00416D67">
              <w:rPr>
                <w:color w:val="000000"/>
                <w:sz w:val="18"/>
                <w:szCs w:val="18"/>
              </w:rPr>
              <w:t>0</w:t>
            </w:r>
          </w:p>
        </w:tc>
        <w:tc>
          <w:tcPr>
            <w:tcW w:w="1320" w:type="dxa"/>
            <w:tcBorders>
              <w:top w:val="single" w:sz="4" w:space="0" w:color="808080"/>
              <w:left w:val="nil"/>
              <w:bottom w:val="single" w:sz="4" w:space="0" w:color="808080"/>
              <w:right w:val="single" w:sz="4" w:space="0" w:color="808080"/>
            </w:tcBorders>
            <w:vAlign w:val="center"/>
          </w:tcPr>
          <w:p w14:paraId="4A74DD68" w14:textId="77777777" w:rsidR="00416D67" w:rsidRPr="00416D67" w:rsidRDefault="00416D67" w:rsidP="00416D67">
            <w:pPr>
              <w:jc w:val="right"/>
              <w:rPr>
                <w:color w:val="000000"/>
                <w:sz w:val="18"/>
                <w:szCs w:val="18"/>
              </w:rPr>
            </w:pPr>
            <w:r w:rsidRPr="00416D67">
              <w:rPr>
                <w:color w:val="000000"/>
                <w:sz w:val="18"/>
                <w:szCs w:val="18"/>
              </w:rPr>
              <w:t>26.410,99</w:t>
            </w:r>
          </w:p>
        </w:tc>
      </w:tr>
      <w:tr w:rsidR="00416D67" w:rsidRPr="00416D67" w14:paraId="29E55FD8" w14:textId="77777777" w:rsidTr="00BB1392">
        <w:trPr>
          <w:trHeight w:val="525"/>
          <w:jc w:val="center"/>
        </w:trPr>
        <w:tc>
          <w:tcPr>
            <w:tcW w:w="1086" w:type="dxa"/>
            <w:tcBorders>
              <w:top w:val="nil"/>
              <w:left w:val="single" w:sz="4" w:space="0" w:color="808080"/>
              <w:bottom w:val="single" w:sz="4" w:space="0" w:color="808080"/>
              <w:right w:val="single" w:sz="4" w:space="0" w:color="808080"/>
            </w:tcBorders>
            <w:vAlign w:val="center"/>
          </w:tcPr>
          <w:p w14:paraId="4FFF795A" w14:textId="77777777" w:rsidR="00416D67" w:rsidRPr="00416D67" w:rsidRDefault="00416D67" w:rsidP="00416D67">
            <w:pPr>
              <w:jc w:val="center"/>
              <w:rPr>
                <w:color w:val="000000"/>
                <w:sz w:val="18"/>
                <w:szCs w:val="18"/>
              </w:rPr>
            </w:pPr>
            <w:r w:rsidRPr="00416D67">
              <w:rPr>
                <w:color w:val="000000"/>
                <w:sz w:val="18"/>
                <w:szCs w:val="18"/>
              </w:rPr>
              <w:t>991411</w:t>
            </w:r>
          </w:p>
        </w:tc>
        <w:tc>
          <w:tcPr>
            <w:tcW w:w="3921" w:type="dxa"/>
            <w:tcBorders>
              <w:top w:val="nil"/>
              <w:left w:val="single" w:sz="4" w:space="0" w:color="808080"/>
              <w:bottom w:val="single" w:sz="4" w:space="0" w:color="808080"/>
              <w:right w:val="single" w:sz="4" w:space="0" w:color="808080"/>
            </w:tcBorders>
            <w:vAlign w:val="bottom"/>
            <w:hideMark/>
          </w:tcPr>
          <w:p w14:paraId="16DF4C37" w14:textId="77777777" w:rsidR="00416D67" w:rsidRPr="00416D67" w:rsidRDefault="00416D67" w:rsidP="00416D67">
            <w:pPr>
              <w:rPr>
                <w:color w:val="000000"/>
                <w:sz w:val="18"/>
                <w:szCs w:val="18"/>
              </w:rPr>
            </w:pPr>
            <w:r w:rsidRPr="00416D67">
              <w:rPr>
                <w:color w:val="000000"/>
                <w:sz w:val="18"/>
                <w:szCs w:val="18"/>
              </w:rPr>
              <w:t>Istarska županija , sufinanciranje kreditne obveze za izgradnju i opremanje nove Opće bolnice u Puli</w:t>
            </w:r>
          </w:p>
        </w:tc>
        <w:tc>
          <w:tcPr>
            <w:tcW w:w="1440" w:type="dxa"/>
            <w:tcBorders>
              <w:top w:val="nil"/>
              <w:left w:val="nil"/>
              <w:bottom w:val="single" w:sz="4" w:space="0" w:color="808080"/>
              <w:right w:val="single" w:sz="4" w:space="0" w:color="808080"/>
            </w:tcBorders>
            <w:noWrap/>
            <w:vAlign w:val="center"/>
            <w:hideMark/>
          </w:tcPr>
          <w:p w14:paraId="0F7B85AB" w14:textId="77777777" w:rsidR="00416D67" w:rsidRPr="00416D67" w:rsidRDefault="00416D67" w:rsidP="00416D67">
            <w:pPr>
              <w:jc w:val="right"/>
              <w:rPr>
                <w:color w:val="000000"/>
                <w:sz w:val="18"/>
                <w:szCs w:val="18"/>
              </w:rPr>
            </w:pPr>
            <w:r w:rsidRPr="00416D67">
              <w:rPr>
                <w:color w:val="000000"/>
                <w:sz w:val="18"/>
                <w:szCs w:val="18"/>
              </w:rPr>
              <w:t>132.722,81</w:t>
            </w:r>
          </w:p>
        </w:tc>
        <w:tc>
          <w:tcPr>
            <w:tcW w:w="1320" w:type="dxa"/>
            <w:tcBorders>
              <w:top w:val="nil"/>
              <w:left w:val="nil"/>
              <w:bottom w:val="single" w:sz="4" w:space="0" w:color="808080"/>
              <w:right w:val="single" w:sz="4" w:space="0" w:color="808080"/>
            </w:tcBorders>
            <w:noWrap/>
            <w:vAlign w:val="center"/>
            <w:hideMark/>
          </w:tcPr>
          <w:p w14:paraId="10C3A0A1" w14:textId="77777777" w:rsidR="00416D67" w:rsidRPr="00416D67" w:rsidRDefault="00416D67" w:rsidP="00416D67">
            <w:pPr>
              <w:jc w:val="right"/>
              <w:rPr>
                <w:color w:val="000000"/>
                <w:sz w:val="18"/>
                <w:szCs w:val="18"/>
              </w:rPr>
            </w:pPr>
            <w:r w:rsidRPr="00416D67">
              <w:rPr>
                <w:color w:val="000000"/>
                <w:sz w:val="18"/>
                <w:szCs w:val="18"/>
              </w:rPr>
              <w:t>0</w:t>
            </w:r>
          </w:p>
        </w:tc>
        <w:tc>
          <w:tcPr>
            <w:tcW w:w="1160" w:type="dxa"/>
            <w:tcBorders>
              <w:top w:val="nil"/>
              <w:left w:val="nil"/>
              <w:bottom w:val="single" w:sz="4" w:space="0" w:color="808080"/>
              <w:right w:val="single" w:sz="4" w:space="0" w:color="808080"/>
            </w:tcBorders>
            <w:noWrap/>
            <w:vAlign w:val="center"/>
            <w:hideMark/>
          </w:tcPr>
          <w:p w14:paraId="3BF5FA1C" w14:textId="77777777" w:rsidR="00416D67" w:rsidRPr="00416D67" w:rsidRDefault="00416D67" w:rsidP="00416D67">
            <w:pPr>
              <w:jc w:val="right"/>
              <w:rPr>
                <w:color w:val="000000"/>
                <w:sz w:val="18"/>
                <w:szCs w:val="18"/>
              </w:rPr>
            </w:pPr>
            <w:r w:rsidRPr="00416D67">
              <w:rPr>
                <w:color w:val="000000"/>
                <w:sz w:val="18"/>
                <w:szCs w:val="18"/>
              </w:rPr>
              <w:t>0</w:t>
            </w:r>
          </w:p>
        </w:tc>
        <w:tc>
          <w:tcPr>
            <w:tcW w:w="1320" w:type="dxa"/>
            <w:tcBorders>
              <w:top w:val="nil"/>
              <w:left w:val="nil"/>
              <w:bottom w:val="single" w:sz="4" w:space="0" w:color="808080"/>
              <w:right w:val="single" w:sz="4" w:space="0" w:color="808080"/>
            </w:tcBorders>
            <w:noWrap/>
            <w:vAlign w:val="center"/>
            <w:hideMark/>
          </w:tcPr>
          <w:p w14:paraId="6688D1CC" w14:textId="77777777" w:rsidR="00416D67" w:rsidRPr="00416D67" w:rsidRDefault="00416D67" w:rsidP="00416D67">
            <w:pPr>
              <w:jc w:val="right"/>
              <w:rPr>
                <w:color w:val="000000"/>
                <w:sz w:val="18"/>
                <w:szCs w:val="18"/>
              </w:rPr>
            </w:pPr>
            <w:r w:rsidRPr="00416D67">
              <w:rPr>
                <w:color w:val="000000"/>
                <w:sz w:val="18"/>
                <w:szCs w:val="18"/>
              </w:rPr>
              <w:t>132.722,81</w:t>
            </w:r>
          </w:p>
        </w:tc>
      </w:tr>
      <w:tr w:rsidR="00416D67" w:rsidRPr="00416D67" w14:paraId="6E559B43" w14:textId="77777777" w:rsidTr="00BB1392">
        <w:trPr>
          <w:trHeight w:val="525"/>
          <w:jc w:val="center"/>
        </w:trPr>
        <w:tc>
          <w:tcPr>
            <w:tcW w:w="1086" w:type="dxa"/>
            <w:tcBorders>
              <w:top w:val="nil"/>
              <w:left w:val="single" w:sz="4" w:space="0" w:color="808080"/>
              <w:bottom w:val="single" w:sz="4" w:space="0" w:color="808080"/>
              <w:right w:val="single" w:sz="4" w:space="0" w:color="808080"/>
            </w:tcBorders>
            <w:vAlign w:val="center"/>
          </w:tcPr>
          <w:p w14:paraId="5F9AA80D" w14:textId="77777777" w:rsidR="00416D67" w:rsidRPr="00416D67" w:rsidRDefault="00416D67" w:rsidP="00416D67">
            <w:pPr>
              <w:jc w:val="center"/>
              <w:rPr>
                <w:color w:val="000000"/>
                <w:sz w:val="18"/>
                <w:szCs w:val="18"/>
              </w:rPr>
            </w:pPr>
            <w:r w:rsidRPr="00416D67">
              <w:rPr>
                <w:color w:val="000000"/>
                <w:sz w:val="18"/>
                <w:szCs w:val="18"/>
              </w:rPr>
              <w:t>991414</w:t>
            </w:r>
          </w:p>
        </w:tc>
        <w:tc>
          <w:tcPr>
            <w:tcW w:w="3921" w:type="dxa"/>
            <w:tcBorders>
              <w:top w:val="nil"/>
              <w:left w:val="single" w:sz="4" w:space="0" w:color="808080"/>
              <w:bottom w:val="single" w:sz="4" w:space="0" w:color="808080"/>
              <w:right w:val="single" w:sz="4" w:space="0" w:color="808080"/>
            </w:tcBorders>
            <w:vAlign w:val="bottom"/>
            <w:hideMark/>
          </w:tcPr>
          <w:p w14:paraId="4B2DD89C" w14:textId="77777777" w:rsidR="00416D67" w:rsidRPr="00416D67" w:rsidRDefault="00416D67" w:rsidP="00416D67">
            <w:pPr>
              <w:rPr>
                <w:color w:val="000000"/>
                <w:sz w:val="18"/>
                <w:szCs w:val="18"/>
              </w:rPr>
            </w:pPr>
            <w:proofErr w:type="spellStart"/>
            <w:r w:rsidRPr="00416D67">
              <w:rPr>
                <w:color w:val="000000"/>
                <w:sz w:val="18"/>
                <w:szCs w:val="18"/>
              </w:rPr>
              <w:t>Erste&amp;Steiermärkische</w:t>
            </w:r>
            <w:proofErr w:type="spellEnd"/>
            <w:r w:rsidRPr="00416D67">
              <w:rPr>
                <w:color w:val="000000"/>
                <w:sz w:val="18"/>
                <w:szCs w:val="18"/>
              </w:rPr>
              <w:t xml:space="preserve"> </w:t>
            </w:r>
            <w:proofErr w:type="spellStart"/>
            <w:r w:rsidRPr="00416D67">
              <w:rPr>
                <w:color w:val="000000"/>
                <w:sz w:val="18"/>
                <w:szCs w:val="18"/>
              </w:rPr>
              <w:t>bank</w:t>
            </w:r>
            <w:proofErr w:type="spellEnd"/>
            <w:r w:rsidRPr="00416D67">
              <w:rPr>
                <w:color w:val="000000"/>
                <w:sz w:val="18"/>
                <w:szCs w:val="18"/>
              </w:rPr>
              <w:t xml:space="preserve"> d.d., zaduženje uvećano za ugovorene kamate</w:t>
            </w:r>
          </w:p>
        </w:tc>
        <w:tc>
          <w:tcPr>
            <w:tcW w:w="1440" w:type="dxa"/>
            <w:tcBorders>
              <w:top w:val="nil"/>
              <w:left w:val="nil"/>
              <w:bottom w:val="single" w:sz="4" w:space="0" w:color="808080"/>
              <w:right w:val="single" w:sz="4" w:space="0" w:color="808080"/>
            </w:tcBorders>
            <w:noWrap/>
            <w:vAlign w:val="center"/>
            <w:hideMark/>
          </w:tcPr>
          <w:p w14:paraId="38DBA300" w14:textId="77777777" w:rsidR="00416D67" w:rsidRPr="00416D67" w:rsidRDefault="00416D67" w:rsidP="00416D67">
            <w:pPr>
              <w:jc w:val="right"/>
              <w:rPr>
                <w:color w:val="000000"/>
                <w:sz w:val="18"/>
                <w:szCs w:val="18"/>
              </w:rPr>
            </w:pPr>
            <w:r w:rsidRPr="00416D67">
              <w:rPr>
                <w:color w:val="000000"/>
                <w:sz w:val="18"/>
                <w:szCs w:val="18"/>
              </w:rPr>
              <w:t>1.118.127,02</w:t>
            </w:r>
          </w:p>
        </w:tc>
        <w:tc>
          <w:tcPr>
            <w:tcW w:w="1320" w:type="dxa"/>
            <w:tcBorders>
              <w:top w:val="nil"/>
              <w:left w:val="nil"/>
              <w:bottom w:val="single" w:sz="4" w:space="0" w:color="808080"/>
              <w:right w:val="single" w:sz="4" w:space="0" w:color="808080"/>
            </w:tcBorders>
            <w:noWrap/>
            <w:vAlign w:val="center"/>
            <w:hideMark/>
          </w:tcPr>
          <w:p w14:paraId="5D091808" w14:textId="77777777" w:rsidR="00416D67" w:rsidRPr="00416D67" w:rsidRDefault="00416D67" w:rsidP="00416D67">
            <w:pPr>
              <w:jc w:val="right"/>
              <w:rPr>
                <w:color w:val="000000"/>
                <w:sz w:val="18"/>
                <w:szCs w:val="18"/>
              </w:rPr>
            </w:pPr>
            <w:r w:rsidRPr="00416D67">
              <w:rPr>
                <w:color w:val="000000"/>
                <w:sz w:val="18"/>
                <w:szCs w:val="18"/>
              </w:rPr>
              <w:t>0</w:t>
            </w:r>
          </w:p>
        </w:tc>
        <w:tc>
          <w:tcPr>
            <w:tcW w:w="1160" w:type="dxa"/>
            <w:tcBorders>
              <w:top w:val="nil"/>
              <w:left w:val="nil"/>
              <w:bottom w:val="single" w:sz="4" w:space="0" w:color="808080"/>
              <w:right w:val="single" w:sz="4" w:space="0" w:color="808080"/>
            </w:tcBorders>
            <w:noWrap/>
            <w:vAlign w:val="center"/>
            <w:hideMark/>
          </w:tcPr>
          <w:p w14:paraId="40EBCD5D" w14:textId="77777777" w:rsidR="00416D67" w:rsidRPr="00416D67" w:rsidRDefault="00416D67" w:rsidP="00416D67">
            <w:pPr>
              <w:jc w:val="right"/>
              <w:rPr>
                <w:color w:val="000000"/>
                <w:sz w:val="18"/>
                <w:szCs w:val="18"/>
              </w:rPr>
            </w:pPr>
            <w:r w:rsidRPr="00416D67">
              <w:rPr>
                <w:color w:val="000000"/>
                <w:sz w:val="18"/>
                <w:szCs w:val="18"/>
              </w:rPr>
              <w:t>0</w:t>
            </w:r>
          </w:p>
        </w:tc>
        <w:tc>
          <w:tcPr>
            <w:tcW w:w="1320" w:type="dxa"/>
            <w:tcBorders>
              <w:top w:val="nil"/>
              <w:left w:val="nil"/>
              <w:bottom w:val="single" w:sz="4" w:space="0" w:color="808080"/>
              <w:right w:val="single" w:sz="4" w:space="0" w:color="808080"/>
            </w:tcBorders>
            <w:noWrap/>
            <w:vAlign w:val="center"/>
            <w:hideMark/>
          </w:tcPr>
          <w:p w14:paraId="31323630" w14:textId="77777777" w:rsidR="00416D67" w:rsidRPr="00416D67" w:rsidRDefault="00416D67" w:rsidP="00416D67">
            <w:pPr>
              <w:jc w:val="right"/>
              <w:rPr>
                <w:color w:val="000000"/>
                <w:sz w:val="18"/>
                <w:szCs w:val="18"/>
              </w:rPr>
            </w:pPr>
            <w:r w:rsidRPr="00416D67">
              <w:rPr>
                <w:color w:val="000000"/>
                <w:sz w:val="18"/>
                <w:szCs w:val="18"/>
              </w:rPr>
              <w:t>1.118.127,02</w:t>
            </w:r>
          </w:p>
        </w:tc>
      </w:tr>
      <w:tr w:rsidR="00416D67" w:rsidRPr="00416D67" w14:paraId="4CA6EB84" w14:textId="77777777" w:rsidTr="00BB1392">
        <w:trPr>
          <w:trHeight w:val="252"/>
          <w:jc w:val="center"/>
        </w:trPr>
        <w:tc>
          <w:tcPr>
            <w:tcW w:w="1086" w:type="dxa"/>
            <w:tcBorders>
              <w:top w:val="nil"/>
              <w:left w:val="single" w:sz="4" w:space="0" w:color="808080"/>
              <w:bottom w:val="single" w:sz="4" w:space="0" w:color="808080"/>
              <w:right w:val="single" w:sz="4" w:space="0" w:color="808080"/>
            </w:tcBorders>
            <w:vAlign w:val="center"/>
          </w:tcPr>
          <w:p w14:paraId="653252A6" w14:textId="77777777" w:rsidR="00416D67" w:rsidRPr="00416D67" w:rsidRDefault="00416D67" w:rsidP="00416D67">
            <w:pPr>
              <w:jc w:val="center"/>
              <w:rPr>
                <w:color w:val="000000"/>
                <w:sz w:val="18"/>
                <w:szCs w:val="18"/>
              </w:rPr>
            </w:pPr>
            <w:r w:rsidRPr="00416D67">
              <w:rPr>
                <w:color w:val="000000"/>
                <w:sz w:val="18"/>
                <w:szCs w:val="18"/>
              </w:rPr>
              <w:t>991415</w:t>
            </w:r>
          </w:p>
        </w:tc>
        <w:tc>
          <w:tcPr>
            <w:tcW w:w="3921" w:type="dxa"/>
            <w:tcBorders>
              <w:top w:val="nil"/>
              <w:left w:val="single" w:sz="4" w:space="0" w:color="808080"/>
              <w:bottom w:val="single" w:sz="4" w:space="0" w:color="808080"/>
              <w:right w:val="single" w:sz="4" w:space="0" w:color="808080"/>
            </w:tcBorders>
            <w:vAlign w:val="bottom"/>
          </w:tcPr>
          <w:p w14:paraId="56998724" w14:textId="77777777" w:rsidR="00416D67" w:rsidRPr="00416D67" w:rsidRDefault="00416D67" w:rsidP="00416D67">
            <w:pPr>
              <w:rPr>
                <w:color w:val="000000"/>
                <w:sz w:val="18"/>
                <w:szCs w:val="18"/>
              </w:rPr>
            </w:pPr>
            <w:r w:rsidRPr="00416D67">
              <w:rPr>
                <w:color w:val="000000"/>
                <w:sz w:val="18"/>
                <w:szCs w:val="18"/>
              </w:rPr>
              <w:t xml:space="preserve">Instrument plaćanja Agram leasing </w:t>
            </w:r>
            <w:proofErr w:type="spellStart"/>
            <w:r w:rsidRPr="00416D67">
              <w:rPr>
                <w:color w:val="000000"/>
                <w:sz w:val="18"/>
                <w:szCs w:val="18"/>
              </w:rPr>
              <w:t>doo</w:t>
            </w:r>
            <w:proofErr w:type="spellEnd"/>
          </w:p>
        </w:tc>
        <w:tc>
          <w:tcPr>
            <w:tcW w:w="1440" w:type="dxa"/>
            <w:tcBorders>
              <w:top w:val="nil"/>
              <w:left w:val="nil"/>
              <w:bottom w:val="single" w:sz="4" w:space="0" w:color="808080"/>
              <w:right w:val="single" w:sz="4" w:space="0" w:color="808080"/>
            </w:tcBorders>
            <w:noWrap/>
            <w:vAlign w:val="center"/>
          </w:tcPr>
          <w:p w14:paraId="5AE24BF0" w14:textId="77777777" w:rsidR="00416D67" w:rsidRPr="00416D67" w:rsidRDefault="00416D67" w:rsidP="00416D67">
            <w:pPr>
              <w:jc w:val="right"/>
              <w:rPr>
                <w:color w:val="000000"/>
                <w:sz w:val="18"/>
                <w:szCs w:val="18"/>
              </w:rPr>
            </w:pPr>
            <w:r w:rsidRPr="00416D67">
              <w:rPr>
                <w:color w:val="000000"/>
                <w:sz w:val="18"/>
                <w:szCs w:val="18"/>
              </w:rPr>
              <w:t>2.000,00</w:t>
            </w:r>
          </w:p>
        </w:tc>
        <w:tc>
          <w:tcPr>
            <w:tcW w:w="1320" w:type="dxa"/>
            <w:tcBorders>
              <w:top w:val="nil"/>
              <w:left w:val="nil"/>
              <w:bottom w:val="single" w:sz="4" w:space="0" w:color="808080"/>
              <w:right w:val="single" w:sz="4" w:space="0" w:color="808080"/>
            </w:tcBorders>
            <w:noWrap/>
            <w:vAlign w:val="center"/>
          </w:tcPr>
          <w:p w14:paraId="36882A8D" w14:textId="77777777" w:rsidR="00416D67" w:rsidRPr="00416D67" w:rsidRDefault="00416D67" w:rsidP="00416D67">
            <w:pPr>
              <w:jc w:val="right"/>
              <w:rPr>
                <w:color w:val="000000"/>
                <w:sz w:val="18"/>
                <w:szCs w:val="18"/>
              </w:rPr>
            </w:pPr>
            <w:r w:rsidRPr="00416D67">
              <w:rPr>
                <w:color w:val="000000"/>
                <w:sz w:val="18"/>
                <w:szCs w:val="18"/>
              </w:rPr>
              <w:t>0</w:t>
            </w:r>
          </w:p>
        </w:tc>
        <w:tc>
          <w:tcPr>
            <w:tcW w:w="1160" w:type="dxa"/>
            <w:tcBorders>
              <w:top w:val="nil"/>
              <w:left w:val="nil"/>
              <w:bottom w:val="single" w:sz="4" w:space="0" w:color="808080"/>
              <w:right w:val="single" w:sz="4" w:space="0" w:color="808080"/>
            </w:tcBorders>
            <w:noWrap/>
            <w:vAlign w:val="center"/>
          </w:tcPr>
          <w:p w14:paraId="20D54070" w14:textId="77777777" w:rsidR="00416D67" w:rsidRPr="00416D67" w:rsidRDefault="00416D67" w:rsidP="00416D67">
            <w:pPr>
              <w:jc w:val="right"/>
              <w:rPr>
                <w:color w:val="000000"/>
                <w:sz w:val="18"/>
                <w:szCs w:val="18"/>
              </w:rPr>
            </w:pPr>
            <w:r w:rsidRPr="00416D67">
              <w:rPr>
                <w:color w:val="000000"/>
                <w:sz w:val="18"/>
                <w:szCs w:val="18"/>
              </w:rPr>
              <w:t>0</w:t>
            </w:r>
          </w:p>
        </w:tc>
        <w:tc>
          <w:tcPr>
            <w:tcW w:w="1320" w:type="dxa"/>
            <w:tcBorders>
              <w:top w:val="nil"/>
              <w:left w:val="nil"/>
              <w:bottom w:val="single" w:sz="4" w:space="0" w:color="808080"/>
              <w:right w:val="single" w:sz="4" w:space="0" w:color="808080"/>
            </w:tcBorders>
            <w:noWrap/>
            <w:vAlign w:val="center"/>
          </w:tcPr>
          <w:p w14:paraId="3015BAAA" w14:textId="77777777" w:rsidR="00416D67" w:rsidRPr="00416D67" w:rsidRDefault="00416D67" w:rsidP="00416D67">
            <w:pPr>
              <w:jc w:val="right"/>
              <w:rPr>
                <w:color w:val="000000"/>
                <w:sz w:val="18"/>
                <w:szCs w:val="18"/>
              </w:rPr>
            </w:pPr>
            <w:r w:rsidRPr="00416D67">
              <w:rPr>
                <w:color w:val="000000"/>
                <w:sz w:val="18"/>
                <w:szCs w:val="18"/>
              </w:rPr>
              <w:t>2.000,00</w:t>
            </w:r>
          </w:p>
        </w:tc>
      </w:tr>
      <w:tr w:rsidR="00416D67" w:rsidRPr="00416D67" w14:paraId="1BD196E2" w14:textId="77777777" w:rsidTr="00BB1392">
        <w:trPr>
          <w:trHeight w:val="300"/>
          <w:jc w:val="center"/>
        </w:trPr>
        <w:tc>
          <w:tcPr>
            <w:tcW w:w="1086" w:type="dxa"/>
            <w:tcBorders>
              <w:top w:val="nil"/>
              <w:left w:val="single" w:sz="4" w:space="0" w:color="808080"/>
              <w:bottom w:val="single" w:sz="4" w:space="0" w:color="808080"/>
              <w:right w:val="single" w:sz="4" w:space="0" w:color="808080"/>
            </w:tcBorders>
            <w:vAlign w:val="center"/>
          </w:tcPr>
          <w:p w14:paraId="3AA6060A" w14:textId="77777777" w:rsidR="00416D67" w:rsidRPr="00416D67" w:rsidRDefault="00416D67" w:rsidP="00416D67">
            <w:pPr>
              <w:jc w:val="center"/>
              <w:rPr>
                <w:color w:val="000000"/>
                <w:sz w:val="18"/>
                <w:szCs w:val="18"/>
              </w:rPr>
            </w:pPr>
          </w:p>
        </w:tc>
        <w:tc>
          <w:tcPr>
            <w:tcW w:w="3921" w:type="dxa"/>
            <w:tcBorders>
              <w:top w:val="nil"/>
              <w:left w:val="single" w:sz="4" w:space="0" w:color="808080"/>
              <w:bottom w:val="single" w:sz="4" w:space="0" w:color="808080"/>
              <w:right w:val="single" w:sz="4" w:space="0" w:color="808080"/>
            </w:tcBorders>
            <w:vAlign w:val="bottom"/>
            <w:hideMark/>
          </w:tcPr>
          <w:p w14:paraId="0E42745E" w14:textId="77777777" w:rsidR="00416D67" w:rsidRPr="00416D67" w:rsidRDefault="00416D67" w:rsidP="00416D67">
            <w:pPr>
              <w:rPr>
                <w:color w:val="000000"/>
                <w:sz w:val="18"/>
                <w:szCs w:val="18"/>
              </w:rPr>
            </w:pPr>
            <w:r w:rsidRPr="00416D67">
              <w:rPr>
                <w:color w:val="000000"/>
                <w:sz w:val="18"/>
                <w:szCs w:val="18"/>
              </w:rPr>
              <w:t>UKUPNO</w:t>
            </w:r>
          </w:p>
        </w:tc>
        <w:tc>
          <w:tcPr>
            <w:tcW w:w="1440" w:type="dxa"/>
            <w:tcBorders>
              <w:top w:val="nil"/>
              <w:left w:val="nil"/>
              <w:bottom w:val="single" w:sz="4" w:space="0" w:color="808080"/>
              <w:right w:val="single" w:sz="4" w:space="0" w:color="808080"/>
            </w:tcBorders>
            <w:noWrap/>
            <w:vAlign w:val="center"/>
            <w:hideMark/>
          </w:tcPr>
          <w:p w14:paraId="2676FF9C" w14:textId="77777777" w:rsidR="00416D67" w:rsidRPr="00416D67" w:rsidRDefault="00416D67" w:rsidP="00416D67">
            <w:pPr>
              <w:jc w:val="right"/>
              <w:rPr>
                <w:color w:val="000000"/>
                <w:sz w:val="18"/>
                <w:szCs w:val="18"/>
              </w:rPr>
            </w:pPr>
            <w:r w:rsidRPr="00416D67">
              <w:rPr>
                <w:color w:val="000000"/>
                <w:sz w:val="18"/>
                <w:szCs w:val="18"/>
              </w:rPr>
              <w:fldChar w:fldCharType="begin"/>
            </w:r>
            <w:r w:rsidRPr="00416D67">
              <w:rPr>
                <w:color w:val="000000"/>
                <w:sz w:val="18"/>
                <w:szCs w:val="18"/>
              </w:rPr>
              <w:instrText xml:space="preserve"> =SUM(ABOVE) </w:instrText>
            </w:r>
            <w:r w:rsidRPr="00416D67">
              <w:rPr>
                <w:color w:val="000000"/>
                <w:sz w:val="18"/>
                <w:szCs w:val="18"/>
              </w:rPr>
              <w:fldChar w:fldCharType="separate"/>
            </w:r>
            <w:r w:rsidRPr="00416D67">
              <w:rPr>
                <w:noProof/>
                <w:color w:val="000000"/>
                <w:sz w:val="18"/>
                <w:szCs w:val="18"/>
              </w:rPr>
              <w:t>1.279.260,82</w:t>
            </w:r>
            <w:r w:rsidRPr="00416D67">
              <w:rPr>
                <w:color w:val="000000"/>
                <w:sz w:val="18"/>
                <w:szCs w:val="18"/>
              </w:rPr>
              <w:fldChar w:fldCharType="end"/>
            </w:r>
          </w:p>
        </w:tc>
        <w:tc>
          <w:tcPr>
            <w:tcW w:w="1320" w:type="dxa"/>
            <w:tcBorders>
              <w:top w:val="nil"/>
              <w:left w:val="nil"/>
              <w:bottom w:val="single" w:sz="4" w:space="0" w:color="808080"/>
              <w:right w:val="single" w:sz="4" w:space="0" w:color="808080"/>
            </w:tcBorders>
            <w:noWrap/>
            <w:vAlign w:val="center"/>
            <w:hideMark/>
          </w:tcPr>
          <w:p w14:paraId="3E38C5C2" w14:textId="77777777" w:rsidR="00416D67" w:rsidRPr="00416D67" w:rsidRDefault="00416D67" w:rsidP="00416D67">
            <w:pPr>
              <w:jc w:val="right"/>
              <w:rPr>
                <w:sz w:val="18"/>
                <w:szCs w:val="18"/>
              </w:rPr>
            </w:pPr>
            <w:r w:rsidRPr="00416D67">
              <w:rPr>
                <w:sz w:val="18"/>
                <w:szCs w:val="18"/>
              </w:rPr>
              <w:t>0</w:t>
            </w:r>
          </w:p>
        </w:tc>
        <w:tc>
          <w:tcPr>
            <w:tcW w:w="1160" w:type="dxa"/>
            <w:tcBorders>
              <w:top w:val="nil"/>
              <w:left w:val="nil"/>
              <w:bottom w:val="single" w:sz="4" w:space="0" w:color="808080"/>
              <w:right w:val="single" w:sz="4" w:space="0" w:color="808080"/>
            </w:tcBorders>
            <w:noWrap/>
            <w:vAlign w:val="center"/>
            <w:hideMark/>
          </w:tcPr>
          <w:p w14:paraId="23078543" w14:textId="77777777" w:rsidR="00416D67" w:rsidRPr="00416D67" w:rsidRDefault="00416D67" w:rsidP="00416D67">
            <w:pPr>
              <w:jc w:val="right"/>
              <w:rPr>
                <w:sz w:val="18"/>
                <w:szCs w:val="18"/>
              </w:rPr>
            </w:pPr>
            <w:r w:rsidRPr="00416D67">
              <w:rPr>
                <w:sz w:val="18"/>
                <w:szCs w:val="18"/>
              </w:rPr>
              <w:t>0 </w:t>
            </w:r>
          </w:p>
        </w:tc>
        <w:tc>
          <w:tcPr>
            <w:tcW w:w="1320" w:type="dxa"/>
            <w:tcBorders>
              <w:top w:val="nil"/>
              <w:left w:val="nil"/>
              <w:bottom w:val="single" w:sz="4" w:space="0" w:color="808080"/>
              <w:right w:val="single" w:sz="4" w:space="0" w:color="808080"/>
            </w:tcBorders>
            <w:noWrap/>
            <w:vAlign w:val="center"/>
            <w:hideMark/>
          </w:tcPr>
          <w:p w14:paraId="72901063" w14:textId="77777777" w:rsidR="00416D67" w:rsidRPr="00416D67" w:rsidRDefault="00416D67" w:rsidP="00416D67">
            <w:pPr>
              <w:jc w:val="right"/>
              <w:rPr>
                <w:color w:val="000000"/>
                <w:sz w:val="18"/>
                <w:szCs w:val="18"/>
              </w:rPr>
            </w:pPr>
            <w:r w:rsidRPr="00416D67">
              <w:rPr>
                <w:color w:val="000000"/>
                <w:sz w:val="18"/>
                <w:szCs w:val="18"/>
              </w:rPr>
              <w:fldChar w:fldCharType="begin"/>
            </w:r>
            <w:r w:rsidRPr="00416D67">
              <w:rPr>
                <w:color w:val="000000"/>
                <w:sz w:val="18"/>
                <w:szCs w:val="18"/>
              </w:rPr>
              <w:instrText xml:space="preserve"> =SUM(ABOVE) </w:instrText>
            </w:r>
            <w:r w:rsidRPr="00416D67">
              <w:rPr>
                <w:color w:val="000000"/>
                <w:sz w:val="18"/>
                <w:szCs w:val="18"/>
              </w:rPr>
              <w:fldChar w:fldCharType="separate"/>
            </w:r>
            <w:r w:rsidRPr="00416D67">
              <w:rPr>
                <w:noProof/>
                <w:color w:val="000000"/>
                <w:sz w:val="18"/>
                <w:szCs w:val="18"/>
              </w:rPr>
              <w:t>1.279.260,82</w:t>
            </w:r>
            <w:r w:rsidRPr="00416D67">
              <w:rPr>
                <w:color w:val="000000"/>
                <w:sz w:val="18"/>
                <w:szCs w:val="18"/>
              </w:rPr>
              <w:fldChar w:fldCharType="end"/>
            </w:r>
            <w:r w:rsidRPr="00416D67">
              <w:rPr>
                <w:color w:val="000000"/>
                <w:sz w:val="18"/>
                <w:szCs w:val="18"/>
              </w:rPr>
              <w:fldChar w:fldCharType="begin"/>
            </w:r>
            <w:r w:rsidRPr="00416D67">
              <w:rPr>
                <w:color w:val="000000"/>
                <w:sz w:val="18"/>
                <w:szCs w:val="18"/>
              </w:rPr>
              <w:instrText xml:space="preserve"> =SUM(ABOVE) </w:instrText>
            </w:r>
            <w:r w:rsidRPr="00416D67">
              <w:rPr>
                <w:color w:val="000000"/>
                <w:sz w:val="18"/>
                <w:szCs w:val="18"/>
              </w:rPr>
              <w:fldChar w:fldCharType="separate"/>
            </w:r>
            <w:r w:rsidRPr="00416D67">
              <w:rPr>
                <w:noProof/>
                <w:color w:val="000000"/>
                <w:sz w:val="18"/>
                <w:szCs w:val="18"/>
              </w:rPr>
              <w:t xml:space="preserve">  </w:t>
            </w:r>
            <w:r w:rsidRPr="00416D67">
              <w:rPr>
                <w:color w:val="000000"/>
                <w:sz w:val="18"/>
                <w:szCs w:val="18"/>
              </w:rPr>
              <w:fldChar w:fldCharType="end"/>
            </w:r>
          </w:p>
        </w:tc>
      </w:tr>
    </w:tbl>
    <w:p w14:paraId="52962BC0" w14:textId="77777777" w:rsidR="00416D67" w:rsidRPr="00416D67" w:rsidRDefault="00416D67" w:rsidP="00416D67">
      <w:pPr>
        <w:spacing w:line="260" w:lineRule="exact"/>
        <w:rPr>
          <w:b/>
          <w:spacing w:val="1"/>
          <w:position w:val="-1"/>
        </w:rPr>
      </w:pPr>
    </w:p>
    <w:p w14:paraId="661941CF" w14:textId="77777777" w:rsidR="00416D67" w:rsidRPr="00416D67" w:rsidRDefault="00416D67" w:rsidP="00416D67">
      <w:pPr>
        <w:tabs>
          <w:tab w:val="left" w:pos="6735"/>
        </w:tabs>
        <w:rPr>
          <w:b/>
          <w:bCs/>
        </w:rPr>
      </w:pPr>
    </w:p>
    <w:p w14:paraId="71FE92F7" w14:textId="77777777" w:rsidR="00416D67" w:rsidRPr="00416D67" w:rsidRDefault="00416D67" w:rsidP="00416D67">
      <w:pPr>
        <w:rPr>
          <w:b/>
          <w:bCs/>
        </w:rPr>
      </w:pPr>
      <w:r w:rsidRPr="00416D67">
        <w:rPr>
          <w:b/>
          <w:bCs/>
        </w:rPr>
        <w:t xml:space="preserve">PRILOG IV </w:t>
      </w:r>
    </w:p>
    <w:p w14:paraId="4E58F5BB" w14:textId="77777777" w:rsidR="00416D67" w:rsidRPr="00416D67" w:rsidRDefault="00416D67" w:rsidP="00416D67">
      <w:pPr>
        <w:rPr>
          <w:b/>
        </w:rPr>
      </w:pPr>
    </w:p>
    <w:p w14:paraId="45D7E545" w14:textId="77777777" w:rsidR="00416D67" w:rsidRPr="00416D67" w:rsidRDefault="00416D67" w:rsidP="00416D67">
      <w:pPr>
        <w:rPr>
          <w:b/>
        </w:rPr>
      </w:pPr>
      <w:r w:rsidRPr="00416D67">
        <w:rPr>
          <w:b/>
        </w:rPr>
        <w:t xml:space="preserve">OBRAZLOŽENJE OSTVARENJA PRIHODA I PRIMITAKA TE RASHODA I IZDATAKA PRORAČUNA </w:t>
      </w:r>
    </w:p>
    <w:p w14:paraId="068355D9" w14:textId="77777777" w:rsidR="00416D67" w:rsidRPr="00416D67" w:rsidRDefault="00416D67" w:rsidP="00416D67">
      <w:pPr>
        <w:rPr>
          <w:b/>
        </w:rPr>
      </w:pPr>
    </w:p>
    <w:p w14:paraId="778107C6" w14:textId="77777777" w:rsidR="00416D67" w:rsidRPr="00416D67" w:rsidRDefault="00416D67" w:rsidP="00416D67">
      <w:r w:rsidRPr="00416D67">
        <w:rPr>
          <w:b/>
        </w:rPr>
        <w:t>1.UVODNI DIO</w:t>
      </w:r>
      <w:r w:rsidRPr="00416D67">
        <w:t xml:space="preserve">      </w:t>
      </w:r>
    </w:p>
    <w:p w14:paraId="2C141BA3" w14:textId="77777777" w:rsidR="00416D67" w:rsidRPr="00416D67" w:rsidRDefault="00416D67" w:rsidP="00416D67">
      <w:pPr>
        <w:ind w:left="708"/>
        <w:rPr>
          <w:b/>
        </w:rPr>
      </w:pPr>
      <w:r w:rsidRPr="00416D67">
        <w:t xml:space="preserve">      </w:t>
      </w:r>
    </w:p>
    <w:p w14:paraId="1A74F47D" w14:textId="77777777" w:rsidR="00416D67" w:rsidRPr="00416D67" w:rsidRDefault="00416D67" w:rsidP="00416D67">
      <w:pPr>
        <w:ind w:right="73"/>
        <w:jc w:val="both"/>
        <w:rPr>
          <w:spacing w:val="1"/>
        </w:rPr>
      </w:pPr>
      <w:r w:rsidRPr="00416D67">
        <w:rPr>
          <w:spacing w:val="1"/>
        </w:rPr>
        <w:t xml:space="preserve">          Proračun Općine Marčana za 2025. godinu donijet je 23. prosinca 2024. godine, a izmijenjen 19. studenog 2025. godine (I Izmjene i dopune), s time da je Načelnik Općine  Marčana,  sukladno  svojim  ovlaštenjima  iz  Odluke  o  izvršavanju  Proračuna  Općine Marčana za 2025. godinu, odlučivao o preraspodijeli pojedinih rashodovnih pozicija u veljači 2025., lipnju 2025., rujnu 2025., te u  siječnju 2026. godine. </w:t>
      </w:r>
    </w:p>
    <w:p w14:paraId="13D422B3" w14:textId="77777777" w:rsidR="00416D67" w:rsidRPr="00416D67" w:rsidRDefault="00416D67" w:rsidP="00416D67">
      <w:pPr>
        <w:ind w:left="118" w:right="73" w:firstLine="540"/>
        <w:jc w:val="both"/>
      </w:pPr>
      <w:r w:rsidRPr="00416D67">
        <w:rPr>
          <w:spacing w:val="1"/>
        </w:rPr>
        <w:t>P</w:t>
      </w:r>
      <w:r w:rsidRPr="00416D67">
        <w:rPr>
          <w:spacing w:val="-1"/>
        </w:rPr>
        <w:t>r</w:t>
      </w:r>
      <w:r w:rsidRPr="00416D67">
        <w:t>ov</w:t>
      </w:r>
      <w:r w:rsidRPr="00416D67">
        <w:rPr>
          <w:spacing w:val="-1"/>
        </w:rPr>
        <w:t>e</w:t>
      </w:r>
      <w:r w:rsidRPr="00416D67">
        <w:t>dba p</w:t>
      </w:r>
      <w:r w:rsidRPr="00416D67">
        <w:rPr>
          <w:spacing w:val="-1"/>
        </w:rPr>
        <w:t>r</w:t>
      </w:r>
      <w:r w:rsidRPr="00416D67">
        <w:t>o</w:t>
      </w:r>
      <w:r w:rsidRPr="00416D67">
        <w:rPr>
          <w:spacing w:val="2"/>
        </w:rPr>
        <w:t>r</w:t>
      </w:r>
      <w:r w:rsidRPr="00416D67">
        <w:rPr>
          <w:spacing w:val="-1"/>
        </w:rPr>
        <w:t>ač</w:t>
      </w:r>
      <w:r w:rsidRPr="00416D67">
        <w:t>u</w:t>
      </w:r>
      <w:r w:rsidRPr="00416D67">
        <w:rPr>
          <w:spacing w:val="2"/>
        </w:rPr>
        <w:t>n</w:t>
      </w:r>
      <w:r w:rsidRPr="00416D67">
        <w:t>a</w:t>
      </w:r>
      <w:r w:rsidRPr="00416D67">
        <w:rPr>
          <w:spacing w:val="1"/>
        </w:rPr>
        <w:t xml:space="preserve"> </w:t>
      </w:r>
      <w:r w:rsidRPr="00416D67">
        <w:rPr>
          <w:spacing w:val="-1"/>
        </w:rPr>
        <w:t>c</w:t>
      </w:r>
      <w:r w:rsidRPr="00416D67">
        <w:rPr>
          <w:spacing w:val="1"/>
        </w:rPr>
        <w:t>ij</w:t>
      </w:r>
      <w:r w:rsidRPr="00416D67">
        <w:rPr>
          <w:spacing w:val="-1"/>
        </w:rPr>
        <w:t>e</w:t>
      </w:r>
      <w:r w:rsidRPr="00416D67">
        <w:rPr>
          <w:spacing w:val="1"/>
        </w:rPr>
        <w:t>l</w:t>
      </w:r>
      <w:r w:rsidRPr="00416D67">
        <w:t>o</w:t>
      </w:r>
      <w:r w:rsidRPr="00416D67">
        <w:rPr>
          <w:spacing w:val="7"/>
        </w:rPr>
        <w:t xml:space="preserve"> </w:t>
      </w:r>
      <w:r w:rsidRPr="00416D67">
        <w:rPr>
          <w:spacing w:val="1"/>
        </w:rPr>
        <w:t>j</w:t>
      </w:r>
      <w:r w:rsidRPr="00416D67">
        <w:t>e</w:t>
      </w:r>
      <w:r w:rsidRPr="00416D67">
        <w:rPr>
          <w:spacing w:val="7"/>
        </w:rPr>
        <w:t xml:space="preserve"> </w:t>
      </w:r>
      <w:r w:rsidRPr="00416D67">
        <w:t>v</w:t>
      </w:r>
      <w:r w:rsidRPr="00416D67">
        <w:rPr>
          <w:spacing w:val="-1"/>
        </w:rPr>
        <w:t>r</w:t>
      </w:r>
      <w:r w:rsidRPr="00416D67">
        <w:rPr>
          <w:spacing w:val="1"/>
        </w:rPr>
        <w:t>ij</w:t>
      </w:r>
      <w:r w:rsidRPr="00416D67">
        <w:rPr>
          <w:spacing w:val="-1"/>
        </w:rPr>
        <w:t>e</w:t>
      </w:r>
      <w:r w:rsidRPr="00416D67">
        <w:rPr>
          <w:spacing w:val="1"/>
        </w:rPr>
        <w:t>m</w:t>
      </w:r>
      <w:r w:rsidRPr="00416D67">
        <w:t>e</w:t>
      </w:r>
      <w:r w:rsidRPr="00416D67">
        <w:rPr>
          <w:spacing w:val="5"/>
        </w:rPr>
        <w:t xml:space="preserve"> </w:t>
      </w:r>
      <w:r w:rsidRPr="00416D67">
        <w:t>b</w:t>
      </w:r>
      <w:r w:rsidRPr="00416D67">
        <w:rPr>
          <w:spacing w:val="1"/>
        </w:rPr>
        <w:t>il</w:t>
      </w:r>
      <w:r w:rsidRPr="00416D67">
        <w:t>a</w:t>
      </w:r>
      <w:r w:rsidRPr="00416D67">
        <w:rPr>
          <w:spacing w:val="9"/>
        </w:rPr>
        <w:t xml:space="preserve"> </w:t>
      </w:r>
      <w:r w:rsidRPr="00416D67">
        <w:t>usk</w:t>
      </w:r>
      <w:r w:rsidRPr="00416D67">
        <w:rPr>
          <w:spacing w:val="1"/>
        </w:rPr>
        <w:t>l</w:t>
      </w:r>
      <w:r w:rsidRPr="00416D67">
        <w:rPr>
          <w:spacing w:val="-1"/>
        </w:rPr>
        <w:t>a</w:t>
      </w:r>
      <w:r w:rsidRPr="00416D67">
        <w:t>đ</w:t>
      </w:r>
      <w:r w:rsidRPr="00416D67">
        <w:rPr>
          <w:spacing w:val="-1"/>
        </w:rPr>
        <w:t>e</w:t>
      </w:r>
      <w:r w:rsidRPr="00416D67">
        <w:t>na</w:t>
      </w:r>
      <w:r w:rsidRPr="00416D67">
        <w:rPr>
          <w:spacing w:val="1"/>
        </w:rPr>
        <w:t xml:space="preserve"> </w:t>
      </w:r>
      <w:r w:rsidRPr="00416D67">
        <w:t>s</w:t>
      </w:r>
      <w:r w:rsidRPr="00416D67">
        <w:rPr>
          <w:spacing w:val="7"/>
        </w:rPr>
        <w:t xml:space="preserve"> </w:t>
      </w:r>
      <w:r w:rsidRPr="00416D67">
        <w:t>os</w:t>
      </w:r>
      <w:r w:rsidRPr="00416D67">
        <w:rPr>
          <w:spacing w:val="1"/>
        </w:rPr>
        <w:t>t</w:t>
      </w:r>
      <w:r w:rsidRPr="00416D67">
        <w:t>v</w:t>
      </w:r>
      <w:r w:rsidRPr="00416D67">
        <w:rPr>
          <w:spacing w:val="-1"/>
        </w:rPr>
        <w:t>are</w:t>
      </w:r>
      <w:r w:rsidRPr="00416D67">
        <w:t>n</w:t>
      </w:r>
      <w:r w:rsidRPr="00416D67">
        <w:rPr>
          <w:spacing w:val="3"/>
        </w:rPr>
        <w:t>j</w:t>
      </w:r>
      <w:r w:rsidRPr="00416D67">
        <w:rPr>
          <w:spacing w:val="2"/>
        </w:rPr>
        <w:t>e</w:t>
      </w:r>
      <w:r w:rsidRPr="00416D67">
        <w:t>m</w:t>
      </w:r>
      <w:r w:rsidRPr="00416D67">
        <w:rPr>
          <w:spacing w:val="4"/>
        </w:rPr>
        <w:t xml:space="preserve"> </w:t>
      </w:r>
      <w:r w:rsidRPr="00416D67">
        <w:t>p</w:t>
      </w:r>
      <w:r w:rsidRPr="00416D67">
        <w:rPr>
          <w:spacing w:val="-1"/>
        </w:rPr>
        <w:t>r</w:t>
      </w:r>
      <w:r w:rsidRPr="00416D67">
        <w:rPr>
          <w:spacing w:val="1"/>
        </w:rPr>
        <w:t>i</w:t>
      </w:r>
      <w:r w:rsidRPr="00416D67">
        <w:t>hod</w:t>
      </w:r>
      <w:r w:rsidRPr="00416D67">
        <w:rPr>
          <w:spacing w:val="-1"/>
        </w:rPr>
        <w:t>a</w:t>
      </w:r>
      <w:r w:rsidRPr="00416D67">
        <w:t>,</w:t>
      </w:r>
      <w:r w:rsidRPr="00416D67">
        <w:rPr>
          <w:spacing w:val="2"/>
        </w:rPr>
        <w:t xml:space="preserve"> </w:t>
      </w:r>
      <w:r w:rsidRPr="00416D67">
        <w:rPr>
          <w:spacing w:val="1"/>
        </w:rPr>
        <w:t>t</w:t>
      </w:r>
      <w:r w:rsidRPr="00416D67">
        <w:rPr>
          <w:spacing w:val="-1"/>
        </w:rPr>
        <w:t>a</w:t>
      </w:r>
      <w:r w:rsidRPr="00416D67">
        <w:t>ko</w:t>
      </w:r>
      <w:r w:rsidRPr="00416D67">
        <w:rPr>
          <w:spacing w:val="6"/>
        </w:rPr>
        <w:t xml:space="preserve"> </w:t>
      </w:r>
      <w:r w:rsidRPr="00416D67">
        <w:t>da</w:t>
      </w:r>
      <w:r w:rsidRPr="00416D67">
        <w:rPr>
          <w:spacing w:val="6"/>
        </w:rPr>
        <w:t xml:space="preserve"> </w:t>
      </w:r>
      <w:r w:rsidRPr="00416D67">
        <w:t>n</w:t>
      </w:r>
      <w:r w:rsidRPr="00416D67">
        <w:rPr>
          <w:spacing w:val="1"/>
        </w:rPr>
        <w:t>it</w:t>
      </w:r>
      <w:r w:rsidRPr="00416D67">
        <w:t xml:space="preserve">i </w:t>
      </w:r>
      <w:r w:rsidRPr="00416D67">
        <w:rPr>
          <w:spacing w:val="1"/>
        </w:rPr>
        <w:t>j</w:t>
      </w:r>
      <w:r w:rsidRPr="00416D67">
        <w:rPr>
          <w:spacing w:val="-1"/>
        </w:rPr>
        <w:t>e</w:t>
      </w:r>
      <w:r w:rsidRPr="00416D67">
        <w:t>dnom</w:t>
      </w:r>
      <w:r w:rsidRPr="00416D67">
        <w:rPr>
          <w:spacing w:val="8"/>
        </w:rPr>
        <w:t xml:space="preserve"> </w:t>
      </w:r>
      <w:r w:rsidRPr="00416D67">
        <w:t>n</w:t>
      </w:r>
      <w:r w:rsidRPr="00416D67">
        <w:rPr>
          <w:spacing w:val="1"/>
        </w:rPr>
        <w:t>i</w:t>
      </w:r>
      <w:r w:rsidRPr="00416D67">
        <w:t>su</w:t>
      </w:r>
      <w:r w:rsidRPr="00416D67">
        <w:rPr>
          <w:spacing w:val="7"/>
        </w:rPr>
        <w:t xml:space="preserve"> </w:t>
      </w:r>
      <w:r w:rsidRPr="00416D67">
        <w:t>b</w:t>
      </w:r>
      <w:r w:rsidRPr="00416D67">
        <w:rPr>
          <w:spacing w:val="1"/>
        </w:rPr>
        <w:t>il</w:t>
      </w:r>
      <w:r w:rsidRPr="00416D67">
        <w:t>i   dov</w:t>
      </w:r>
      <w:r w:rsidRPr="00416D67">
        <w:rPr>
          <w:spacing w:val="-1"/>
        </w:rPr>
        <w:t>e</w:t>
      </w:r>
      <w:r w:rsidRPr="00416D67">
        <w:t>d</w:t>
      </w:r>
      <w:r w:rsidRPr="00416D67">
        <w:rPr>
          <w:spacing w:val="-1"/>
        </w:rPr>
        <w:t>e</w:t>
      </w:r>
      <w:r w:rsidRPr="00416D67">
        <w:t>ni</w:t>
      </w:r>
      <w:r w:rsidRPr="00416D67">
        <w:rPr>
          <w:spacing w:val="5"/>
        </w:rPr>
        <w:t xml:space="preserve"> </w:t>
      </w:r>
      <w:r w:rsidRPr="00416D67">
        <w:t>u</w:t>
      </w:r>
      <w:r w:rsidRPr="00416D67">
        <w:rPr>
          <w:spacing w:val="9"/>
        </w:rPr>
        <w:t xml:space="preserve"> </w:t>
      </w:r>
      <w:r w:rsidRPr="00416D67">
        <w:t>p</w:t>
      </w:r>
      <w:r w:rsidRPr="00416D67">
        <w:rPr>
          <w:spacing w:val="1"/>
        </w:rPr>
        <w:t>it</w:t>
      </w:r>
      <w:r w:rsidRPr="00416D67">
        <w:rPr>
          <w:spacing w:val="-1"/>
        </w:rPr>
        <w:t>a</w:t>
      </w:r>
      <w:r w:rsidRPr="00416D67">
        <w:t>n</w:t>
      </w:r>
      <w:r w:rsidRPr="00416D67">
        <w:rPr>
          <w:spacing w:val="1"/>
        </w:rPr>
        <w:t>j</w:t>
      </w:r>
      <w:r w:rsidRPr="00416D67">
        <w:t>e</w:t>
      </w:r>
      <w:r w:rsidRPr="00416D67">
        <w:rPr>
          <w:spacing w:val="8"/>
        </w:rPr>
        <w:t xml:space="preserve"> </w:t>
      </w:r>
      <w:r w:rsidRPr="00416D67">
        <w:rPr>
          <w:spacing w:val="1"/>
        </w:rPr>
        <w:t>li</w:t>
      </w:r>
      <w:r w:rsidRPr="00416D67">
        <w:t>kv</w:t>
      </w:r>
      <w:r w:rsidRPr="00416D67">
        <w:rPr>
          <w:spacing w:val="1"/>
        </w:rPr>
        <w:t>i</w:t>
      </w:r>
      <w:r w:rsidRPr="00416D67">
        <w:t>dnost</w:t>
      </w:r>
      <w:r w:rsidRPr="00416D67">
        <w:rPr>
          <w:spacing w:val="4"/>
        </w:rPr>
        <w:t xml:space="preserve"> </w:t>
      </w:r>
      <w:r w:rsidRPr="00416D67">
        <w:t>Op</w:t>
      </w:r>
      <w:r w:rsidRPr="00416D67">
        <w:rPr>
          <w:spacing w:val="-1"/>
        </w:rPr>
        <w:t>ć</w:t>
      </w:r>
      <w:r w:rsidRPr="00416D67">
        <w:rPr>
          <w:spacing w:val="1"/>
        </w:rPr>
        <w:t>i</w:t>
      </w:r>
      <w:r w:rsidRPr="00416D67">
        <w:t>ne</w:t>
      </w:r>
      <w:r w:rsidRPr="00416D67">
        <w:rPr>
          <w:spacing w:val="6"/>
        </w:rPr>
        <w:t xml:space="preserve"> </w:t>
      </w:r>
      <w:r w:rsidRPr="00416D67">
        <w:t>M</w:t>
      </w:r>
      <w:r w:rsidRPr="00416D67">
        <w:rPr>
          <w:spacing w:val="-1"/>
        </w:rPr>
        <w:t>a</w:t>
      </w:r>
      <w:r w:rsidRPr="00416D67">
        <w:rPr>
          <w:spacing w:val="2"/>
        </w:rPr>
        <w:t>r</w:t>
      </w:r>
      <w:r w:rsidRPr="00416D67">
        <w:rPr>
          <w:spacing w:val="-1"/>
        </w:rPr>
        <w:t>ča</w:t>
      </w:r>
      <w:r w:rsidRPr="00416D67">
        <w:t>na</w:t>
      </w:r>
      <w:r w:rsidRPr="00416D67">
        <w:rPr>
          <w:spacing w:val="6"/>
        </w:rPr>
        <w:t xml:space="preserve"> </w:t>
      </w:r>
      <w:r w:rsidRPr="00416D67">
        <w:t>i</w:t>
      </w:r>
      <w:r w:rsidRPr="00416D67">
        <w:rPr>
          <w:spacing w:val="11"/>
        </w:rPr>
        <w:t xml:space="preserve"> </w:t>
      </w:r>
      <w:r w:rsidRPr="00416D67">
        <w:rPr>
          <w:spacing w:val="2"/>
        </w:rPr>
        <w:t>p</w:t>
      </w:r>
      <w:r w:rsidRPr="00416D67">
        <w:rPr>
          <w:spacing w:val="-1"/>
        </w:rPr>
        <w:t>r</w:t>
      </w:r>
      <w:r w:rsidRPr="00416D67">
        <w:rPr>
          <w:spacing w:val="2"/>
        </w:rPr>
        <w:t>a</w:t>
      </w:r>
      <w:r w:rsidRPr="00416D67">
        <w:t>vodobnost pod</w:t>
      </w:r>
      <w:r w:rsidRPr="00416D67">
        <w:rPr>
          <w:spacing w:val="1"/>
        </w:rPr>
        <w:t>mi</w:t>
      </w:r>
      <w:r w:rsidRPr="00416D67">
        <w:rPr>
          <w:spacing w:val="-1"/>
        </w:rPr>
        <w:t>r</w:t>
      </w:r>
      <w:r w:rsidRPr="00416D67">
        <w:rPr>
          <w:spacing w:val="1"/>
        </w:rPr>
        <w:t>i</w:t>
      </w:r>
      <w:r w:rsidRPr="00416D67">
        <w:t>v</w:t>
      </w:r>
      <w:r w:rsidRPr="00416D67">
        <w:rPr>
          <w:spacing w:val="-1"/>
        </w:rPr>
        <w:t>a</w:t>
      </w:r>
      <w:r w:rsidRPr="00416D67">
        <w:t>n</w:t>
      </w:r>
      <w:r w:rsidRPr="00416D67">
        <w:rPr>
          <w:spacing w:val="1"/>
        </w:rPr>
        <w:t>j</w:t>
      </w:r>
      <w:r w:rsidRPr="00416D67">
        <w:t>a p</w:t>
      </w:r>
      <w:r w:rsidRPr="00416D67">
        <w:rPr>
          <w:spacing w:val="-1"/>
        </w:rPr>
        <w:t>re</w:t>
      </w:r>
      <w:r w:rsidRPr="00416D67">
        <w:t>u</w:t>
      </w:r>
      <w:r w:rsidRPr="00416D67">
        <w:rPr>
          <w:spacing w:val="2"/>
        </w:rPr>
        <w:t>z</w:t>
      </w:r>
      <w:r w:rsidRPr="00416D67">
        <w:rPr>
          <w:spacing w:val="-1"/>
        </w:rPr>
        <w:t>e</w:t>
      </w:r>
      <w:r w:rsidRPr="00416D67">
        <w:rPr>
          <w:spacing w:val="1"/>
        </w:rPr>
        <w:t>ti</w:t>
      </w:r>
      <w:r w:rsidRPr="00416D67">
        <w:t>h</w:t>
      </w:r>
      <w:r w:rsidRPr="00416D67">
        <w:rPr>
          <w:spacing w:val="-4"/>
        </w:rPr>
        <w:t xml:space="preserve"> </w:t>
      </w:r>
      <w:r w:rsidRPr="00416D67">
        <w:t>obv</w:t>
      </w:r>
      <w:r w:rsidRPr="00416D67">
        <w:rPr>
          <w:spacing w:val="-1"/>
        </w:rPr>
        <w:t>e</w:t>
      </w:r>
      <w:r w:rsidRPr="00416D67">
        <w:rPr>
          <w:spacing w:val="2"/>
        </w:rPr>
        <w:t>z</w:t>
      </w:r>
      <w:r w:rsidRPr="00416D67">
        <w:rPr>
          <w:spacing w:val="-1"/>
        </w:rPr>
        <w:t>a</w:t>
      </w:r>
      <w:r w:rsidRPr="00416D67">
        <w:t>.</w:t>
      </w:r>
    </w:p>
    <w:p w14:paraId="4C43E4D9" w14:textId="77777777" w:rsidR="00416D67" w:rsidRPr="00416D67" w:rsidRDefault="00416D67" w:rsidP="00416D67">
      <w:pPr>
        <w:ind w:left="118" w:right="76" w:firstLine="420"/>
        <w:jc w:val="both"/>
      </w:pPr>
      <w:r w:rsidRPr="00416D67">
        <w:rPr>
          <w:spacing w:val="1"/>
        </w:rPr>
        <w:t xml:space="preserve">   </w:t>
      </w:r>
      <w:r w:rsidRPr="00416D67">
        <w:t xml:space="preserve">              </w:t>
      </w:r>
    </w:p>
    <w:p w14:paraId="63AF3F08" w14:textId="77777777" w:rsidR="00416D67" w:rsidRPr="00416D67" w:rsidRDefault="00416D67" w:rsidP="00416D67">
      <w:pPr>
        <w:ind w:firstLine="707"/>
        <w:jc w:val="both"/>
      </w:pPr>
      <w:r w:rsidRPr="00416D67">
        <w:lastRenderedPageBreak/>
        <w:t>Proračun Općine Marčana za 2025. godinu izvršavao se  u skladu s posebnim programima  i njihovim izmjenama i dopunama  koji su usvojeni od strane Općinskog vijeća Općine Marčana.</w:t>
      </w:r>
    </w:p>
    <w:p w14:paraId="55120CD1" w14:textId="77777777" w:rsidR="00416D67" w:rsidRPr="00416D67" w:rsidRDefault="00416D67" w:rsidP="00416D67">
      <w:pPr>
        <w:ind w:firstLine="708"/>
        <w:jc w:val="both"/>
        <w:rPr>
          <w:rFonts w:eastAsia="Cambria Math"/>
          <w:snapToGrid w:val="0"/>
          <w:color w:val="000000"/>
          <w:szCs w:val="20"/>
          <w:lang w:val="en-AU"/>
        </w:rPr>
      </w:pPr>
      <w:proofErr w:type="spellStart"/>
      <w:r w:rsidRPr="00416D67">
        <w:rPr>
          <w:rFonts w:eastAsia="Cambria Math"/>
          <w:snapToGrid w:val="0"/>
          <w:color w:val="000000"/>
          <w:szCs w:val="20"/>
          <w:lang w:val="en-AU"/>
        </w:rPr>
        <w:t>Zakonom</w:t>
      </w:r>
      <w:proofErr w:type="spellEnd"/>
      <w:r w:rsidRPr="00416D67">
        <w:rPr>
          <w:rFonts w:eastAsia="Cambria Math"/>
          <w:snapToGrid w:val="0"/>
          <w:color w:val="000000"/>
          <w:szCs w:val="20"/>
          <w:lang w:val="en-AU"/>
        </w:rPr>
        <w:t xml:space="preserve"> o </w:t>
      </w:r>
      <w:proofErr w:type="spellStart"/>
      <w:r w:rsidRPr="00416D67">
        <w:rPr>
          <w:rFonts w:eastAsia="Cambria Math"/>
          <w:snapToGrid w:val="0"/>
          <w:color w:val="000000"/>
          <w:szCs w:val="20"/>
          <w:lang w:val="en-AU"/>
        </w:rPr>
        <w:t>proračunu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Narodne</w:t>
      </w:r>
      <w:proofErr w:type="spellEnd"/>
      <w:r w:rsidRPr="00416D67">
        <w:rPr>
          <w:rFonts w:eastAsia="Cambria Math"/>
          <w:snapToGrid w:val="0"/>
          <w:color w:val="000000"/>
          <w:szCs w:val="20"/>
          <w:lang w:val="en-AU"/>
        </w:rPr>
        <w:t xml:space="preserve"> novine” </w:t>
      </w:r>
      <w:proofErr w:type="spellStart"/>
      <w:r w:rsidRPr="00416D67">
        <w:rPr>
          <w:rFonts w:eastAsia="Cambria Math"/>
          <w:snapToGrid w:val="0"/>
          <w:color w:val="000000"/>
          <w:szCs w:val="20"/>
          <w:lang w:val="en-AU"/>
        </w:rPr>
        <w:t>broj</w:t>
      </w:r>
      <w:proofErr w:type="spellEnd"/>
      <w:r w:rsidRPr="00416D67">
        <w:rPr>
          <w:rFonts w:eastAsia="Cambria Math"/>
          <w:snapToGrid w:val="0"/>
          <w:color w:val="000000"/>
          <w:szCs w:val="20"/>
          <w:lang w:val="en-AU"/>
        </w:rPr>
        <w:t xml:space="preserve"> 144/21.) </w:t>
      </w:r>
      <w:proofErr w:type="spellStart"/>
      <w:r w:rsidRPr="00416D67">
        <w:rPr>
          <w:rFonts w:eastAsia="Cambria Math"/>
          <w:snapToGrid w:val="0"/>
          <w:color w:val="000000"/>
          <w:szCs w:val="20"/>
          <w:lang w:val="en-AU"/>
        </w:rPr>
        <w:t>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Pravilnikom</w:t>
      </w:r>
      <w:proofErr w:type="spellEnd"/>
      <w:r w:rsidRPr="00416D67">
        <w:rPr>
          <w:rFonts w:eastAsia="Cambria Math"/>
          <w:snapToGrid w:val="0"/>
          <w:color w:val="000000"/>
          <w:szCs w:val="20"/>
          <w:lang w:val="en-AU"/>
        </w:rPr>
        <w:t xml:space="preserve"> o </w:t>
      </w:r>
      <w:proofErr w:type="spellStart"/>
      <w:r w:rsidRPr="00416D67">
        <w:rPr>
          <w:rFonts w:eastAsia="Cambria Math"/>
          <w:snapToGrid w:val="0"/>
          <w:color w:val="000000"/>
          <w:szCs w:val="20"/>
          <w:lang w:val="en-AU"/>
        </w:rPr>
        <w:t>proračunskom</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računovodstvu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računskom</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planu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Narodne</w:t>
      </w:r>
      <w:proofErr w:type="spellEnd"/>
      <w:r w:rsidRPr="00416D67">
        <w:rPr>
          <w:rFonts w:eastAsia="Cambria Math"/>
          <w:snapToGrid w:val="0"/>
          <w:color w:val="000000"/>
          <w:szCs w:val="20"/>
          <w:lang w:val="en-AU"/>
        </w:rPr>
        <w:t xml:space="preserve"> novine” </w:t>
      </w:r>
      <w:proofErr w:type="spellStart"/>
      <w:r w:rsidRPr="00416D67">
        <w:rPr>
          <w:rFonts w:eastAsia="Cambria Math"/>
          <w:snapToGrid w:val="0"/>
          <w:color w:val="000000"/>
          <w:szCs w:val="20"/>
          <w:lang w:val="en-AU"/>
        </w:rPr>
        <w:t>broj</w:t>
      </w:r>
      <w:proofErr w:type="spellEnd"/>
      <w:r w:rsidRPr="00416D67">
        <w:rPr>
          <w:rFonts w:eastAsia="Cambria Math"/>
          <w:snapToGrid w:val="0"/>
          <w:color w:val="000000"/>
          <w:szCs w:val="20"/>
          <w:lang w:val="en-AU"/>
        </w:rPr>
        <w:t xml:space="preserve"> 144/21.), </w:t>
      </w:r>
      <w:proofErr w:type="spellStart"/>
      <w:r w:rsidRPr="00416D67">
        <w:rPr>
          <w:rFonts w:eastAsia="Cambria Math"/>
          <w:snapToGrid w:val="0"/>
          <w:color w:val="000000"/>
          <w:szCs w:val="20"/>
          <w:lang w:val="en-AU"/>
        </w:rPr>
        <w:t>propisana</w:t>
      </w:r>
      <w:proofErr w:type="spellEnd"/>
      <w:r w:rsidRPr="00416D67">
        <w:rPr>
          <w:rFonts w:eastAsia="Cambria Math"/>
          <w:snapToGrid w:val="0"/>
          <w:color w:val="000000"/>
          <w:szCs w:val="20"/>
          <w:lang w:val="en-AU"/>
        </w:rPr>
        <w:t xml:space="preserve"> je </w:t>
      </w:r>
      <w:proofErr w:type="spellStart"/>
      <w:r w:rsidRPr="00416D67">
        <w:rPr>
          <w:rFonts w:eastAsia="Cambria Math"/>
          <w:snapToGrid w:val="0"/>
          <w:color w:val="000000"/>
          <w:szCs w:val="20"/>
          <w:lang w:val="en-AU"/>
        </w:rPr>
        <w:t>obveza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sastavljanja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podnošenja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godišnjeg</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izvještaja</w:t>
      </w:r>
      <w:proofErr w:type="spellEnd"/>
      <w:r w:rsidRPr="00416D67">
        <w:rPr>
          <w:rFonts w:eastAsia="Cambria Math"/>
          <w:snapToGrid w:val="0"/>
          <w:color w:val="000000"/>
          <w:szCs w:val="20"/>
          <w:lang w:val="en-AU"/>
        </w:rPr>
        <w:t xml:space="preserve"> o </w:t>
      </w:r>
      <w:proofErr w:type="spellStart"/>
      <w:r w:rsidRPr="00416D67">
        <w:rPr>
          <w:rFonts w:eastAsia="Cambria Math"/>
          <w:snapToGrid w:val="0"/>
          <w:color w:val="000000"/>
          <w:szCs w:val="20"/>
          <w:lang w:val="en-AU"/>
        </w:rPr>
        <w:t>izvršenju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proračuna</w:t>
      </w:r>
      <w:proofErr w:type="spellEnd"/>
      <w:r w:rsidRPr="00416D67">
        <w:rPr>
          <w:rFonts w:eastAsia="Cambria Math"/>
          <w:snapToGrid w:val="0"/>
          <w:color w:val="000000"/>
          <w:szCs w:val="20"/>
          <w:lang w:val="en-AU"/>
        </w:rPr>
        <w:t xml:space="preserve"> za </w:t>
      </w:r>
      <w:proofErr w:type="spellStart"/>
      <w:r w:rsidRPr="00416D67">
        <w:rPr>
          <w:rFonts w:eastAsia="Cambria Math"/>
          <w:snapToGrid w:val="0"/>
          <w:color w:val="000000"/>
          <w:szCs w:val="20"/>
          <w:lang w:val="en-AU"/>
        </w:rPr>
        <w:t>prethodnu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godinu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te</w:t>
      </w:r>
      <w:proofErr w:type="spellEnd"/>
      <w:r w:rsidRPr="00416D67">
        <w:rPr>
          <w:rFonts w:eastAsia="Cambria Math"/>
          <w:snapToGrid w:val="0"/>
          <w:color w:val="000000"/>
          <w:szCs w:val="20"/>
          <w:lang w:val="en-AU"/>
        </w:rPr>
        <w:t xml:space="preserve"> ga </w:t>
      </w:r>
      <w:proofErr w:type="spellStart"/>
      <w:r w:rsidRPr="00416D67">
        <w:rPr>
          <w:rFonts w:eastAsia="Cambria Math"/>
          <w:snapToGrid w:val="0"/>
          <w:color w:val="000000"/>
          <w:szCs w:val="20"/>
          <w:lang w:val="en-AU"/>
        </w:rPr>
        <w:t>uputiti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na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donošenje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predstavničkom</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tijelu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jedinice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lokalne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područne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regionalne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samouprave</w:t>
      </w:r>
      <w:proofErr w:type="spellEnd"/>
      <w:r w:rsidRPr="00416D67">
        <w:rPr>
          <w:rFonts w:eastAsia="Cambria Math"/>
          <w:snapToGrid w:val="0"/>
          <w:color w:val="000000"/>
          <w:szCs w:val="20"/>
          <w:lang w:val="en-AU"/>
        </w:rPr>
        <w:t xml:space="preserve"> </w:t>
      </w:r>
      <w:proofErr w:type="gramStart"/>
      <w:r w:rsidRPr="00416D67">
        <w:rPr>
          <w:rFonts w:eastAsia="Cambria Math"/>
          <w:snapToGrid w:val="0"/>
          <w:color w:val="000000"/>
          <w:szCs w:val="20"/>
          <w:lang w:val="en-AU"/>
        </w:rPr>
        <w:t>do  31</w:t>
      </w:r>
      <w:proofErr w:type="gram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svibnja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tekuće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godine</w:t>
      </w:r>
      <w:proofErr w:type="spellEnd"/>
      <w:r w:rsidRPr="00416D67">
        <w:rPr>
          <w:rFonts w:eastAsia="Cambria Math"/>
          <w:snapToGrid w:val="0"/>
          <w:color w:val="000000"/>
          <w:szCs w:val="20"/>
          <w:lang w:val="en-AU"/>
        </w:rPr>
        <w:t xml:space="preserve"> za </w:t>
      </w:r>
      <w:proofErr w:type="spellStart"/>
      <w:r w:rsidRPr="00416D67">
        <w:rPr>
          <w:rFonts w:eastAsia="Cambria Math"/>
          <w:snapToGrid w:val="0"/>
          <w:color w:val="000000"/>
          <w:szCs w:val="20"/>
          <w:lang w:val="en-AU"/>
        </w:rPr>
        <w:t>prethodnu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godinu</w:t>
      </w:r>
      <w:proofErr w:type="spellEnd"/>
      <w:r w:rsidRPr="00416D67">
        <w:rPr>
          <w:rFonts w:eastAsia="Cambria Math"/>
          <w:snapToGrid w:val="0"/>
          <w:color w:val="000000"/>
          <w:szCs w:val="20"/>
          <w:lang w:val="en-AU"/>
        </w:rPr>
        <w:t>.</w:t>
      </w:r>
    </w:p>
    <w:p w14:paraId="308291E2" w14:textId="77777777" w:rsidR="00416D67" w:rsidRPr="00416D67" w:rsidRDefault="00416D67" w:rsidP="00416D67">
      <w:pPr>
        <w:ind w:firstLine="707"/>
        <w:jc w:val="both"/>
      </w:pPr>
      <w:r w:rsidRPr="00416D67">
        <w:t xml:space="preserve">Prema odredbama Zakona o proračunu, u Godišnjem izvještaju o izvršenju Proračuna Općine Marčana za 2025. godinu podaci o izvršenju prihoda i rashoda iskazani su na razini odjeljka ekonomske klasifikacije (četvrta razina računskog plana) dok su podaci o planiranim rashodima iskazani na razini podskupine ekonomske klasifikacije (treća razina računskog plana), na kojoj je i praćena realizacija rashoda i izdataka. </w:t>
      </w:r>
    </w:p>
    <w:p w14:paraId="1C234A6B" w14:textId="77777777" w:rsidR="00416D67" w:rsidRPr="00416D67" w:rsidRDefault="00416D67" w:rsidP="00416D67">
      <w:pPr>
        <w:ind w:firstLine="707"/>
        <w:jc w:val="both"/>
      </w:pPr>
      <w:r w:rsidRPr="00416D67">
        <w:t>U izradi Godišnjeg izvještaja za 2025. godinu korišteni su podaci iz Financijskih izvještaja Proračuna Općine Marčana za 2025. godinu – konsolidirano (razina 23)  -Izvještaj o prihodima i rashodima, primicima i izdacima, Bilanca, Obveze i Bilješke uz financijske izvještaje, a navedeni obrasci čine sastavni dio Godišnjeg izvješća Proračuna za 2025. godinu.</w:t>
      </w:r>
    </w:p>
    <w:p w14:paraId="10EAB102" w14:textId="77777777" w:rsidR="00416D67" w:rsidRPr="00416D67" w:rsidRDefault="00416D67" w:rsidP="00416D67">
      <w:pPr>
        <w:ind w:firstLine="708"/>
        <w:jc w:val="both"/>
      </w:pPr>
      <w:r w:rsidRPr="00416D67">
        <w:t>Zakonom o proračunu utvrđeno je da ako se tijekom proračunske godine zbog nepredviđenih okolnosti umanje prihodi i primici, odnosno povećaju rashodi i izdaci, proračun se mora uravnotežiti smanjenjem predviđenih rashoda i izdataka, odnosno pronalaženjem novih izvora prihoda i primitaka. Uravnoteženje proračuna provodi se tijekom proračunske godine izmjenama i dopunama proračuna prema postupku za donošenje proračuna.</w:t>
      </w:r>
    </w:p>
    <w:p w14:paraId="16954DCE" w14:textId="77777777" w:rsidR="00416D67" w:rsidRPr="00416D67" w:rsidRDefault="00416D67" w:rsidP="00416D67">
      <w:pPr>
        <w:ind w:firstLine="707"/>
        <w:jc w:val="both"/>
        <w:rPr>
          <w:rFonts w:eastAsia="Cambria Math"/>
          <w:snapToGrid w:val="0"/>
          <w:color w:val="000000"/>
        </w:rPr>
      </w:pPr>
      <w:proofErr w:type="spellStart"/>
      <w:r w:rsidRPr="00416D67">
        <w:rPr>
          <w:rFonts w:eastAsia="Cambria Math"/>
          <w:snapToGrid w:val="0"/>
          <w:color w:val="000000"/>
          <w:szCs w:val="20"/>
          <w:lang w:val="en-AU"/>
        </w:rPr>
        <w:t>Godišnji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izvještaj</w:t>
      </w:r>
      <w:proofErr w:type="spellEnd"/>
      <w:r w:rsidRPr="00416D67">
        <w:rPr>
          <w:rFonts w:eastAsia="Cambria Math"/>
          <w:snapToGrid w:val="0"/>
          <w:color w:val="000000"/>
          <w:szCs w:val="20"/>
          <w:lang w:val="en-AU"/>
        </w:rPr>
        <w:t xml:space="preserve"> o </w:t>
      </w:r>
      <w:proofErr w:type="spellStart"/>
      <w:r w:rsidRPr="00416D67">
        <w:rPr>
          <w:rFonts w:eastAsia="Cambria Math"/>
          <w:snapToGrid w:val="0"/>
          <w:color w:val="000000"/>
          <w:szCs w:val="20"/>
          <w:lang w:val="en-AU"/>
        </w:rPr>
        <w:t>izvršenju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proračuna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jedinica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lokalne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područne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regionalne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samouprave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sukladno</w:t>
      </w:r>
      <w:proofErr w:type="spellEnd"/>
      <w:r w:rsidRPr="00416D67">
        <w:rPr>
          <w:rFonts w:eastAsia="Cambria Math"/>
          <w:snapToGrid w:val="0"/>
          <w:color w:val="000000"/>
          <w:szCs w:val="20"/>
          <w:lang w:val="en-AU"/>
        </w:rPr>
        <w:t xml:space="preserve"> čl.4. </w:t>
      </w:r>
      <w:proofErr w:type="spellStart"/>
      <w:r w:rsidRPr="00416D67">
        <w:rPr>
          <w:rFonts w:eastAsia="Cambria Math"/>
          <w:snapToGrid w:val="0"/>
          <w:color w:val="000000"/>
          <w:szCs w:val="20"/>
          <w:lang w:val="en-AU"/>
        </w:rPr>
        <w:t>Pravilnika</w:t>
      </w:r>
      <w:proofErr w:type="spellEnd"/>
      <w:r w:rsidRPr="00416D67">
        <w:rPr>
          <w:rFonts w:eastAsia="Cambria Math"/>
          <w:snapToGrid w:val="0"/>
          <w:color w:val="000000"/>
          <w:szCs w:val="20"/>
          <w:lang w:val="en-AU"/>
        </w:rPr>
        <w:t xml:space="preserve"> o </w:t>
      </w:r>
      <w:proofErr w:type="spellStart"/>
      <w:r w:rsidRPr="00416D67">
        <w:rPr>
          <w:rFonts w:eastAsia="Cambria Math"/>
          <w:snapToGrid w:val="0"/>
          <w:color w:val="000000"/>
          <w:szCs w:val="20"/>
          <w:lang w:val="en-AU"/>
        </w:rPr>
        <w:t>polugodišnjem</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godišnjem</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izvještaju</w:t>
      </w:r>
      <w:proofErr w:type="spellEnd"/>
      <w:r w:rsidRPr="00416D67">
        <w:rPr>
          <w:rFonts w:eastAsia="Cambria Math"/>
          <w:snapToGrid w:val="0"/>
          <w:color w:val="000000"/>
          <w:szCs w:val="20"/>
          <w:lang w:val="en-AU"/>
        </w:rPr>
        <w:t xml:space="preserve"> o </w:t>
      </w:r>
      <w:proofErr w:type="spellStart"/>
      <w:r w:rsidRPr="00416D67">
        <w:rPr>
          <w:rFonts w:eastAsia="Cambria Math"/>
          <w:snapToGrid w:val="0"/>
          <w:color w:val="000000"/>
          <w:szCs w:val="20"/>
          <w:lang w:val="en-AU"/>
        </w:rPr>
        <w:t>izvršenju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proračuna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sadrži</w:t>
      </w:r>
      <w:proofErr w:type="spellEnd"/>
      <w:r w:rsidRPr="00416D67">
        <w:rPr>
          <w:rFonts w:eastAsia="Cambria Math"/>
          <w:snapToGrid w:val="0"/>
          <w:color w:val="000000"/>
          <w:szCs w:val="20"/>
          <w:lang w:val="en-AU"/>
        </w:rPr>
        <w:t>:</w:t>
      </w:r>
    </w:p>
    <w:p w14:paraId="78D69486" w14:textId="77777777" w:rsidR="00416D67" w:rsidRPr="00416D67" w:rsidRDefault="00416D67">
      <w:pPr>
        <w:numPr>
          <w:ilvl w:val="0"/>
          <w:numId w:val="15"/>
        </w:numPr>
        <w:autoSpaceDE w:val="0"/>
        <w:autoSpaceDN w:val="0"/>
        <w:adjustRightInd w:val="0"/>
        <w:jc w:val="both"/>
        <w:rPr>
          <w:rFonts w:eastAsia="Cambria Math"/>
          <w:snapToGrid w:val="0"/>
          <w:color w:val="000000"/>
          <w:szCs w:val="20"/>
          <w:lang w:val="en-AU"/>
        </w:rPr>
      </w:pPr>
      <w:proofErr w:type="spellStart"/>
      <w:r w:rsidRPr="00416D67">
        <w:rPr>
          <w:rFonts w:eastAsia="Cambria Math"/>
          <w:b/>
          <w:snapToGrid w:val="0"/>
          <w:color w:val="000000"/>
          <w:szCs w:val="20"/>
          <w:lang w:val="en-AU"/>
        </w:rPr>
        <w:t>Opći</w:t>
      </w:r>
      <w:proofErr w:type="spellEnd"/>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dio</w:t>
      </w:r>
      <w:proofErr w:type="spellEnd"/>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proračuna</w:t>
      </w:r>
      <w:proofErr w:type="spellEnd"/>
      <w:r w:rsidRPr="00416D67">
        <w:rPr>
          <w:rFonts w:eastAsia="Cambria Math"/>
          <w:snapToGrid w:val="0"/>
          <w:color w:val="000000"/>
          <w:szCs w:val="20"/>
          <w:lang w:val="en-AU"/>
        </w:rPr>
        <w:t xml:space="preserve"> koji </w:t>
      </w:r>
      <w:proofErr w:type="spellStart"/>
      <w:r w:rsidRPr="00416D67">
        <w:rPr>
          <w:rFonts w:eastAsia="Cambria Math"/>
          <w:snapToGrid w:val="0"/>
          <w:color w:val="000000"/>
          <w:szCs w:val="20"/>
          <w:lang w:val="en-AU"/>
        </w:rPr>
        <w:t>čini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Račun</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prihoda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rashoda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Račun</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financiranja</w:t>
      </w:r>
      <w:proofErr w:type="spellEnd"/>
      <w:r w:rsidRPr="00416D67">
        <w:rPr>
          <w:rFonts w:eastAsia="Cambria Math"/>
          <w:snapToGrid w:val="0"/>
          <w:color w:val="000000"/>
          <w:szCs w:val="20"/>
          <w:lang w:val="en-AU"/>
        </w:rPr>
        <w:t xml:space="preserve"> s </w:t>
      </w:r>
      <w:proofErr w:type="spellStart"/>
      <w:r w:rsidRPr="00416D67">
        <w:rPr>
          <w:rFonts w:eastAsia="Cambria Math"/>
          <w:snapToGrid w:val="0"/>
          <w:color w:val="000000"/>
          <w:szCs w:val="20"/>
          <w:lang w:val="en-AU"/>
        </w:rPr>
        <w:t>analitičkim</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prikazom</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te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Rezultat</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poslovanja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na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razini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odjeljka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ekonomske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klasifikacije</w:t>
      </w:r>
      <w:proofErr w:type="spellEnd"/>
      <w:r w:rsidRPr="00416D67">
        <w:rPr>
          <w:rFonts w:eastAsia="Cambria Math"/>
          <w:snapToGrid w:val="0"/>
          <w:color w:val="000000"/>
          <w:szCs w:val="20"/>
          <w:lang w:val="en-AU"/>
        </w:rPr>
        <w:t>.</w:t>
      </w:r>
    </w:p>
    <w:p w14:paraId="5B0CDDD3" w14:textId="77777777" w:rsidR="00416D67" w:rsidRPr="00416D67" w:rsidRDefault="00416D67">
      <w:pPr>
        <w:numPr>
          <w:ilvl w:val="0"/>
          <w:numId w:val="15"/>
        </w:numPr>
        <w:autoSpaceDE w:val="0"/>
        <w:autoSpaceDN w:val="0"/>
        <w:adjustRightInd w:val="0"/>
        <w:jc w:val="both"/>
        <w:rPr>
          <w:rFonts w:eastAsia="Cambria Math"/>
          <w:snapToGrid w:val="0"/>
          <w:color w:val="000000"/>
          <w:szCs w:val="20"/>
          <w:lang w:val="en-AU"/>
        </w:rPr>
      </w:pPr>
      <w:proofErr w:type="spellStart"/>
      <w:r w:rsidRPr="00416D67">
        <w:rPr>
          <w:rFonts w:eastAsia="Cambria Math"/>
          <w:b/>
          <w:snapToGrid w:val="0"/>
          <w:color w:val="000000"/>
          <w:szCs w:val="20"/>
          <w:lang w:val="en-AU"/>
        </w:rPr>
        <w:t>Posebni</w:t>
      </w:r>
      <w:proofErr w:type="spellEnd"/>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dio</w:t>
      </w:r>
      <w:proofErr w:type="spellEnd"/>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proračuna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sadrži</w:t>
      </w:r>
      <w:proofErr w:type="spellEnd"/>
      <w:r w:rsidRPr="00416D67">
        <w:rPr>
          <w:rFonts w:eastAsia="Cambria Math"/>
          <w:snapToGrid w:val="0"/>
          <w:color w:val="000000"/>
          <w:szCs w:val="20"/>
          <w:lang w:val="en-AU"/>
        </w:rPr>
        <w:t xml:space="preserve"> tri </w:t>
      </w:r>
      <w:proofErr w:type="spellStart"/>
      <w:r w:rsidRPr="00416D67">
        <w:rPr>
          <w:rFonts w:eastAsia="Cambria Math"/>
          <w:snapToGrid w:val="0"/>
          <w:color w:val="000000"/>
          <w:szCs w:val="20"/>
          <w:lang w:val="en-AU"/>
        </w:rPr>
        <w:t>zasebna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izvještaja</w:t>
      </w:r>
      <w:proofErr w:type="spellEnd"/>
      <w:r w:rsidRPr="00416D67">
        <w:rPr>
          <w:rFonts w:eastAsia="Cambria Math"/>
          <w:snapToGrid w:val="0"/>
          <w:color w:val="000000"/>
          <w:szCs w:val="20"/>
          <w:lang w:val="en-AU"/>
        </w:rPr>
        <w:t xml:space="preserve"> po </w:t>
      </w:r>
      <w:proofErr w:type="spellStart"/>
      <w:r w:rsidRPr="00416D67">
        <w:rPr>
          <w:rFonts w:eastAsia="Cambria Math"/>
          <w:snapToGrid w:val="0"/>
          <w:color w:val="000000"/>
          <w:szCs w:val="20"/>
          <w:lang w:val="en-AU"/>
        </w:rPr>
        <w:t>proračunskim</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klasifikacijama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organizacijskoj</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ekonomskoj</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programskoj</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te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razini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odjeljka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ekonomske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klasifikacije</w:t>
      </w:r>
      <w:proofErr w:type="spellEnd"/>
      <w:r w:rsidRPr="00416D67">
        <w:rPr>
          <w:rFonts w:eastAsia="Cambria Math"/>
          <w:snapToGrid w:val="0"/>
          <w:color w:val="000000"/>
          <w:szCs w:val="20"/>
          <w:lang w:val="en-AU"/>
        </w:rPr>
        <w:t>.</w:t>
      </w:r>
    </w:p>
    <w:p w14:paraId="17A6DF51" w14:textId="77777777" w:rsidR="00416D67" w:rsidRPr="00416D67" w:rsidRDefault="00416D67">
      <w:pPr>
        <w:numPr>
          <w:ilvl w:val="0"/>
          <w:numId w:val="15"/>
        </w:numPr>
        <w:autoSpaceDE w:val="0"/>
        <w:autoSpaceDN w:val="0"/>
        <w:adjustRightInd w:val="0"/>
        <w:jc w:val="both"/>
        <w:rPr>
          <w:rFonts w:eastAsia="Cambria Math"/>
          <w:snapToGrid w:val="0"/>
          <w:color w:val="000000"/>
          <w:szCs w:val="20"/>
          <w:lang w:val="en-AU"/>
        </w:rPr>
      </w:pPr>
      <w:proofErr w:type="spellStart"/>
      <w:r w:rsidRPr="00416D67">
        <w:rPr>
          <w:rFonts w:eastAsia="Cambria Math"/>
          <w:b/>
          <w:snapToGrid w:val="0"/>
          <w:color w:val="000000"/>
          <w:szCs w:val="20"/>
          <w:lang w:val="en-AU"/>
        </w:rPr>
        <w:t>Izvještaj</w:t>
      </w:r>
      <w:proofErr w:type="spellEnd"/>
      <w:r w:rsidRPr="00416D67">
        <w:rPr>
          <w:rFonts w:eastAsia="Cambria Math"/>
          <w:b/>
          <w:snapToGrid w:val="0"/>
          <w:color w:val="000000"/>
          <w:szCs w:val="20"/>
          <w:lang w:val="en-AU"/>
        </w:rPr>
        <w:t xml:space="preserve"> o </w:t>
      </w:r>
      <w:proofErr w:type="spellStart"/>
      <w:r w:rsidRPr="00416D67">
        <w:rPr>
          <w:rFonts w:eastAsia="Cambria Math"/>
          <w:b/>
          <w:snapToGrid w:val="0"/>
          <w:color w:val="000000"/>
          <w:szCs w:val="20"/>
          <w:lang w:val="en-AU"/>
        </w:rPr>
        <w:t>zaduživanju</w:t>
      </w:r>
      <w:proofErr w:type="spellEnd"/>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na</w:t>
      </w:r>
      <w:proofErr w:type="spellEnd"/>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domaćem</w:t>
      </w:r>
      <w:proofErr w:type="spellEnd"/>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i</w:t>
      </w:r>
      <w:proofErr w:type="spellEnd"/>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stranom</w:t>
      </w:r>
      <w:proofErr w:type="spellEnd"/>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tržištu</w:t>
      </w:r>
      <w:proofErr w:type="spellEnd"/>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novca</w:t>
      </w:r>
      <w:proofErr w:type="spellEnd"/>
      <w:r w:rsidRPr="00416D67">
        <w:rPr>
          <w:rFonts w:eastAsia="Cambria Math"/>
          <w:b/>
          <w:snapToGrid w:val="0"/>
          <w:color w:val="000000"/>
          <w:szCs w:val="20"/>
          <w:lang w:val="en-AU"/>
        </w:rPr>
        <w:t xml:space="preserve"> </w:t>
      </w:r>
      <w:proofErr w:type="spellStart"/>
      <w:proofErr w:type="gramStart"/>
      <w:r w:rsidRPr="00416D67">
        <w:rPr>
          <w:rFonts w:eastAsia="Cambria Math"/>
          <w:b/>
          <w:snapToGrid w:val="0"/>
          <w:color w:val="000000"/>
          <w:szCs w:val="20"/>
          <w:lang w:val="en-AU"/>
        </w:rPr>
        <w:t>i</w:t>
      </w:r>
      <w:proofErr w:type="spellEnd"/>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kapitala</w:t>
      </w:r>
      <w:proofErr w:type="spellEnd"/>
      <w:proofErr w:type="gramEnd"/>
      <w:r w:rsidRPr="00416D67">
        <w:rPr>
          <w:rFonts w:eastAsia="Cambria Math"/>
          <w:b/>
          <w:snapToGrid w:val="0"/>
          <w:color w:val="000000"/>
          <w:szCs w:val="20"/>
          <w:lang w:val="en-AU"/>
        </w:rPr>
        <w:t xml:space="preserve"> </w:t>
      </w:r>
      <w:proofErr w:type="spellStart"/>
      <w:r w:rsidRPr="00416D67">
        <w:rPr>
          <w:rFonts w:eastAsia="Cambria Math"/>
          <w:snapToGrid w:val="0"/>
          <w:color w:val="000000"/>
          <w:szCs w:val="20"/>
          <w:lang w:val="en-AU"/>
        </w:rPr>
        <w:t>obuhvaća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pregled</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zaduživanja</w:t>
      </w:r>
      <w:proofErr w:type="spellEnd"/>
      <w:r w:rsidRPr="00416D67">
        <w:rPr>
          <w:rFonts w:eastAsia="Cambria Math"/>
          <w:snapToGrid w:val="0"/>
          <w:color w:val="000000"/>
          <w:szCs w:val="20"/>
          <w:lang w:val="en-AU"/>
        </w:rPr>
        <w:t xml:space="preserve"> u </w:t>
      </w:r>
      <w:proofErr w:type="spellStart"/>
      <w:r w:rsidRPr="00416D67">
        <w:rPr>
          <w:rFonts w:eastAsia="Cambria Math"/>
          <w:snapToGrid w:val="0"/>
          <w:color w:val="000000"/>
          <w:szCs w:val="20"/>
          <w:lang w:val="en-AU"/>
        </w:rPr>
        <w:t>izvještajnom</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razdoblju</w:t>
      </w:r>
      <w:proofErr w:type="spellEnd"/>
      <w:r w:rsidRPr="00416D67">
        <w:rPr>
          <w:rFonts w:eastAsia="Cambria Math"/>
          <w:snapToGrid w:val="0"/>
          <w:color w:val="000000"/>
          <w:szCs w:val="20"/>
          <w:lang w:val="en-AU"/>
        </w:rPr>
        <w:t xml:space="preserve"> po </w:t>
      </w:r>
      <w:proofErr w:type="spellStart"/>
      <w:r w:rsidRPr="00416D67">
        <w:rPr>
          <w:rFonts w:eastAsia="Cambria Math"/>
          <w:snapToGrid w:val="0"/>
          <w:color w:val="000000"/>
          <w:szCs w:val="20"/>
          <w:lang w:val="en-AU"/>
        </w:rPr>
        <w:t>vrsti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instrumenata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valutnoj</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kamatnoj</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ročnoj</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strukturi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te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stanje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obveza</w:t>
      </w:r>
      <w:proofErr w:type="spellEnd"/>
      <w:r w:rsidRPr="00416D67">
        <w:rPr>
          <w:rFonts w:eastAsia="Cambria Math"/>
          <w:snapToGrid w:val="0"/>
          <w:color w:val="000000"/>
          <w:szCs w:val="20"/>
          <w:lang w:val="en-AU"/>
        </w:rPr>
        <w:t xml:space="preserve"> za </w:t>
      </w:r>
      <w:proofErr w:type="spellStart"/>
      <w:r w:rsidRPr="00416D67">
        <w:rPr>
          <w:rFonts w:eastAsia="Cambria Math"/>
          <w:snapToGrid w:val="0"/>
          <w:color w:val="000000"/>
          <w:szCs w:val="20"/>
          <w:lang w:val="en-AU"/>
        </w:rPr>
        <w:t>kredite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zajmove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na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početku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kraju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proračunske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godine</w:t>
      </w:r>
      <w:proofErr w:type="spellEnd"/>
      <w:r w:rsidRPr="00416D67">
        <w:rPr>
          <w:rFonts w:eastAsia="Cambria Math"/>
          <w:snapToGrid w:val="0"/>
          <w:color w:val="000000"/>
          <w:szCs w:val="20"/>
          <w:lang w:val="en-AU"/>
        </w:rPr>
        <w:t>.</w:t>
      </w:r>
    </w:p>
    <w:p w14:paraId="77D1DCF8" w14:textId="77777777" w:rsidR="00416D67" w:rsidRPr="00416D67" w:rsidRDefault="00416D67">
      <w:pPr>
        <w:numPr>
          <w:ilvl w:val="0"/>
          <w:numId w:val="15"/>
        </w:numPr>
        <w:autoSpaceDE w:val="0"/>
        <w:autoSpaceDN w:val="0"/>
        <w:adjustRightInd w:val="0"/>
        <w:jc w:val="both"/>
        <w:rPr>
          <w:rFonts w:eastAsia="Cambria Math"/>
          <w:snapToGrid w:val="0"/>
          <w:color w:val="000000"/>
          <w:szCs w:val="20"/>
          <w:lang w:val="en-AU"/>
        </w:rPr>
      </w:pPr>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Izvještaj</w:t>
      </w:r>
      <w:proofErr w:type="spellEnd"/>
      <w:r w:rsidRPr="00416D67">
        <w:rPr>
          <w:rFonts w:eastAsia="Cambria Math"/>
          <w:b/>
          <w:snapToGrid w:val="0"/>
          <w:color w:val="000000"/>
          <w:szCs w:val="20"/>
          <w:lang w:val="en-AU"/>
        </w:rPr>
        <w:t xml:space="preserve"> o </w:t>
      </w:r>
      <w:proofErr w:type="spellStart"/>
      <w:r w:rsidRPr="00416D67">
        <w:rPr>
          <w:rFonts w:eastAsia="Cambria Math"/>
          <w:b/>
          <w:snapToGrid w:val="0"/>
          <w:color w:val="000000"/>
          <w:szCs w:val="20"/>
          <w:lang w:val="en-AU"/>
        </w:rPr>
        <w:t>danim</w:t>
      </w:r>
      <w:proofErr w:type="spellEnd"/>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jamstvima</w:t>
      </w:r>
      <w:proofErr w:type="spellEnd"/>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i</w:t>
      </w:r>
      <w:proofErr w:type="spellEnd"/>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izdacima</w:t>
      </w:r>
      <w:proofErr w:type="spellEnd"/>
      <w:r w:rsidRPr="00416D67">
        <w:rPr>
          <w:rFonts w:eastAsia="Cambria Math"/>
          <w:b/>
          <w:snapToGrid w:val="0"/>
          <w:color w:val="000000"/>
          <w:szCs w:val="20"/>
          <w:lang w:val="en-AU"/>
        </w:rPr>
        <w:t xml:space="preserve"> po </w:t>
      </w:r>
      <w:proofErr w:type="spellStart"/>
      <w:r w:rsidRPr="00416D67">
        <w:rPr>
          <w:rFonts w:eastAsia="Cambria Math"/>
          <w:b/>
          <w:snapToGrid w:val="0"/>
          <w:color w:val="000000"/>
          <w:szCs w:val="20"/>
          <w:lang w:val="en-AU"/>
        </w:rPr>
        <w:t>jamstvima</w:t>
      </w:r>
      <w:proofErr w:type="spellEnd"/>
      <w:r w:rsidRPr="00416D67">
        <w:rPr>
          <w:rFonts w:eastAsia="Cambria Math"/>
          <w:b/>
          <w:snapToGrid w:val="0"/>
          <w:color w:val="000000"/>
          <w:szCs w:val="20"/>
          <w:lang w:val="en-AU"/>
        </w:rPr>
        <w:t xml:space="preserve"> </w:t>
      </w:r>
      <w:proofErr w:type="spellStart"/>
      <w:r w:rsidRPr="00416D67">
        <w:rPr>
          <w:rFonts w:eastAsia="Cambria Math"/>
          <w:snapToGrid w:val="0"/>
          <w:color w:val="000000"/>
          <w:szCs w:val="20"/>
          <w:lang w:val="en-AU"/>
        </w:rPr>
        <w:t>sadrži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pregled</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danih</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w:t>
      </w:r>
      <w:proofErr w:type="spellEnd"/>
      <w:r w:rsidRPr="00416D67">
        <w:rPr>
          <w:rFonts w:eastAsia="Cambria Math"/>
          <w:snapToGrid w:val="0"/>
          <w:color w:val="000000"/>
          <w:szCs w:val="20"/>
          <w:lang w:val="en-AU"/>
        </w:rPr>
        <w:t xml:space="preserve"> </w:t>
      </w:r>
      <w:proofErr w:type="spellStart"/>
      <w:proofErr w:type="gramStart"/>
      <w:r w:rsidRPr="00416D67">
        <w:rPr>
          <w:rFonts w:eastAsia="Cambria Math"/>
          <w:snapToGrid w:val="0"/>
          <w:color w:val="000000"/>
          <w:szCs w:val="20"/>
          <w:lang w:val="en-AU"/>
        </w:rPr>
        <w:t>protestiranih</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jamstava</w:t>
      </w:r>
      <w:proofErr w:type="spellEnd"/>
      <w:proofErr w:type="gramEnd"/>
      <w:r w:rsidRPr="00416D67">
        <w:rPr>
          <w:rFonts w:eastAsia="Cambria Math"/>
          <w:snapToGrid w:val="0"/>
          <w:color w:val="000000"/>
          <w:szCs w:val="20"/>
          <w:lang w:val="en-AU"/>
        </w:rPr>
        <w:t xml:space="preserve"> u </w:t>
      </w:r>
      <w:proofErr w:type="spellStart"/>
      <w:r w:rsidRPr="00416D67">
        <w:rPr>
          <w:rFonts w:eastAsia="Cambria Math"/>
          <w:snapToGrid w:val="0"/>
          <w:color w:val="000000"/>
          <w:szCs w:val="20"/>
          <w:lang w:val="en-AU"/>
        </w:rPr>
        <w:t>izvještajnom</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razdoblju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stanje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obveza</w:t>
      </w:r>
      <w:proofErr w:type="spellEnd"/>
      <w:r w:rsidRPr="00416D67">
        <w:rPr>
          <w:rFonts w:eastAsia="Cambria Math"/>
          <w:snapToGrid w:val="0"/>
          <w:color w:val="000000"/>
          <w:szCs w:val="20"/>
          <w:lang w:val="en-AU"/>
        </w:rPr>
        <w:t xml:space="preserve"> po </w:t>
      </w:r>
      <w:proofErr w:type="spellStart"/>
      <w:r w:rsidRPr="00416D67">
        <w:rPr>
          <w:rFonts w:eastAsia="Cambria Math"/>
          <w:snapToGrid w:val="0"/>
          <w:color w:val="000000"/>
          <w:szCs w:val="20"/>
          <w:lang w:val="en-AU"/>
        </w:rPr>
        <w:t>danim</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jamstvima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iskazanih</w:t>
      </w:r>
      <w:proofErr w:type="spellEnd"/>
      <w:r w:rsidRPr="00416D67">
        <w:rPr>
          <w:rFonts w:eastAsia="Cambria Math"/>
          <w:snapToGrid w:val="0"/>
          <w:color w:val="000000"/>
          <w:szCs w:val="20"/>
          <w:lang w:val="en-AU"/>
        </w:rPr>
        <w:t xml:space="preserve"> u </w:t>
      </w:r>
      <w:proofErr w:type="spellStart"/>
      <w:r w:rsidRPr="00416D67">
        <w:rPr>
          <w:rFonts w:eastAsia="Cambria Math"/>
          <w:snapToGrid w:val="0"/>
          <w:color w:val="000000"/>
          <w:szCs w:val="20"/>
          <w:lang w:val="en-AU"/>
        </w:rPr>
        <w:t>izvanbilančnoj</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evidenciji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na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početku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kraju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proračunske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godine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stanje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potraživanja</w:t>
      </w:r>
      <w:proofErr w:type="spellEnd"/>
      <w:r w:rsidRPr="00416D67">
        <w:rPr>
          <w:rFonts w:eastAsia="Cambria Math"/>
          <w:snapToGrid w:val="0"/>
          <w:color w:val="000000"/>
          <w:szCs w:val="20"/>
          <w:lang w:val="en-AU"/>
        </w:rPr>
        <w:t xml:space="preserve"> po </w:t>
      </w:r>
      <w:proofErr w:type="spellStart"/>
      <w:r w:rsidRPr="00416D67">
        <w:rPr>
          <w:rFonts w:eastAsia="Cambria Math"/>
          <w:snapToGrid w:val="0"/>
          <w:color w:val="000000"/>
          <w:szCs w:val="20"/>
          <w:lang w:val="en-AU"/>
        </w:rPr>
        <w:t>protestiranim</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jamstvima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na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početku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na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kraju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proračunske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godine</w:t>
      </w:r>
      <w:proofErr w:type="spellEnd"/>
      <w:r w:rsidRPr="00416D67">
        <w:rPr>
          <w:rFonts w:eastAsia="Cambria Math"/>
          <w:snapToGrid w:val="0"/>
          <w:color w:val="000000"/>
          <w:szCs w:val="20"/>
          <w:lang w:val="en-AU"/>
        </w:rPr>
        <w:t xml:space="preserve">. </w:t>
      </w:r>
    </w:p>
    <w:p w14:paraId="49171F4A" w14:textId="77777777" w:rsidR="00416D67" w:rsidRPr="00416D67" w:rsidRDefault="00416D67">
      <w:pPr>
        <w:numPr>
          <w:ilvl w:val="0"/>
          <w:numId w:val="15"/>
        </w:numPr>
        <w:autoSpaceDE w:val="0"/>
        <w:autoSpaceDN w:val="0"/>
        <w:adjustRightInd w:val="0"/>
        <w:jc w:val="both"/>
        <w:rPr>
          <w:rFonts w:eastAsia="Cambria Math"/>
          <w:snapToGrid w:val="0"/>
          <w:color w:val="000000"/>
          <w:szCs w:val="20"/>
          <w:lang w:val="en-AU"/>
        </w:rPr>
      </w:pPr>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Izvještaj</w:t>
      </w:r>
      <w:proofErr w:type="spellEnd"/>
      <w:r w:rsidRPr="00416D67">
        <w:rPr>
          <w:rFonts w:eastAsia="Cambria Math"/>
          <w:b/>
          <w:snapToGrid w:val="0"/>
          <w:color w:val="000000"/>
          <w:szCs w:val="20"/>
          <w:lang w:val="en-AU"/>
        </w:rPr>
        <w:t xml:space="preserve"> o </w:t>
      </w:r>
      <w:proofErr w:type="spellStart"/>
      <w:r w:rsidRPr="00416D67">
        <w:rPr>
          <w:rFonts w:eastAsia="Cambria Math"/>
          <w:b/>
          <w:snapToGrid w:val="0"/>
          <w:color w:val="000000"/>
          <w:szCs w:val="20"/>
          <w:lang w:val="en-AU"/>
        </w:rPr>
        <w:t>korištenju</w:t>
      </w:r>
      <w:proofErr w:type="spellEnd"/>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proračunske</w:t>
      </w:r>
      <w:proofErr w:type="spellEnd"/>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zalihe</w:t>
      </w:r>
      <w:proofErr w:type="spellEnd"/>
      <w:r w:rsidRPr="00416D67">
        <w:rPr>
          <w:rFonts w:eastAsia="Cambria Math"/>
          <w:b/>
          <w:snapToGrid w:val="0"/>
          <w:color w:val="000000"/>
          <w:szCs w:val="20"/>
          <w:lang w:val="en-AU"/>
        </w:rPr>
        <w:t xml:space="preserve"> </w:t>
      </w:r>
      <w:proofErr w:type="spellStart"/>
      <w:r w:rsidRPr="00416D67">
        <w:rPr>
          <w:rFonts w:eastAsia="Cambria Math"/>
          <w:snapToGrid w:val="0"/>
          <w:color w:val="000000"/>
          <w:szCs w:val="20"/>
          <w:lang w:val="en-AU"/>
        </w:rPr>
        <w:t>sadrži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podatke</w:t>
      </w:r>
      <w:proofErr w:type="spellEnd"/>
      <w:r w:rsidRPr="00416D67">
        <w:rPr>
          <w:rFonts w:eastAsia="Cambria Math"/>
          <w:snapToGrid w:val="0"/>
          <w:color w:val="000000"/>
          <w:szCs w:val="20"/>
          <w:lang w:val="en-AU"/>
        </w:rPr>
        <w:t xml:space="preserve"> o </w:t>
      </w:r>
      <w:proofErr w:type="spellStart"/>
      <w:r w:rsidRPr="00416D67">
        <w:rPr>
          <w:rFonts w:eastAsia="Cambria Math"/>
          <w:snapToGrid w:val="0"/>
          <w:color w:val="000000"/>
          <w:szCs w:val="20"/>
          <w:lang w:val="en-AU"/>
        </w:rPr>
        <w:t>korištenju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proračunske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zalihe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namjeni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korištenja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datumu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te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iznosu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sredstava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iz</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proračunske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zalihe</w:t>
      </w:r>
      <w:proofErr w:type="spellEnd"/>
      <w:r w:rsidRPr="00416D67">
        <w:rPr>
          <w:rFonts w:eastAsia="Cambria Math"/>
          <w:snapToGrid w:val="0"/>
          <w:color w:val="000000"/>
          <w:szCs w:val="20"/>
          <w:lang w:val="en-AU"/>
        </w:rPr>
        <w:t xml:space="preserve"> po </w:t>
      </w:r>
      <w:proofErr w:type="spellStart"/>
      <w:r w:rsidRPr="00416D67">
        <w:rPr>
          <w:rFonts w:eastAsia="Cambria Math"/>
          <w:snapToGrid w:val="0"/>
          <w:color w:val="000000"/>
          <w:szCs w:val="20"/>
          <w:lang w:val="en-AU"/>
        </w:rPr>
        <w:t>zaključku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načelnika</w:t>
      </w:r>
      <w:proofErr w:type="spellEnd"/>
      <w:r w:rsidRPr="00416D67">
        <w:rPr>
          <w:rFonts w:eastAsia="Cambria Math"/>
          <w:snapToGrid w:val="0"/>
          <w:color w:val="000000"/>
          <w:szCs w:val="20"/>
          <w:lang w:val="en-AU"/>
        </w:rPr>
        <w:t xml:space="preserve"> o </w:t>
      </w:r>
      <w:proofErr w:type="spellStart"/>
      <w:r w:rsidRPr="00416D67">
        <w:rPr>
          <w:rFonts w:eastAsia="Cambria Math"/>
          <w:snapToGrid w:val="0"/>
          <w:color w:val="000000"/>
          <w:szCs w:val="20"/>
          <w:lang w:val="en-AU"/>
        </w:rPr>
        <w:t>korištenju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proračunske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zalihe</w:t>
      </w:r>
      <w:proofErr w:type="spellEnd"/>
      <w:r w:rsidRPr="00416D67">
        <w:rPr>
          <w:rFonts w:eastAsia="Cambria Math"/>
          <w:snapToGrid w:val="0"/>
          <w:color w:val="000000"/>
          <w:szCs w:val="20"/>
          <w:lang w:val="en-AU"/>
        </w:rPr>
        <w:t>.</w:t>
      </w:r>
    </w:p>
    <w:p w14:paraId="171823D7" w14:textId="77777777" w:rsidR="00416D67" w:rsidRPr="00416D67" w:rsidRDefault="00416D67">
      <w:pPr>
        <w:numPr>
          <w:ilvl w:val="0"/>
          <w:numId w:val="15"/>
        </w:numPr>
        <w:autoSpaceDE w:val="0"/>
        <w:autoSpaceDN w:val="0"/>
        <w:adjustRightInd w:val="0"/>
        <w:jc w:val="both"/>
        <w:rPr>
          <w:rFonts w:eastAsia="Cambria Math"/>
          <w:snapToGrid w:val="0"/>
          <w:color w:val="000000"/>
          <w:szCs w:val="20"/>
          <w:lang w:val="en-AU"/>
        </w:rPr>
      </w:pPr>
      <w:proofErr w:type="spellStart"/>
      <w:r w:rsidRPr="00416D67">
        <w:rPr>
          <w:rFonts w:eastAsia="Cambria Math"/>
          <w:b/>
          <w:snapToGrid w:val="0"/>
          <w:color w:val="000000"/>
          <w:szCs w:val="20"/>
          <w:lang w:val="en-AU"/>
        </w:rPr>
        <w:t>Obrazloženje</w:t>
      </w:r>
      <w:proofErr w:type="spellEnd"/>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ostvarenja</w:t>
      </w:r>
      <w:proofErr w:type="spellEnd"/>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prihoda</w:t>
      </w:r>
      <w:proofErr w:type="spellEnd"/>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i</w:t>
      </w:r>
      <w:proofErr w:type="spellEnd"/>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primitaka</w:t>
      </w:r>
      <w:proofErr w:type="spellEnd"/>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rashoda</w:t>
      </w:r>
      <w:proofErr w:type="spellEnd"/>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i</w:t>
      </w:r>
      <w:proofErr w:type="spellEnd"/>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izdataka</w:t>
      </w:r>
      <w:proofErr w:type="spellEnd"/>
      <w:r w:rsidRPr="00416D67">
        <w:rPr>
          <w:rFonts w:eastAsia="Cambria Math"/>
          <w:b/>
          <w:snapToGrid w:val="0"/>
          <w:color w:val="000000"/>
          <w:szCs w:val="20"/>
          <w:lang w:val="en-AU"/>
        </w:rPr>
        <w:t xml:space="preserve"> </w:t>
      </w:r>
      <w:proofErr w:type="spellStart"/>
      <w:r w:rsidRPr="00416D67">
        <w:rPr>
          <w:rFonts w:eastAsia="Cambria Math"/>
          <w:snapToGrid w:val="0"/>
          <w:color w:val="000000"/>
          <w:szCs w:val="20"/>
          <w:lang w:val="en-AU"/>
        </w:rPr>
        <w:t>dodatno</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analizira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dopunjuje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podatke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iz</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Općeg</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dijela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proračuna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kao</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iz</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Posebnog</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dijela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proračuna</w:t>
      </w:r>
      <w:proofErr w:type="spellEnd"/>
      <w:r w:rsidRPr="00416D67">
        <w:rPr>
          <w:rFonts w:eastAsia="Cambria Math"/>
          <w:snapToGrid w:val="0"/>
          <w:color w:val="000000"/>
          <w:szCs w:val="20"/>
          <w:lang w:val="en-AU"/>
        </w:rPr>
        <w:t xml:space="preserve"> s </w:t>
      </w:r>
      <w:proofErr w:type="spellStart"/>
      <w:r w:rsidRPr="00416D67">
        <w:rPr>
          <w:rFonts w:eastAsia="Cambria Math"/>
          <w:snapToGrid w:val="0"/>
          <w:color w:val="000000"/>
          <w:szCs w:val="20"/>
          <w:lang w:val="en-AU"/>
        </w:rPr>
        <w:t>posebnim</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naglaskom</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na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ciljeve</w:t>
      </w:r>
      <w:proofErr w:type="spellEnd"/>
      <w:r w:rsidRPr="00416D67">
        <w:rPr>
          <w:rFonts w:eastAsia="Cambria Math"/>
          <w:snapToGrid w:val="0"/>
          <w:color w:val="000000"/>
          <w:szCs w:val="20"/>
          <w:lang w:val="en-AU"/>
        </w:rPr>
        <w:t xml:space="preserve"> koji </w:t>
      </w:r>
      <w:proofErr w:type="spellStart"/>
      <w:r w:rsidRPr="00416D67">
        <w:rPr>
          <w:rFonts w:eastAsia="Cambria Math"/>
          <w:snapToGrid w:val="0"/>
          <w:color w:val="000000"/>
          <w:szCs w:val="20"/>
          <w:lang w:val="en-AU"/>
        </w:rPr>
        <w:t>su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ostvareni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provedbom</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programa</w:t>
      </w:r>
      <w:proofErr w:type="spellEnd"/>
      <w:r w:rsidRPr="00416D67">
        <w:rPr>
          <w:rFonts w:eastAsia="Cambria Math"/>
          <w:snapToGrid w:val="0"/>
          <w:color w:val="000000"/>
          <w:szCs w:val="20"/>
          <w:lang w:val="en-AU"/>
        </w:rPr>
        <w:t>.</w:t>
      </w:r>
    </w:p>
    <w:p w14:paraId="1423AD4D" w14:textId="77777777" w:rsidR="00416D67" w:rsidRPr="00416D67" w:rsidRDefault="00416D67" w:rsidP="00416D67">
      <w:pPr>
        <w:autoSpaceDE w:val="0"/>
        <w:autoSpaceDN w:val="0"/>
        <w:adjustRightInd w:val="0"/>
        <w:ind w:left="720"/>
        <w:jc w:val="both"/>
        <w:rPr>
          <w:rFonts w:eastAsia="Cambria Math"/>
          <w:snapToGrid w:val="0"/>
          <w:color w:val="000000"/>
          <w:szCs w:val="20"/>
          <w:lang w:val="en-AU"/>
        </w:rPr>
      </w:pPr>
    </w:p>
    <w:p w14:paraId="37BC0D4F" w14:textId="77777777" w:rsidR="00416D67" w:rsidRPr="00416D67" w:rsidRDefault="00416D67" w:rsidP="00416D67">
      <w:pPr>
        <w:ind w:left="1440"/>
        <w:jc w:val="both"/>
        <w:rPr>
          <w:rFonts w:eastAsia="Cambria Math"/>
          <w:snapToGrid w:val="0"/>
          <w:color w:val="000000"/>
          <w:szCs w:val="20"/>
          <w:lang w:val="en-AU"/>
        </w:rPr>
      </w:pPr>
    </w:p>
    <w:p w14:paraId="44575B3A" w14:textId="77777777" w:rsidR="00416D67" w:rsidRPr="00416D67" w:rsidRDefault="00416D67" w:rsidP="00416D67">
      <w:pPr>
        <w:widowControl w:val="0"/>
        <w:tabs>
          <w:tab w:val="left" w:pos="2153"/>
        </w:tabs>
        <w:autoSpaceDE w:val="0"/>
        <w:autoSpaceDN w:val="0"/>
        <w:adjustRightInd w:val="0"/>
        <w:spacing w:after="43"/>
        <w:jc w:val="both"/>
      </w:pPr>
      <w:r w:rsidRPr="00416D67">
        <w:t xml:space="preserve">        Godišnji izvještaj o izvršenju Proračuna Općine Marčana za 2025. godinu ujedno je i konsolidirani godišnji izvještaj o izvršenju proračuna u kojem su obuhvaćeni svi prihodi i rashodi proračunskog korisnika Dječjeg vrtića  „Vrtuljak Marčana“ RKPD 35597.    </w:t>
      </w:r>
    </w:p>
    <w:p w14:paraId="66539D81" w14:textId="77777777" w:rsidR="00416D67" w:rsidRPr="00416D67" w:rsidRDefault="00416D67" w:rsidP="00416D67">
      <w:pPr>
        <w:jc w:val="both"/>
      </w:pPr>
      <w:r w:rsidRPr="00416D67">
        <w:lastRenderedPageBreak/>
        <w:t xml:space="preserve">         Nastavno se daje obrazloženje ostvarenja prihoda i primitaka te izvršenja rashoda i izdataka u 2025. godini u odnosu na planirano Proračunom za 2025.godinu  i u odnosu na ostvarenje u prethodnoj godini.</w:t>
      </w:r>
    </w:p>
    <w:p w14:paraId="30CE4B1C" w14:textId="77777777" w:rsidR="00416D67" w:rsidRPr="00416D67" w:rsidRDefault="00416D67" w:rsidP="00416D67">
      <w:pPr>
        <w:rPr>
          <w:b/>
          <w:bCs/>
        </w:rPr>
      </w:pPr>
    </w:p>
    <w:p w14:paraId="75244490" w14:textId="77777777" w:rsidR="00416D67" w:rsidRPr="00416D67" w:rsidRDefault="00416D67" w:rsidP="00416D67">
      <w:pPr>
        <w:rPr>
          <w:b/>
          <w:bCs/>
        </w:rPr>
      </w:pPr>
    </w:p>
    <w:p w14:paraId="0B674EE3" w14:textId="77777777" w:rsidR="00416D67" w:rsidRPr="00416D67" w:rsidRDefault="00416D67" w:rsidP="00416D67">
      <w:pPr>
        <w:rPr>
          <w:b/>
        </w:rPr>
      </w:pPr>
      <w:r w:rsidRPr="00416D67">
        <w:rPr>
          <w:b/>
        </w:rPr>
        <w:t>2.OBRAZLOŽENJE IZVRŠENJA PRORAČUNA</w:t>
      </w:r>
    </w:p>
    <w:p w14:paraId="154A16A3" w14:textId="77777777" w:rsidR="00416D67" w:rsidRPr="00416D67" w:rsidRDefault="00416D67" w:rsidP="00416D67">
      <w:pPr>
        <w:ind w:firstLine="708"/>
        <w:jc w:val="both"/>
        <w:rPr>
          <w:rFonts w:eastAsia="Cambria Math"/>
          <w:snapToGrid w:val="0"/>
          <w:color w:val="000000"/>
        </w:rPr>
      </w:pPr>
    </w:p>
    <w:p w14:paraId="56531938" w14:textId="77777777" w:rsidR="00416D67" w:rsidRPr="00416D67" w:rsidRDefault="00416D67" w:rsidP="00416D67">
      <w:pPr>
        <w:rPr>
          <w:rFonts w:eastAsia="Cambria Math"/>
          <w:snapToGrid w:val="0"/>
          <w:color w:val="000000"/>
          <w:szCs w:val="20"/>
          <w:lang w:val="en-AU"/>
        </w:rPr>
      </w:pPr>
      <w:r w:rsidRPr="00416D67">
        <w:rPr>
          <w:rFonts w:eastAsia="Cambria Math"/>
          <w:b/>
          <w:bCs/>
          <w:snapToGrid w:val="0"/>
          <w:color w:val="000000"/>
          <w:szCs w:val="20"/>
          <w:lang w:val="en-AU"/>
        </w:rPr>
        <w:t>2.</w:t>
      </w:r>
      <w:proofErr w:type="gramStart"/>
      <w:r w:rsidRPr="00416D67">
        <w:rPr>
          <w:rFonts w:eastAsia="Cambria Math"/>
          <w:b/>
          <w:bCs/>
          <w:snapToGrid w:val="0"/>
          <w:color w:val="000000"/>
          <w:szCs w:val="20"/>
          <w:lang w:val="en-AU"/>
        </w:rPr>
        <w:t>1.OPĆI</w:t>
      </w:r>
      <w:proofErr w:type="gramEnd"/>
      <w:r w:rsidRPr="00416D67">
        <w:rPr>
          <w:rFonts w:eastAsia="Cambria Math"/>
          <w:b/>
          <w:bCs/>
          <w:snapToGrid w:val="0"/>
          <w:color w:val="000000"/>
          <w:szCs w:val="20"/>
          <w:lang w:val="en-AU"/>
        </w:rPr>
        <w:t xml:space="preserve"> DIO</w:t>
      </w:r>
    </w:p>
    <w:p w14:paraId="4CFB676A" w14:textId="77777777" w:rsidR="00416D67" w:rsidRPr="00416D67" w:rsidRDefault="00416D67" w:rsidP="00416D67">
      <w:pPr>
        <w:rPr>
          <w:rFonts w:eastAsia="Cambria Math"/>
          <w:snapToGrid w:val="0"/>
          <w:color w:val="000000"/>
          <w:szCs w:val="20"/>
          <w:lang w:val="en-AU"/>
        </w:rPr>
      </w:pPr>
      <w:proofErr w:type="spellStart"/>
      <w:r w:rsidRPr="00416D67">
        <w:rPr>
          <w:rFonts w:eastAsia="Cambria Math"/>
          <w:snapToGrid w:val="0"/>
          <w:color w:val="000000"/>
          <w:szCs w:val="20"/>
          <w:lang w:val="en-AU"/>
        </w:rPr>
        <w:t>Izvještaj</w:t>
      </w:r>
      <w:proofErr w:type="spellEnd"/>
      <w:r w:rsidRPr="00416D67">
        <w:rPr>
          <w:rFonts w:eastAsia="Cambria Math"/>
          <w:snapToGrid w:val="0"/>
          <w:color w:val="000000"/>
          <w:szCs w:val="20"/>
          <w:lang w:val="en-AU"/>
        </w:rPr>
        <w:t xml:space="preserve"> o </w:t>
      </w:r>
      <w:proofErr w:type="spellStart"/>
      <w:r w:rsidRPr="00416D67">
        <w:rPr>
          <w:rFonts w:eastAsia="Cambria Math"/>
          <w:snapToGrid w:val="0"/>
          <w:color w:val="000000"/>
          <w:szCs w:val="20"/>
          <w:lang w:val="en-AU"/>
        </w:rPr>
        <w:t>izvršenju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općeg</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dijela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proračuna</w:t>
      </w:r>
      <w:proofErr w:type="spellEnd"/>
      <w:r w:rsidRPr="00416D67">
        <w:rPr>
          <w:rFonts w:eastAsia="Cambria Math"/>
          <w:snapToGrid w:val="0"/>
          <w:color w:val="000000"/>
          <w:szCs w:val="20"/>
          <w:lang w:val="en-AU"/>
        </w:rPr>
        <w:t xml:space="preserve"> za 2025. </w:t>
      </w:r>
      <w:proofErr w:type="spellStart"/>
      <w:r w:rsidRPr="00416D67">
        <w:rPr>
          <w:rFonts w:eastAsia="Cambria Math"/>
          <w:snapToGrid w:val="0"/>
          <w:color w:val="000000"/>
          <w:szCs w:val="20"/>
          <w:lang w:val="en-AU"/>
        </w:rPr>
        <w:t>godinu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sadrži</w:t>
      </w:r>
      <w:proofErr w:type="spellEnd"/>
      <w:r w:rsidRPr="00416D67">
        <w:rPr>
          <w:rFonts w:eastAsia="Cambria Math"/>
          <w:snapToGrid w:val="0"/>
          <w:color w:val="000000"/>
          <w:szCs w:val="20"/>
          <w:lang w:val="en-AU"/>
        </w:rPr>
        <w:t xml:space="preserve">: </w:t>
      </w:r>
    </w:p>
    <w:p w14:paraId="63BB20D4" w14:textId="77777777" w:rsidR="00416D67" w:rsidRPr="00416D67" w:rsidRDefault="00416D67" w:rsidP="00416D67">
      <w:pPr>
        <w:rPr>
          <w:rFonts w:eastAsia="Cambria Math"/>
          <w:snapToGrid w:val="0"/>
          <w:color w:val="000000"/>
          <w:szCs w:val="20"/>
          <w:lang w:val="en-AU"/>
        </w:rPr>
      </w:pPr>
    </w:p>
    <w:p w14:paraId="1CE73E42" w14:textId="77777777" w:rsidR="00416D67" w:rsidRPr="00416D67" w:rsidRDefault="00416D67" w:rsidP="00416D67">
      <w:pPr>
        <w:spacing w:after="27"/>
        <w:rPr>
          <w:rFonts w:eastAsia="Cambria Math"/>
          <w:snapToGrid w:val="0"/>
          <w:color w:val="000000"/>
          <w:szCs w:val="20"/>
          <w:lang w:val="en-AU"/>
        </w:rPr>
      </w:pPr>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Sažetak</w:t>
      </w:r>
      <w:proofErr w:type="spellEnd"/>
      <w:r w:rsidRPr="00416D67">
        <w:rPr>
          <w:rFonts w:eastAsia="Cambria Math"/>
          <w:snapToGrid w:val="0"/>
          <w:color w:val="000000"/>
          <w:szCs w:val="20"/>
          <w:lang w:val="en-AU"/>
        </w:rPr>
        <w:t xml:space="preserve"> A. </w:t>
      </w:r>
      <w:proofErr w:type="spellStart"/>
      <w:r w:rsidRPr="00416D67">
        <w:rPr>
          <w:rFonts w:eastAsia="Cambria Math"/>
          <w:snapToGrid w:val="0"/>
          <w:color w:val="000000"/>
          <w:szCs w:val="20"/>
          <w:lang w:val="en-AU"/>
        </w:rPr>
        <w:t>Računa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prihoda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rashoda</w:t>
      </w:r>
      <w:proofErr w:type="spellEnd"/>
      <w:r w:rsidRPr="00416D67">
        <w:rPr>
          <w:rFonts w:eastAsia="Cambria Math"/>
          <w:snapToGrid w:val="0"/>
          <w:color w:val="000000"/>
          <w:szCs w:val="20"/>
          <w:lang w:val="en-AU"/>
        </w:rPr>
        <w:t xml:space="preserve"> i B. </w:t>
      </w:r>
      <w:proofErr w:type="spellStart"/>
      <w:r w:rsidRPr="00416D67">
        <w:rPr>
          <w:rFonts w:eastAsia="Cambria Math"/>
          <w:snapToGrid w:val="0"/>
          <w:color w:val="000000"/>
          <w:szCs w:val="20"/>
          <w:lang w:val="en-AU"/>
        </w:rPr>
        <w:t>Računa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financiranja</w:t>
      </w:r>
      <w:proofErr w:type="spellEnd"/>
      <w:r w:rsidRPr="00416D67">
        <w:rPr>
          <w:rFonts w:eastAsia="Cambria Math"/>
          <w:snapToGrid w:val="0"/>
          <w:color w:val="000000"/>
          <w:szCs w:val="20"/>
          <w:lang w:val="en-AU"/>
        </w:rPr>
        <w:t xml:space="preserve">, </w:t>
      </w:r>
    </w:p>
    <w:p w14:paraId="6E4C2A43" w14:textId="77777777" w:rsidR="00416D67" w:rsidRPr="00416D67" w:rsidRDefault="00416D67" w:rsidP="00416D67">
      <w:pPr>
        <w:spacing w:after="27"/>
        <w:rPr>
          <w:rFonts w:eastAsia="Cambria Math"/>
          <w:snapToGrid w:val="0"/>
          <w:color w:val="000000"/>
          <w:szCs w:val="20"/>
          <w:lang w:val="en-AU"/>
        </w:rPr>
      </w:pPr>
      <w:r w:rsidRPr="00416D67">
        <w:rPr>
          <w:rFonts w:eastAsia="Cambria Math"/>
          <w:snapToGrid w:val="0"/>
          <w:color w:val="000000"/>
          <w:szCs w:val="20"/>
          <w:lang w:val="en-AU"/>
        </w:rPr>
        <w:t xml:space="preserve">- A. </w:t>
      </w:r>
      <w:proofErr w:type="spellStart"/>
      <w:r w:rsidRPr="00416D67">
        <w:rPr>
          <w:rFonts w:eastAsia="Cambria Math"/>
          <w:snapToGrid w:val="0"/>
          <w:color w:val="000000"/>
          <w:szCs w:val="20"/>
          <w:lang w:val="en-AU"/>
        </w:rPr>
        <w:t>Račun</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prihoda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rashoda</w:t>
      </w:r>
      <w:proofErr w:type="spellEnd"/>
      <w:r w:rsidRPr="00416D67">
        <w:rPr>
          <w:rFonts w:eastAsia="Cambria Math"/>
          <w:snapToGrid w:val="0"/>
          <w:color w:val="000000"/>
          <w:szCs w:val="20"/>
          <w:lang w:val="en-AU"/>
        </w:rPr>
        <w:t xml:space="preserve">, </w:t>
      </w:r>
    </w:p>
    <w:p w14:paraId="7AFE46B2" w14:textId="77777777" w:rsidR="00416D67" w:rsidRPr="00416D67" w:rsidRDefault="00416D67" w:rsidP="00416D67">
      <w:pPr>
        <w:rPr>
          <w:rFonts w:eastAsia="Cambria Math"/>
          <w:snapToGrid w:val="0"/>
          <w:color w:val="000000"/>
          <w:szCs w:val="20"/>
          <w:lang w:val="en-AU"/>
        </w:rPr>
      </w:pPr>
      <w:r w:rsidRPr="00416D67">
        <w:rPr>
          <w:rFonts w:eastAsia="Cambria Math"/>
          <w:snapToGrid w:val="0"/>
          <w:color w:val="000000"/>
          <w:szCs w:val="20"/>
          <w:lang w:val="en-AU"/>
        </w:rPr>
        <w:t xml:space="preserve">- B. </w:t>
      </w:r>
      <w:proofErr w:type="spellStart"/>
      <w:r w:rsidRPr="00416D67">
        <w:rPr>
          <w:rFonts w:eastAsia="Cambria Math"/>
          <w:snapToGrid w:val="0"/>
          <w:color w:val="000000"/>
          <w:szCs w:val="20"/>
          <w:lang w:val="en-AU"/>
        </w:rPr>
        <w:t>Račun</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financiranja</w:t>
      </w:r>
      <w:proofErr w:type="spellEnd"/>
      <w:r w:rsidRPr="00416D67">
        <w:rPr>
          <w:rFonts w:eastAsia="Cambria Math"/>
          <w:snapToGrid w:val="0"/>
          <w:color w:val="000000"/>
          <w:szCs w:val="20"/>
          <w:lang w:val="en-AU"/>
        </w:rPr>
        <w:t xml:space="preserve"> </w:t>
      </w:r>
    </w:p>
    <w:p w14:paraId="07EB0C56" w14:textId="77777777" w:rsidR="00416D67" w:rsidRPr="00416D67" w:rsidRDefault="00416D67" w:rsidP="00416D67">
      <w:pPr>
        <w:rPr>
          <w:rFonts w:eastAsia="Cambria Math"/>
          <w:snapToGrid w:val="0"/>
          <w:color w:val="000000"/>
          <w:szCs w:val="20"/>
          <w:lang w:val="en-AU"/>
        </w:rPr>
      </w:pPr>
    </w:p>
    <w:p w14:paraId="5F44E17C" w14:textId="77777777" w:rsidR="00416D67" w:rsidRPr="00416D67" w:rsidRDefault="00416D67" w:rsidP="00416D67">
      <w:pPr>
        <w:rPr>
          <w:rFonts w:eastAsia="Cambria Math"/>
          <w:b/>
          <w:bCs/>
          <w:snapToGrid w:val="0"/>
          <w:szCs w:val="20"/>
          <w:u w:val="single"/>
          <w:lang w:val="en-AU"/>
        </w:rPr>
      </w:pPr>
      <w:r w:rsidRPr="00416D67">
        <w:rPr>
          <w:rFonts w:eastAsia="Cambria Math"/>
          <w:b/>
          <w:bCs/>
          <w:snapToGrid w:val="0"/>
          <w:szCs w:val="20"/>
          <w:u w:val="single"/>
          <w:lang w:val="en-AU"/>
        </w:rPr>
        <w:t xml:space="preserve">2.1.1. SAŽETAK </w:t>
      </w:r>
    </w:p>
    <w:p w14:paraId="708B2C42" w14:textId="77777777" w:rsidR="00416D67" w:rsidRPr="00416D67" w:rsidRDefault="00416D67" w:rsidP="00416D67">
      <w:pPr>
        <w:rPr>
          <w:rFonts w:eastAsia="Cambria Math"/>
          <w:b/>
          <w:bCs/>
          <w:snapToGrid w:val="0"/>
          <w:szCs w:val="20"/>
          <w:u w:val="single"/>
          <w:lang w:val="en-AU"/>
        </w:rPr>
      </w:pPr>
      <w:r w:rsidRPr="00416D67">
        <w:rPr>
          <w:rFonts w:eastAsia="Cambria Math"/>
          <w:b/>
          <w:bCs/>
          <w:snapToGrid w:val="0"/>
          <w:szCs w:val="20"/>
          <w:u w:val="single"/>
          <w:lang w:val="en-AU"/>
        </w:rPr>
        <w:t xml:space="preserve">A. </w:t>
      </w:r>
      <w:proofErr w:type="gramStart"/>
      <w:r w:rsidRPr="00416D67">
        <w:rPr>
          <w:rFonts w:eastAsia="Cambria Math"/>
          <w:b/>
          <w:bCs/>
          <w:snapToGrid w:val="0"/>
          <w:szCs w:val="20"/>
          <w:u w:val="single"/>
          <w:lang w:val="en-AU"/>
        </w:rPr>
        <w:t>RAČUN  PRIHODA</w:t>
      </w:r>
      <w:proofErr w:type="gramEnd"/>
      <w:r w:rsidRPr="00416D67">
        <w:rPr>
          <w:rFonts w:eastAsia="Cambria Math"/>
          <w:b/>
          <w:bCs/>
          <w:snapToGrid w:val="0"/>
          <w:szCs w:val="20"/>
          <w:u w:val="single"/>
          <w:lang w:val="en-AU"/>
        </w:rPr>
        <w:t xml:space="preserve"> I RASHODA I B. RAČUNA FINANCIRANJA </w:t>
      </w:r>
    </w:p>
    <w:p w14:paraId="262DD47E" w14:textId="77777777" w:rsidR="00416D67" w:rsidRPr="00416D67" w:rsidRDefault="00416D67" w:rsidP="00416D67">
      <w:pPr>
        <w:ind w:firstLine="708"/>
        <w:jc w:val="both"/>
        <w:rPr>
          <w:rFonts w:eastAsia="Cambria Math"/>
          <w:snapToGrid w:val="0"/>
          <w:szCs w:val="20"/>
          <w:lang w:val="en-AU"/>
        </w:rPr>
      </w:pPr>
    </w:p>
    <w:p w14:paraId="473DAAA2" w14:textId="77777777" w:rsidR="00416D67" w:rsidRPr="00416D67" w:rsidRDefault="00416D67" w:rsidP="00416D67">
      <w:pPr>
        <w:jc w:val="both"/>
      </w:pPr>
      <w:r w:rsidRPr="00416D67">
        <w:rPr>
          <w:u w:val="single"/>
        </w:rPr>
        <w:t>Sažetak A. Računa prihoda i rashoda i B. Računa financiranja</w:t>
      </w:r>
      <w:r w:rsidRPr="00416D67">
        <w:t xml:space="preserve"> daje prikaz ukupnih prihoda i primitaka, te rashoda i izdataka na razini razreda ekonomske klasifikacije, kao i višak/manjak prihoda. U 2025. godini ostvaren je </w:t>
      </w:r>
      <w:r w:rsidRPr="00416D67">
        <w:rPr>
          <w:b/>
          <w:bCs/>
        </w:rPr>
        <w:t xml:space="preserve">višak prihoda tekuće godine </w:t>
      </w:r>
      <w:r w:rsidRPr="00416D67">
        <w:t>u iznosu 965.346,03 EUR</w:t>
      </w:r>
      <w:r w:rsidRPr="00416D67">
        <w:rPr>
          <w:b/>
          <w:bCs/>
        </w:rPr>
        <w:t xml:space="preserve"> </w:t>
      </w:r>
      <w:r w:rsidRPr="00416D67">
        <w:rPr>
          <w:bCs/>
        </w:rPr>
        <w:t>(višak prihoda Općina   965.783,84 EUR , umanjen za manjak  prihoda proračunskog korisnika Dječji vrtić “Vrtuljak Marčana” od 437,81 EUR)</w:t>
      </w:r>
      <w:r w:rsidRPr="00416D67">
        <w:t xml:space="preserve">. Sadrži i prikaz </w:t>
      </w:r>
      <w:r w:rsidRPr="00416D67">
        <w:rPr>
          <w:b/>
          <w:bCs/>
        </w:rPr>
        <w:t xml:space="preserve">viška sredstva iz prethodnih godina </w:t>
      </w:r>
      <w:r w:rsidRPr="00416D67">
        <w:t>koja iznose 1.744.497,18  EUR (stanje 31.12.2024. 1.747.472,85 EUR korigirano je za naknadno utvrđene rashode prethodne godine , odnosno manjak prihoda poslovanja – ispravi iz prethodnih razdoblja u iznosu od 3.117,14 EUR i za višak prihoda poslovanja – ispravci iz prethodnih razdoblja u iznosu od  0,50 EUR)  na kraju izvještajnog razdoblja, višak prihoda iznosi  2.709.843,21 EUR</w:t>
      </w:r>
    </w:p>
    <w:p w14:paraId="23C7DFEC" w14:textId="77777777" w:rsidR="00416D67" w:rsidRPr="00416D67" w:rsidRDefault="00416D67" w:rsidP="00416D67">
      <w:pPr>
        <w:ind w:firstLine="708"/>
        <w:jc w:val="both"/>
        <w:rPr>
          <w:spacing w:val="-1"/>
        </w:rPr>
      </w:pPr>
    </w:p>
    <w:p w14:paraId="45E616C2" w14:textId="77777777" w:rsidR="00416D67" w:rsidRPr="00416D67" w:rsidRDefault="00416D67" w:rsidP="00416D67">
      <w:pPr>
        <w:ind w:firstLine="708"/>
        <w:jc w:val="both"/>
        <w:sectPr w:rsidR="00416D67" w:rsidRPr="00416D67" w:rsidSect="00416D67">
          <w:pgSz w:w="11906" w:h="16838"/>
          <w:pgMar w:top="1418" w:right="1418" w:bottom="1418" w:left="1418" w:header="709" w:footer="709" w:gutter="0"/>
          <w:cols w:space="708"/>
          <w:docGrid w:linePitch="360"/>
        </w:sectPr>
      </w:pPr>
      <w:r w:rsidRPr="00416D67">
        <w:t xml:space="preserve">Konačni rezultat poslovanja za 2025. godinu, </w:t>
      </w:r>
      <w:proofErr w:type="spellStart"/>
      <w:r w:rsidRPr="00416D67">
        <w:t>odnono</w:t>
      </w:r>
      <w:proofErr w:type="spellEnd"/>
      <w:r w:rsidRPr="00416D67">
        <w:t xml:space="preserve">  </w:t>
      </w:r>
      <w:r w:rsidRPr="00416D67">
        <w:rPr>
          <w:b/>
          <w:bCs/>
        </w:rPr>
        <w:t xml:space="preserve">višak prihoda i primitaka raspoloživ u slijedećem razdoblju  </w:t>
      </w:r>
      <w:r w:rsidRPr="00416D67">
        <w:t xml:space="preserve">u iznosu od </w:t>
      </w:r>
      <w:r w:rsidRPr="00416D67">
        <w:rPr>
          <w:b/>
          <w:bCs/>
        </w:rPr>
        <w:t xml:space="preserve">2.709.843,21 EUR </w:t>
      </w:r>
      <w:r w:rsidRPr="00416D67">
        <w:rPr>
          <w:bCs/>
        </w:rPr>
        <w:t>(sredstva Općine –višak 2.710.140,05 EUR i sredstva proračunskog korisnika - manjak 296,84 EUR)</w:t>
      </w:r>
      <w:r w:rsidRPr="00416D67">
        <w:t>.</w:t>
      </w:r>
    </w:p>
    <w:p w14:paraId="2703E8E5" w14:textId="77777777" w:rsidR="00416D67" w:rsidRPr="00416D67" w:rsidRDefault="00416D67" w:rsidP="00416D67">
      <w:pPr>
        <w:rPr>
          <w:rFonts w:eastAsia="Cambria Math"/>
          <w:b/>
          <w:bCs/>
          <w:snapToGrid w:val="0"/>
          <w:color w:val="000000"/>
          <w:szCs w:val="20"/>
          <w:u w:val="single"/>
          <w:lang w:val="en-AU"/>
        </w:rPr>
      </w:pPr>
      <w:r w:rsidRPr="00416D67">
        <w:rPr>
          <w:rFonts w:eastAsia="Cambria Math"/>
          <w:b/>
          <w:bCs/>
          <w:snapToGrid w:val="0"/>
          <w:color w:val="000000"/>
          <w:szCs w:val="20"/>
          <w:u w:val="single"/>
          <w:lang w:val="en-AU"/>
        </w:rPr>
        <w:lastRenderedPageBreak/>
        <w:t xml:space="preserve">2.1.2. RAČUN PRIHODA I </w:t>
      </w:r>
      <w:proofErr w:type="gramStart"/>
      <w:r w:rsidRPr="00416D67">
        <w:rPr>
          <w:rFonts w:eastAsia="Cambria Math"/>
          <w:b/>
          <w:bCs/>
          <w:snapToGrid w:val="0"/>
          <w:color w:val="000000"/>
          <w:szCs w:val="20"/>
          <w:u w:val="single"/>
          <w:lang w:val="en-AU"/>
        </w:rPr>
        <w:t>RASHODA  I</w:t>
      </w:r>
      <w:proofErr w:type="gramEnd"/>
      <w:r w:rsidRPr="00416D67">
        <w:rPr>
          <w:rFonts w:eastAsia="Cambria Math"/>
          <w:b/>
          <w:bCs/>
          <w:snapToGrid w:val="0"/>
          <w:color w:val="000000"/>
          <w:szCs w:val="20"/>
          <w:u w:val="single"/>
          <w:lang w:val="en-AU"/>
        </w:rPr>
        <w:t xml:space="preserve"> RAČUN FINANCIRANJA</w:t>
      </w:r>
    </w:p>
    <w:p w14:paraId="5C0A598E" w14:textId="77777777" w:rsidR="00416D67" w:rsidRPr="00416D67" w:rsidRDefault="00416D67" w:rsidP="00416D67">
      <w:pPr>
        <w:rPr>
          <w:rFonts w:eastAsia="Cambria Math"/>
          <w:snapToGrid w:val="0"/>
          <w:color w:val="000000"/>
          <w:szCs w:val="20"/>
          <w:lang w:val="en-AU"/>
        </w:rPr>
      </w:pPr>
    </w:p>
    <w:p w14:paraId="141A778D" w14:textId="77777777" w:rsidR="00416D67" w:rsidRPr="00416D67" w:rsidRDefault="00416D67" w:rsidP="00416D67">
      <w:pPr>
        <w:ind w:firstLine="708"/>
        <w:jc w:val="both"/>
        <w:rPr>
          <w:rFonts w:eastAsia="Cambria Math"/>
          <w:snapToGrid w:val="0"/>
          <w:color w:val="000000"/>
          <w:szCs w:val="20"/>
          <w:lang w:val="en-AU"/>
        </w:rPr>
      </w:pPr>
      <w:proofErr w:type="spellStart"/>
      <w:r w:rsidRPr="00416D67">
        <w:rPr>
          <w:rFonts w:eastAsia="Cambria Math"/>
          <w:snapToGrid w:val="0"/>
          <w:color w:val="000000"/>
          <w:szCs w:val="20"/>
          <w:lang w:val="en-AU"/>
        </w:rPr>
        <w:t>Račun</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prihoda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rashoda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daje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prikaz</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ukupnih</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prihoda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prihoda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poslovanja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prihoda</w:t>
      </w:r>
      <w:proofErr w:type="spellEnd"/>
      <w:r w:rsidRPr="00416D67">
        <w:rPr>
          <w:rFonts w:eastAsia="Cambria Math"/>
          <w:snapToGrid w:val="0"/>
          <w:color w:val="000000"/>
          <w:szCs w:val="20"/>
          <w:lang w:val="en-AU"/>
        </w:rPr>
        <w:t xml:space="preserve"> od </w:t>
      </w:r>
      <w:proofErr w:type="spellStart"/>
      <w:r w:rsidRPr="00416D67">
        <w:rPr>
          <w:rFonts w:eastAsia="Cambria Math"/>
          <w:snapToGrid w:val="0"/>
          <w:color w:val="000000"/>
          <w:szCs w:val="20"/>
          <w:lang w:val="en-AU"/>
        </w:rPr>
        <w:t>prodaje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nefinancijske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imovine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rashoda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rashoda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poslovanja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rashoda</w:t>
      </w:r>
      <w:proofErr w:type="spellEnd"/>
      <w:r w:rsidRPr="00416D67">
        <w:rPr>
          <w:rFonts w:eastAsia="Cambria Math"/>
          <w:snapToGrid w:val="0"/>
          <w:color w:val="000000"/>
          <w:szCs w:val="20"/>
          <w:lang w:val="en-AU"/>
        </w:rPr>
        <w:t xml:space="preserve"> za </w:t>
      </w:r>
      <w:proofErr w:type="spellStart"/>
      <w:r w:rsidRPr="00416D67">
        <w:rPr>
          <w:rFonts w:eastAsia="Cambria Math"/>
          <w:snapToGrid w:val="0"/>
          <w:color w:val="000000"/>
          <w:szCs w:val="20"/>
          <w:lang w:val="en-AU"/>
        </w:rPr>
        <w:t>nabavu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nefinancijske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imovine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tekuće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godine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te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rezultat</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poslovanja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tekuće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godine</w:t>
      </w:r>
      <w:proofErr w:type="spellEnd"/>
      <w:r w:rsidRPr="00416D67">
        <w:rPr>
          <w:rFonts w:eastAsia="Cambria Math"/>
          <w:snapToGrid w:val="0"/>
          <w:color w:val="000000"/>
          <w:szCs w:val="20"/>
          <w:lang w:val="en-AU"/>
        </w:rPr>
        <w:t xml:space="preserve">, a to je </w:t>
      </w:r>
      <w:proofErr w:type="spellStart"/>
      <w:r w:rsidRPr="00416D67">
        <w:rPr>
          <w:rFonts w:eastAsia="Cambria Math"/>
          <w:snapToGrid w:val="0"/>
          <w:color w:val="000000"/>
          <w:szCs w:val="20"/>
          <w:lang w:val="en-AU"/>
        </w:rPr>
        <w:t>višak</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prihoda</w:t>
      </w:r>
      <w:proofErr w:type="spellEnd"/>
      <w:r w:rsidRPr="00416D67">
        <w:rPr>
          <w:rFonts w:eastAsia="Cambria Math"/>
          <w:snapToGrid w:val="0"/>
          <w:color w:val="000000"/>
          <w:szCs w:val="20"/>
          <w:lang w:val="en-AU"/>
        </w:rPr>
        <w:t xml:space="preserve"> u </w:t>
      </w:r>
      <w:proofErr w:type="spellStart"/>
      <w:r w:rsidRPr="00416D67">
        <w:rPr>
          <w:rFonts w:eastAsia="Cambria Math"/>
          <w:snapToGrid w:val="0"/>
          <w:color w:val="000000"/>
          <w:szCs w:val="20"/>
          <w:lang w:val="en-AU"/>
        </w:rPr>
        <w:t>iznosu</w:t>
      </w:r>
      <w:proofErr w:type="spellEnd"/>
      <w:r w:rsidRPr="00416D67">
        <w:rPr>
          <w:rFonts w:eastAsia="Cambria Math"/>
          <w:snapToGrid w:val="0"/>
          <w:color w:val="000000"/>
          <w:szCs w:val="20"/>
          <w:lang w:val="en-AU"/>
        </w:rPr>
        <w:t xml:space="preserve"> od 1.149.568,99 EUR.</w:t>
      </w:r>
    </w:p>
    <w:p w14:paraId="56692354" w14:textId="77777777" w:rsidR="00416D67" w:rsidRPr="00416D67" w:rsidRDefault="00416D67" w:rsidP="00416D67">
      <w:pPr>
        <w:ind w:firstLine="708"/>
        <w:jc w:val="both"/>
        <w:rPr>
          <w:rFonts w:eastAsia="Cambria Math"/>
          <w:snapToGrid w:val="0"/>
          <w:szCs w:val="20"/>
          <w:lang w:val="en-AU"/>
        </w:rPr>
      </w:pPr>
      <w:r w:rsidRPr="00416D67">
        <w:rPr>
          <w:rFonts w:eastAsia="Cambria Math"/>
          <w:b/>
          <w:snapToGrid w:val="0"/>
          <w:color w:val="000000"/>
          <w:szCs w:val="20"/>
          <w:lang w:val="en-AU"/>
        </w:rPr>
        <w:t>PRIHODI</w:t>
      </w:r>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su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izvršeni</w:t>
      </w:r>
      <w:proofErr w:type="spellEnd"/>
      <w:r w:rsidRPr="00416D67">
        <w:rPr>
          <w:rFonts w:eastAsia="Cambria Math"/>
          <w:snapToGrid w:val="0"/>
          <w:color w:val="000000"/>
          <w:szCs w:val="20"/>
          <w:lang w:val="en-AU"/>
        </w:rPr>
        <w:t xml:space="preserve"> u </w:t>
      </w:r>
      <w:proofErr w:type="spellStart"/>
      <w:r w:rsidRPr="00416D67">
        <w:rPr>
          <w:rFonts w:eastAsia="Cambria Math"/>
          <w:snapToGrid w:val="0"/>
          <w:color w:val="000000"/>
          <w:szCs w:val="20"/>
          <w:lang w:val="en-AU"/>
        </w:rPr>
        <w:t>iznosu</w:t>
      </w:r>
      <w:proofErr w:type="spellEnd"/>
      <w:r w:rsidRPr="00416D67">
        <w:rPr>
          <w:rFonts w:eastAsia="Cambria Math"/>
          <w:snapToGrid w:val="0"/>
          <w:color w:val="000000"/>
          <w:szCs w:val="20"/>
          <w:lang w:val="en-AU"/>
        </w:rPr>
        <w:t xml:space="preserve"> od </w:t>
      </w:r>
      <w:r w:rsidRPr="00416D67">
        <w:rPr>
          <w:rFonts w:eastAsia="Cambria Math"/>
          <w:b/>
          <w:snapToGrid w:val="0"/>
          <w:color w:val="000000"/>
          <w:szCs w:val="20"/>
          <w:lang w:val="en-AU"/>
        </w:rPr>
        <w:t>7.346.186,18 EUR</w:t>
      </w:r>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što</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čini</w:t>
      </w:r>
      <w:proofErr w:type="spellEnd"/>
      <w:r w:rsidRPr="00416D67">
        <w:rPr>
          <w:rFonts w:eastAsia="Cambria Math"/>
          <w:snapToGrid w:val="0"/>
          <w:color w:val="000000"/>
          <w:szCs w:val="20"/>
          <w:lang w:val="en-AU"/>
        </w:rPr>
        <w:t xml:space="preserve"> 102,23% </w:t>
      </w:r>
      <w:proofErr w:type="spellStart"/>
      <w:r w:rsidRPr="00416D67">
        <w:rPr>
          <w:rFonts w:eastAsia="Cambria Math"/>
          <w:snapToGrid w:val="0"/>
          <w:color w:val="000000"/>
          <w:szCs w:val="20"/>
          <w:lang w:val="en-AU"/>
        </w:rPr>
        <w:t>ostvarenja</w:t>
      </w:r>
      <w:proofErr w:type="spellEnd"/>
      <w:r w:rsidRPr="00416D67">
        <w:rPr>
          <w:rFonts w:eastAsia="Cambria Math"/>
          <w:snapToGrid w:val="0"/>
          <w:color w:val="000000"/>
          <w:szCs w:val="20"/>
          <w:lang w:val="en-AU"/>
        </w:rPr>
        <w:t xml:space="preserve"> u </w:t>
      </w:r>
      <w:proofErr w:type="spellStart"/>
      <w:r w:rsidRPr="00416D67">
        <w:rPr>
          <w:rFonts w:eastAsia="Cambria Math"/>
          <w:snapToGrid w:val="0"/>
          <w:color w:val="000000"/>
          <w:szCs w:val="20"/>
          <w:lang w:val="en-AU"/>
        </w:rPr>
        <w:t>odnosu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na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planirano</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ostvarenje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prethodne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godine</w:t>
      </w:r>
      <w:proofErr w:type="spellEnd"/>
      <w:r w:rsidRPr="00416D67">
        <w:rPr>
          <w:rFonts w:eastAsia="Cambria Math"/>
          <w:snapToGrid w:val="0"/>
          <w:color w:val="000000"/>
          <w:szCs w:val="20"/>
          <w:lang w:val="en-AU"/>
        </w:rPr>
        <w:t xml:space="preserve"> 5.816.430,37 EUR),  a </w:t>
      </w:r>
      <w:proofErr w:type="spellStart"/>
      <w:r w:rsidRPr="00416D67">
        <w:rPr>
          <w:rFonts w:eastAsia="Cambria Math"/>
          <w:snapToGrid w:val="0"/>
          <w:color w:val="000000"/>
          <w:szCs w:val="20"/>
          <w:lang w:val="en-AU"/>
        </w:rPr>
        <w:t>odnose</w:t>
      </w:r>
      <w:proofErr w:type="spellEnd"/>
      <w:r w:rsidRPr="00416D67">
        <w:rPr>
          <w:rFonts w:eastAsia="Cambria Math"/>
          <w:snapToGrid w:val="0"/>
          <w:color w:val="000000"/>
          <w:szCs w:val="20"/>
          <w:lang w:val="en-AU"/>
        </w:rPr>
        <w:t xml:space="preserve"> se </w:t>
      </w:r>
      <w:proofErr w:type="spellStart"/>
      <w:r w:rsidRPr="00416D67">
        <w:rPr>
          <w:rFonts w:eastAsia="Cambria Math"/>
          <w:snapToGrid w:val="0"/>
          <w:color w:val="000000"/>
          <w:szCs w:val="20"/>
          <w:lang w:val="en-AU"/>
        </w:rPr>
        <w:t>na</w:t>
      </w:r>
      <w:proofErr w:type="spellEnd"/>
      <w:r w:rsidRPr="00416D67">
        <w:rPr>
          <w:rFonts w:eastAsia="Cambria Math"/>
          <w:snapToGrid w:val="0"/>
          <w:color w:val="000000"/>
          <w:szCs w:val="20"/>
          <w:lang w:val="en-AU"/>
        </w:rPr>
        <w:t xml:space="preserve"> </w:t>
      </w:r>
      <w:proofErr w:type="spellStart"/>
      <w:r w:rsidRPr="00416D67">
        <w:rPr>
          <w:rFonts w:eastAsia="Cambria Math"/>
          <w:b/>
          <w:snapToGrid w:val="0"/>
          <w:color w:val="000000"/>
          <w:szCs w:val="20"/>
          <w:lang w:val="en-AU"/>
        </w:rPr>
        <w:t>prihode</w:t>
      </w:r>
      <w:proofErr w:type="spellEnd"/>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poslovanja</w:t>
      </w:r>
      <w:proofErr w:type="spellEnd"/>
      <w:r w:rsidRPr="00416D67">
        <w:rPr>
          <w:rFonts w:eastAsia="Cambria Math"/>
          <w:snapToGrid w:val="0"/>
          <w:color w:val="000000"/>
          <w:szCs w:val="20"/>
          <w:lang w:val="en-AU"/>
        </w:rPr>
        <w:t xml:space="preserve"> koji </w:t>
      </w:r>
      <w:proofErr w:type="spellStart"/>
      <w:r w:rsidRPr="00416D67">
        <w:rPr>
          <w:rFonts w:eastAsia="Cambria Math"/>
          <w:snapToGrid w:val="0"/>
          <w:color w:val="000000"/>
          <w:szCs w:val="20"/>
          <w:lang w:val="en-AU"/>
        </w:rPr>
        <w:t>su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izvršeni</w:t>
      </w:r>
      <w:proofErr w:type="spellEnd"/>
      <w:r w:rsidRPr="00416D67">
        <w:rPr>
          <w:rFonts w:eastAsia="Cambria Math"/>
          <w:snapToGrid w:val="0"/>
          <w:color w:val="000000"/>
          <w:szCs w:val="20"/>
          <w:lang w:val="en-AU"/>
        </w:rPr>
        <w:t xml:space="preserve"> u </w:t>
      </w:r>
      <w:proofErr w:type="spellStart"/>
      <w:r w:rsidRPr="00416D67">
        <w:rPr>
          <w:rFonts w:eastAsia="Cambria Math"/>
          <w:snapToGrid w:val="0"/>
          <w:color w:val="000000"/>
          <w:szCs w:val="20"/>
          <w:lang w:val="en-AU"/>
        </w:rPr>
        <w:t>iznosu</w:t>
      </w:r>
      <w:proofErr w:type="spellEnd"/>
      <w:r w:rsidRPr="00416D67">
        <w:rPr>
          <w:rFonts w:eastAsia="Cambria Math"/>
          <w:snapToGrid w:val="0"/>
          <w:color w:val="000000"/>
          <w:szCs w:val="20"/>
          <w:lang w:val="en-AU"/>
        </w:rPr>
        <w:t xml:space="preserve"> od 5.877.215,42 EUR (</w:t>
      </w:r>
      <w:proofErr w:type="spellStart"/>
      <w:r w:rsidRPr="00416D67">
        <w:rPr>
          <w:rFonts w:eastAsia="Cambria Math"/>
          <w:snapToGrid w:val="0"/>
          <w:color w:val="000000"/>
          <w:szCs w:val="20"/>
          <w:lang w:val="en-AU"/>
        </w:rPr>
        <w:t>ostvarenje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prethodne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godine</w:t>
      </w:r>
      <w:proofErr w:type="spellEnd"/>
      <w:r w:rsidRPr="00416D67">
        <w:rPr>
          <w:rFonts w:eastAsia="Cambria Math"/>
          <w:snapToGrid w:val="0"/>
          <w:color w:val="000000"/>
          <w:szCs w:val="20"/>
          <w:lang w:val="en-AU"/>
        </w:rPr>
        <w:t xml:space="preserve"> 5.807.544,36 EUR) , </w:t>
      </w:r>
      <w:proofErr w:type="spellStart"/>
      <w:r w:rsidRPr="00416D67">
        <w:rPr>
          <w:rFonts w:eastAsia="Cambria Math"/>
          <w:snapToGrid w:val="0"/>
          <w:color w:val="000000"/>
          <w:szCs w:val="20"/>
          <w:lang w:val="en-AU"/>
        </w:rPr>
        <w:t>na</w:t>
      </w:r>
      <w:proofErr w:type="spellEnd"/>
      <w:r w:rsidRPr="00416D67">
        <w:rPr>
          <w:rFonts w:eastAsia="Cambria Math"/>
          <w:snapToGrid w:val="0"/>
          <w:color w:val="000000"/>
          <w:szCs w:val="20"/>
          <w:lang w:val="en-AU"/>
        </w:rPr>
        <w:t xml:space="preserve"> </w:t>
      </w:r>
      <w:proofErr w:type="spellStart"/>
      <w:r w:rsidRPr="00416D67">
        <w:rPr>
          <w:rFonts w:eastAsia="Cambria Math"/>
          <w:b/>
          <w:snapToGrid w:val="0"/>
          <w:color w:val="000000"/>
          <w:szCs w:val="20"/>
          <w:lang w:val="en-AU"/>
        </w:rPr>
        <w:t>prihode</w:t>
      </w:r>
      <w:proofErr w:type="spellEnd"/>
      <w:r w:rsidRPr="00416D67">
        <w:rPr>
          <w:rFonts w:eastAsia="Cambria Math"/>
          <w:b/>
          <w:snapToGrid w:val="0"/>
          <w:color w:val="000000"/>
          <w:szCs w:val="20"/>
          <w:lang w:val="en-AU"/>
        </w:rPr>
        <w:t xml:space="preserve"> od </w:t>
      </w:r>
      <w:proofErr w:type="spellStart"/>
      <w:r w:rsidRPr="00416D67">
        <w:rPr>
          <w:rFonts w:eastAsia="Cambria Math"/>
          <w:b/>
          <w:snapToGrid w:val="0"/>
          <w:color w:val="000000"/>
          <w:szCs w:val="20"/>
          <w:lang w:val="en-AU"/>
        </w:rPr>
        <w:t>prodaje</w:t>
      </w:r>
      <w:proofErr w:type="spellEnd"/>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nefinancijske</w:t>
      </w:r>
      <w:proofErr w:type="spellEnd"/>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imovine</w:t>
      </w:r>
      <w:proofErr w:type="spellEnd"/>
      <w:r w:rsidRPr="00416D67">
        <w:rPr>
          <w:rFonts w:eastAsia="Cambria Math"/>
          <w:snapToGrid w:val="0"/>
          <w:color w:val="000000"/>
          <w:szCs w:val="20"/>
          <w:lang w:val="en-AU"/>
        </w:rPr>
        <w:t xml:space="preserve"> koji </w:t>
      </w:r>
      <w:proofErr w:type="spellStart"/>
      <w:r w:rsidRPr="00416D67">
        <w:rPr>
          <w:rFonts w:eastAsia="Cambria Math"/>
          <w:snapToGrid w:val="0"/>
          <w:color w:val="000000"/>
          <w:szCs w:val="20"/>
          <w:lang w:val="en-AU"/>
        </w:rPr>
        <w:t>su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izvršeni</w:t>
      </w:r>
      <w:proofErr w:type="spellEnd"/>
      <w:r w:rsidRPr="00416D67">
        <w:rPr>
          <w:rFonts w:eastAsia="Cambria Math"/>
          <w:snapToGrid w:val="0"/>
          <w:color w:val="000000"/>
          <w:szCs w:val="20"/>
          <w:lang w:val="en-AU"/>
        </w:rPr>
        <w:t xml:space="preserve"> u </w:t>
      </w:r>
      <w:proofErr w:type="spellStart"/>
      <w:r w:rsidRPr="00416D67">
        <w:rPr>
          <w:rFonts w:eastAsia="Cambria Math"/>
          <w:snapToGrid w:val="0"/>
          <w:color w:val="000000"/>
          <w:szCs w:val="20"/>
          <w:lang w:val="en-AU"/>
        </w:rPr>
        <w:t>iznosu</w:t>
      </w:r>
      <w:proofErr w:type="spellEnd"/>
      <w:r w:rsidRPr="00416D67">
        <w:rPr>
          <w:rFonts w:eastAsia="Cambria Math"/>
          <w:snapToGrid w:val="0"/>
          <w:color w:val="000000"/>
          <w:szCs w:val="20"/>
          <w:lang w:val="en-AU"/>
        </w:rPr>
        <w:t xml:space="preserve"> od 1.632.646,65 EUR (</w:t>
      </w:r>
      <w:proofErr w:type="spellStart"/>
      <w:r w:rsidRPr="00416D67">
        <w:rPr>
          <w:rFonts w:eastAsia="Cambria Math"/>
          <w:snapToGrid w:val="0"/>
          <w:color w:val="000000"/>
          <w:szCs w:val="20"/>
          <w:lang w:val="en-AU"/>
        </w:rPr>
        <w:t>ostvarenje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prethodne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godine</w:t>
      </w:r>
      <w:proofErr w:type="spellEnd"/>
      <w:r w:rsidRPr="00416D67">
        <w:rPr>
          <w:rFonts w:eastAsia="Cambria Math"/>
          <w:b/>
          <w:snapToGrid w:val="0"/>
          <w:color w:val="000000"/>
          <w:szCs w:val="20"/>
          <w:lang w:val="en-AU"/>
        </w:rPr>
        <w:t xml:space="preserve"> </w:t>
      </w:r>
      <w:r w:rsidRPr="00416D67">
        <w:rPr>
          <w:rFonts w:eastAsia="Cambria Math"/>
          <w:snapToGrid w:val="0"/>
          <w:color w:val="000000"/>
          <w:szCs w:val="20"/>
          <w:lang w:val="en-AU"/>
        </w:rPr>
        <w:t>8.886,01 EUR) .</w:t>
      </w:r>
    </w:p>
    <w:p w14:paraId="1A7D35D2" w14:textId="77777777" w:rsidR="00416D67" w:rsidRPr="00416D67" w:rsidRDefault="00416D67" w:rsidP="00416D67">
      <w:pPr>
        <w:ind w:firstLine="708"/>
        <w:jc w:val="both"/>
        <w:rPr>
          <w:rFonts w:eastAsia="Cambria Math"/>
          <w:snapToGrid w:val="0"/>
          <w:color w:val="000000"/>
          <w:szCs w:val="20"/>
          <w:lang w:val="en-AU"/>
        </w:rPr>
      </w:pPr>
      <w:r w:rsidRPr="00416D67">
        <w:rPr>
          <w:rFonts w:eastAsia="Cambria Math"/>
          <w:b/>
          <w:snapToGrid w:val="0"/>
          <w:color w:val="000000"/>
          <w:szCs w:val="20"/>
          <w:lang w:val="en-AU"/>
        </w:rPr>
        <w:t>RASHODI</w:t>
      </w:r>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su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izvršeni</w:t>
      </w:r>
      <w:proofErr w:type="spellEnd"/>
      <w:r w:rsidRPr="00416D67">
        <w:rPr>
          <w:rFonts w:eastAsia="Cambria Math"/>
          <w:snapToGrid w:val="0"/>
          <w:color w:val="000000"/>
          <w:szCs w:val="20"/>
          <w:lang w:val="en-AU"/>
        </w:rPr>
        <w:t xml:space="preserve"> u </w:t>
      </w:r>
      <w:proofErr w:type="spellStart"/>
      <w:r w:rsidRPr="00416D67">
        <w:rPr>
          <w:rFonts w:eastAsia="Cambria Math"/>
          <w:snapToGrid w:val="0"/>
          <w:color w:val="000000"/>
          <w:szCs w:val="20"/>
          <w:lang w:val="en-AU"/>
        </w:rPr>
        <w:t>iznosu</w:t>
      </w:r>
      <w:proofErr w:type="spellEnd"/>
      <w:r w:rsidRPr="00416D67">
        <w:rPr>
          <w:rFonts w:eastAsia="Cambria Math"/>
          <w:snapToGrid w:val="0"/>
          <w:color w:val="000000"/>
          <w:szCs w:val="20"/>
          <w:lang w:val="en-AU"/>
        </w:rPr>
        <w:t xml:space="preserve"> od 6.360.293,08 </w:t>
      </w:r>
      <w:proofErr w:type="gramStart"/>
      <w:r w:rsidRPr="00416D67">
        <w:rPr>
          <w:rFonts w:eastAsia="Cambria Math"/>
          <w:snapToGrid w:val="0"/>
          <w:color w:val="000000"/>
          <w:szCs w:val="20"/>
          <w:lang w:val="en-AU"/>
        </w:rPr>
        <w:t>EUR  (</w:t>
      </w:r>
      <w:proofErr w:type="spellStart"/>
      <w:proofErr w:type="gramEnd"/>
      <w:r w:rsidRPr="00416D67">
        <w:rPr>
          <w:rFonts w:eastAsia="Cambria Math"/>
          <w:snapToGrid w:val="0"/>
          <w:color w:val="000000"/>
          <w:szCs w:val="20"/>
          <w:lang w:val="en-AU"/>
        </w:rPr>
        <w:t>ostvarenje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prethodne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godine</w:t>
      </w:r>
      <w:proofErr w:type="spellEnd"/>
      <w:r w:rsidRPr="00416D67">
        <w:rPr>
          <w:rFonts w:eastAsia="Cambria Math"/>
          <w:b/>
          <w:snapToGrid w:val="0"/>
          <w:color w:val="000000"/>
          <w:szCs w:val="20"/>
          <w:lang w:val="en-AU"/>
        </w:rPr>
        <w:t xml:space="preserve"> </w:t>
      </w:r>
      <w:r w:rsidRPr="00416D67">
        <w:rPr>
          <w:rFonts w:eastAsia="Cambria Math"/>
          <w:snapToGrid w:val="0"/>
          <w:color w:val="000000"/>
          <w:szCs w:val="20"/>
          <w:lang w:val="en-AU"/>
        </w:rPr>
        <w:t xml:space="preserve">5.250.264,10 EUR), </w:t>
      </w:r>
      <w:proofErr w:type="spellStart"/>
      <w:r w:rsidRPr="00416D67">
        <w:rPr>
          <w:rFonts w:eastAsia="Cambria Math"/>
          <w:snapToGrid w:val="0"/>
          <w:color w:val="000000"/>
          <w:szCs w:val="20"/>
          <w:lang w:val="en-AU"/>
        </w:rPr>
        <w:t>odnosno</w:t>
      </w:r>
      <w:proofErr w:type="spellEnd"/>
      <w:r w:rsidRPr="00416D67">
        <w:rPr>
          <w:rFonts w:eastAsia="Cambria Math"/>
          <w:snapToGrid w:val="0"/>
          <w:color w:val="000000"/>
          <w:szCs w:val="20"/>
          <w:lang w:val="en-AU"/>
        </w:rPr>
        <w:t xml:space="preserve"> 71,49% u </w:t>
      </w:r>
      <w:proofErr w:type="spellStart"/>
      <w:r w:rsidRPr="00416D67">
        <w:rPr>
          <w:rFonts w:eastAsia="Cambria Math"/>
          <w:snapToGrid w:val="0"/>
          <w:color w:val="000000"/>
          <w:szCs w:val="20"/>
          <w:lang w:val="en-AU"/>
        </w:rPr>
        <w:t>odnosu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na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planirano</w:t>
      </w:r>
      <w:proofErr w:type="spellEnd"/>
      <w:r w:rsidRPr="00416D67">
        <w:rPr>
          <w:rFonts w:eastAsia="Cambria Math"/>
          <w:snapToGrid w:val="0"/>
          <w:color w:val="000000"/>
          <w:szCs w:val="20"/>
          <w:lang w:val="en-AU"/>
        </w:rPr>
        <w:t xml:space="preserve">, </w:t>
      </w:r>
      <w:proofErr w:type="gramStart"/>
      <w:r w:rsidRPr="00416D67">
        <w:rPr>
          <w:rFonts w:eastAsia="Cambria Math"/>
          <w:snapToGrid w:val="0"/>
          <w:color w:val="000000"/>
          <w:szCs w:val="20"/>
          <w:lang w:val="en-AU"/>
        </w:rPr>
        <w:t>a</w:t>
      </w:r>
      <w:proofErr w:type="gram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odnose</w:t>
      </w:r>
      <w:proofErr w:type="spellEnd"/>
      <w:r w:rsidRPr="00416D67">
        <w:rPr>
          <w:rFonts w:eastAsia="Cambria Math"/>
          <w:snapToGrid w:val="0"/>
          <w:color w:val="000000"/>
          <w:szCs w:val="20"/>
          <w:lang w:val="en-AU"/>
        </w:rPr>
        <w:t xml:space="preserve"> se </w:t>
      </w:r>
      <w:proofErr w:type="spellStart"/>
      <w:r w:rsidRPr="00416D67">
        <w:rPr>
          <w:rFonts w:eastAsia="Cambria Math"/>
          <w:snapToGrid w:val="0"/>
          <w:color w:val="000000"/>
          <w:szCs w:val="20"/>
          <w:lang w:val="en-AU"/>
        </w:rPr>
        <w:t>na</w:t>
      </w:r>
      <w:proofErr w:type="spellEnd"/>
      <w:r w:rsidRPr="00416D67">
        <w:rPr>
          <w:rFonts w:eastAsia="Cambria Math"/>
          <w:snapToGrid w:val="0"/>
          <w:color w:val="000000"/>
          <w:szCs w:val="20"/>
          <w:lang w:val="en-AU"/>
        </w:rPr>
        <w:t xml:space="preserve"> </w:t>
      </w:r>
      <w:proofErr w:type="spellStart"/>
      <w:r w:rsidRPr="00416D67">
        <w:rPr>
          <w:rFonts w:eastAsia="Cambria Math"/>
          <w:b/>
          <w:snapToGrid w:val="0"/>
          <w:color w:val="000000"/>
          <w:szCs w:val="20"/>
          <w:lang w:val="en-AU"/>
        </w:rPr>
        <w:t>rashode</w:t>
      </w:r>
      <w:proofErr w:type="spellEnd"/>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poslovanja</w:t>
      </w:r>
      <w:proofErr w:type="spellEnd"/>
      <w:r w:rsidRPr="00416D67">
        <w:rPr>
          <w:rFonts w:eastAsia="Cambria Math"/>
          <w:snapToGrid w:val="0"/>
          <w:color w:val="000000"/>
          <w:szCs w:val="20"/>
          <w:lang w:val="en-AU"/>
        </w:rPr>
        <w:t xml:space="preserve"> u </w:t>
      </w:r>
      <w:proofErr w:type="spellStart"/>
      <w:r w:rsidRPr="00416D67">
        <w:rPr>
          <w:rFonts w:eastAsia="Cambria Math"/>
          <w:snapToGrid w:val="0"/>
          <w:color w:val="000000"/>
          <w:szCs w:val="20"/>
          <w:lang w:val="en-AU"/>
        </w:rPr>
        <w:t>iznosu</w:t>
      </w:r>
      <w:proofErr w:type="spellEnd"/>
      <w:r w:rsidRPr="00416D67">
        <w:rPr>
          <w:rFonts w:eastAsia="Cambria Math"/>
          <w:snapToGrid w:val="0"/>
          <w:color w:val="000000"/>
          <w:szCs w:val="20"/>
          <w:lang w:val="en-AU"/>
        </w:rPr>
        <w:t xml:space="preserve"> 4.187.956,</w:t>
      </w:r>
      <w:proofErr w:type="gramStart"/>
      <w:r w:rsidRPr="00416D67">
        <w:rPr>
          <w:rFonts w:eastAsia="Cambria Math"/>
          <w:snapToGrid w:val="0"/>
          <w:color w:val="000000"/>
          <w:szCs w:val="20"/>
          <w:lang w:val="en-AU"/>
        </w:rPr>
        <w:t>59  EUR</w:t>
      </w:r>
      <w:proofErr w:type="gram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ostvarenje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prethodne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godine</w:t>
      </w:r>
      <w:proofErr w:type="spellEnd"/>
      <w:r w:rsidRPr="00416D67">
        <w:rPr>
          <w:rFonts w:eastAsia="Cambria Math"/>
          <w:b/>
          <w:snapToGrid w:val="0"/>
          <w:color w:val="000000"/>
          <w:szCs w:val="20"/>
          <w:lang w:val="en-AU"/>
        </w:rPr>
        <w:t xml:space="preserve"> </w:t>
      </w:r>
      <w:r w:rsidRPr="00416D67">
        <w:rPr>
          <w:rFonts w:eastAsia="Cambria Math"/>
          <w:snapToGrid w:val="0"/>
          <w:color w:val="000000"/>
          <w:szCs w:val="20"/>
          <w:lang w:val="en-AU"/>
        </w:rPr>
        <w:t xml:space="preserve">3.423.197,81 EUR), </w:t>
      </w:r>
      <w:proofErr w:type="spellStart"/>
      <w:r w:rsidRPr="00416D67">
        <w:rPr>
          <w:rFonts w:eastAsia="Cambria Math"/>
          <w:snapToGrid w:val="0"/>
          <w:color w:val="000000"/>
          <w:szCs w:val="20"/>
          <w:lang w:val="en-AU"/>
        </w:rPr>
        <w:t>na</w:t>
      </w:r>
      <w:proofErr w:type="spellEnd"/>
      <w:r w:rsidRPr="00416D67">
        <w:rPr>
          <w:rFonts w:eastAsia="Cambria Math"/>
          <w:snapToGrid w:val="0"/>
          <w:color w:val="000000"/>
          <w:szCs w:val="20"/>
          <w:lang w:val="en-AU"/>
        </w:rPr>
        <w:t xml:space="preserve"> </w:t>
      </w:r>
      <w:proofErr w:type="spellStart"/>
      <w:r w:rsidRPr="00416D67">
        <w:rPr>
          <w:rFonts w:eastAsia="Cambria Math"/>
          <w:b/>
          <w:snapToGrid w:val="0"/>
          <w:color w:val="000000"/>
          <w:szCs w:val="20"/>
          <w:lang w:val="en-AU"/>
        </w:rPr>
        <w:t>rashode</w:t>
      </w:r>
      <w:proofErr w:type="spellEnd"/>
      <w:r w:rsidRPr="00416D67">
        <w:rPr>
          <w:rFonts w:eastAsia="Cambria Math"/>
          <w:b/>
          <w:snapToGrid w:val="0"/>
          <w:color w:val="000000"/>
          <w:szCs w:val="20"/>
          <w:lang w:val="en-AU"/>
        </w:rPr>
        <w:t xml:space="preserve"> za </w:t>
      </w:r>
      <w:proofErr w:type="spellStart"/>
      <w:r w:rsidRPr="00416D67">
        <w:rPr>
          <w:rFonts w:eastAsia="Cambria Math"/>
          <w:b/>
          <w:snapToGrid w:val="0"/>
          <w:color w:val="000000"/>
          <w:szCs w:val="20"/>
          <w:lang w:val="en-AU"/>
        </w:rPr>
        <w:t>nabavu</w:t>
      </w:r>
      <w:proofErr w:type="spellEnd"/>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nefinancijske</w:t>
      </w:r>
      <w:proofErr w:type="spellEnd"/>
      <w:r w:rsidRPr="00416D67">
        <w:rPr>
          <w:rFonts w:eastAsia="Cambria Math"/>
          <w:b/>
          <w:snapToGrid w:val="0"/>
          <w:color w:val="000000"/>
          <w:szCs w:val="20"/>
          <w:lang w:val="en-AU"/>
        </w:rPr>
        <w:t xml:space="preserve"> </w:t>
      </w:r>
      <w:proofErr w:type="spellStart"/>
      <w:r w:rsidRPr="00416D67">
        <w:rPr>
          <w:rFonts w:eastAsia="Cambria Math"/>
          <w:b/>
          <w:snapToGrid w:val="0"/>
          <w:color w:val="000000"/>
          <w:szCs w:val="20"/>
          <w:lang w:val="en-AU"/>
        </w:rPr>
        <w:t>imovine</w:t>
      </w:r>
      <w:proofErr w:type="spellEnd"/>
      <w:r w:rsidRPr="00416D67">
        <w:rPr>
          <w:rFonts w:eastAsia="Cambria Math"/>
          <w:snapToGrid w:val="0"/>
          <w:color w:val="000000"/>
          <w:szCs w:val="20"/>
          <w:lang w:val="en-AU"/>
        </w:rPr>
        <w:t xml:space="preserve"> u </w:t>
      </w:r>
      <w:proofErr w:type="spellStart"/>
      <w:r w:rsidRPr="00416D67">
        <w:rPr>
          <w:rFonts w:eastAsia="Cambria Math"/>
          <w:snapToGrid w:val="0"/>
          <w:color w:val="000000"/>
          <w:szCs w:val="20"/>
          <w:lang w:val="en-AU"/>
        </w:rPr>
        <w:t>iznosu</w:t>
      </w:r>
      <w:proofErr w:type="spellEnd"/>
      <w:r w:rsidRPr="00416D67">
        <w:rPr>
          <w:rFonts w:eastAsia="Cambria Math"/>
          <w:snapToGrid w:val="0"/>
          <w:color w:val="000000"/>
          <w:szCs w:val="20"/>
          <w:lang w:val="en-AU"/>
        </w:rPr>
        <w:t xml:space="preserve"> od 2.172.336,49 </w:t>
      </w:r>
      <w:proofErr w:type="gramStart"/>
      <w:r w:rsidRPr="00416D67">
        <w:rPr>
          <w:rFonts w:eastAsia="Cambria Math"/>
          <w:snapToGrid w:val="0"/>
          <w:color w:val="000000"/>
          <w:szCs w:val="20"/>
          <w:lang w:val="en-AU"/>
        </w:rPr>
        <w:t>EUR  (</w:t>
      </w:r>
      <w:proofErr w:type="spellStart"/>
      <w:proofErr w:type="gramEnd"/>
      <w:r w:rsidRPr="00416D67">
        <w:rPr>
          <w:rFonts w:eastAsia="Cambria Math"/>
          <w:snapToGrid w:val="0"/>
          <w:color w:val="000000"/>
          <w:szCs w:val="20"/>
          <w:lang w:val="en-AU"/>
        </w:rPr>
        <w:t>ostvarenje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prethodne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godine</w:t>
      </w:r>
      <w:proofErr w:type="spellEnd"/>
      <w:r w:rsidRPr="00416D67">
        <w:rPr>
          <w:rFonts w:eastAsia="Cambria Math"/>
          <w:b/>
          <w:snapToGrid w:val="0"/>
          <w:color w:val="000000"/>
          <w:szCs w:val="20"/>
          <w:lang w:val="en-AU"/>
        </w:rPr>
        <w:t xml:space="preserve"> </w:t>
      </w:r>
      <w:r w:rsidRPr="00416D67">
        <w:rPr>
          <w:rFonts w:eastAsia="Cambria Math"/>
          <w:snapToGrid w:val="0"/>
          <w:color w:val="000000"/>
          <w:szCs w:val="20"/>
          <w:lang w:val="en-AU"/>
        </w:rPr>
        <w:t>1.827.066,29 EUR).</w:t>
      </w:r>
    </w:p>
    <w:p w14:paraId="508666C5" w14:textId="77777777" w:rsidR="00416D67" w:rsidRPr="00416D67" w:rsidRDefault="00416D67" w:rsidP="00416D67">
      <w:pPr>
        <w:jc w:val="both"/>
        <w:rPr>
          <w:color w:val="000000"/>
        </w:rPr>
      </w:pPr>
      <w:r w:rsidRPr="00416D67">
        <w:rPr>
          <w:b/>
          <w:snapToGrid w:val="0"/>
          <w:color w:val="000000"/>
          <w:lang w:val="en-AU"/>
        </w:rPr>
        <w:t xml:space="preserve">             </w:t>
      </w:r>
      <w:proofErr w:type="gramStart"/>
      <w:r w:rsidRPr="00416D67">
        <w:rPr>
          <w:b/>
          <w:snapToGrid w:val="0"/>
          <w:color w:val="000000"/>
          <w:lang w:val="en-AU"/>
        </w:rPr>
        <w:t xml:space="preserve">PRIMICI </w:t>
      </w:r>
      <w:r w:rsidRPr="00416D67">
        <w:rPr>
          <w:snapToGrid w:val="0"/>
          <w:color w:val="000000"/>
          <w:lang w:val="en-AU"/>
        </w:rPr>
        <w:t xml:space="preserve"> od</w:t>
      </w:r>
      <w:proofErr w:type="gramEnd"/>
      <w:r w:rsidRPr="00416D67">
        <w:rPr>
          <w:snapToGrid w:val="0"/>
          <w:color w:val="000000"/>
          <w:lang w:val="en-AU"/>
        </w:rPr>
        <w:t xml:space="preserve"> </w:t>
      </w:r>
      <w:proofErr w:type="spellStart"/>
      <w:r w:rsidRPr="00416D67">
        <w:rPr>
          <w:snapToGrid w:val="0"/>
          <w:color w:val="000000"/>
          <w:lang w:val="en-AU"/>
        </w:rPr>
        <w:t>financijske</w:t>
      </w:r>
      <w:proofErr w:type="spellEnd"/>
      <w:r w:rsidRPr="00416D67">
        <w:rPr>
          <w:snapToGrid w:val="0"/>
          <w:color w:val="000000"/>
          <w:lang w:val="en-AU"/>
        </w:rPr>
        <w:t xml:space="preserve"> </w:t>
      </w:r>
      <w:proofErr w:type="spellStart"/>
      <w:r w:rsidRPr="00416D67">
        <w:rPr>
          <w:snapToGrid w:val="0"/>
          <w:color w:val="000000"/>
          <w:lang w:val="en-AU"/>
        </w:rPr>
        <w:t>imovine</w:t>
      </w:r>
      <w:proofErr w:type="spellEnd"/>
      <w:r w:rsidRPr="00416D67">
        <w:rPr>
          <w:snapToGrid w:val="0"/>
          <w:color w:val="000000"/>
          <w:lang w:val="en-AU"/>
        </w:rPr>
        <w:t xml:space="preserve"> I </w:t>
      </w:r>
      <w:proofErr w:type="spellStart"/>
      <w:r w:rsidRPr="00416D67">
        <w:rPr>
          <w:snapToGrid w:val="0"/>
          <w:color w:val="000000"/>
          <w:lang w:val="en-AU"/>
        </w:rPr>
        <w:t>zaduživanja</w:t>
      </w:r>
      <w:proofErr w:type="spellEnd"/>
      <w:r w:rsidRPr="00416D67">
        <w:rPr>
          <w:snapToGrid w:val="0"/>
          <w:color w:val="000000"/>
          <w:lang w:val="en-AU"/>
        </w:rPr>
        <w:t xml:space="preserve"> u </w:t>
      </w:r>
      <w:proofErr w:type="spellStart"/>
      <w:r w:rsidRPr="00416D67">
        <w:rPr>
          <w:snapToGrid w:val="0"/>
          <w:color w:val="000000"/>
          <w:lang w:val="en-AU"/>
        </w:rPr>
        <w:t>izvještajnom</w:t>
      </w:r>
      <w:proofErr w:type="spellEnd"/>
      <w:r w:rsidRPr="00416D67">
        <w:rPr>
          <w:snapToGrid w:val="0"/>
          <w:color w:val="000000"/>
          <w:lang w:val="en-AU"/>
        </w:rPr>
        <w:t xml:space="preserve"> </w:t>
      </w:r>
      <w:proofErr w:type="spellStart"/>
      <w:r w:rsidRPr="00416D67">
        <w:rPr>
          <w:snapToGrid w:val="0"/>
          <w:color w:val="000000"/>
          <w:lang w:val="en-AU"/>
        </w:rPr>
        <w:t>razdoblju</w:t>
      </w:r>
      <w:proofErr w:type="spellEnd"/>
      <w:r w:rsidRPr="00416D67">
        <w:rPr>
          <w:snapToGrid w:val="0"/>
          <w:color w:val="000000"/>
          <w:lang w:val="en-AU"/>
        </w:rPr>
        <w:t xml:space="preserve"> </w:t>
      </w:r>
      <w:proofErr w:type="spellStart"/>
      <w:r w:rsidRPr="00416D67">
        <w:rPr>
          <w:snapToGrid w:val="0"/>
          <w:color w:val="000000"/>
          <w:lang w:val="en-AU"/>
        </w:rPr>
        <w:t>ostvareni</w:t>
      </w:r>
      <w:proofErr w:type="spellEnd"/>
      <w:r w:rsidRPr="00416D67">
        <w:rPr>
          <w:snapToGrid w:val="0"/>
          <w:color w:val="000000"/>
          <w:lang w:val="en-AU"/>
        </w:rPr>
        <w:t xml:space="preserve"> </w:t>
      </w:r>
      <w:proofErr w:type="spellStart"/>
      <w:r w:rsidRPr="00416D67">
        <w:rPr>
          <w:snapToGrid w:val="0"/>
          <w:color w:val="000000"/>
          <w:lang w:val="en-AU"/>
        </w:rPr>
        <w:t>su</w:t>
      </w:r>
      <w:proofErr w:type="spellEnd"/>
      <w:r w:rsidRPr="00416D67">
        <w:rPr>
          <w:snapToGrid w:val="0"/>
          <w:color w:val="000000"/>
          <w:lang w:val="en-AU"/>
        </w:rPr>
        <w:t xml:space="preserve"> u </w:t>
      </w:r>
      <w:proofErr w:type="spellStart"/>
      <w:r w:rsidRPr="00416D67">
        <w:rPr>
          <w:snapToGrid w:val="0"/>
          <w:color w:val="000000"/>
          <w:lang w:val="en-AU"/>
        </w:rPr>
        <w:t>iznosu</w:t>
      </w:r>
      <w:proofErr w:type="spellEnd"/>
      <w:r w:rsidRPr="00416D67">
        <w:rPr>
          <w:snapToGrid w:val="0"/>
          <w:color w:val="000000"/>
          <w:lang w:val="en-AU"/>
        </w:rPr>
        <w:t xml:space="preserve"> od 42.776,75 EUR (u </w:t>
      </w:r>
      <w:proofErr w:type="spellStart"/>
      <w:r w:rsidRPr="00416D67">
        <w:rPr>
          <w:snapToGrid w:val="0"/>
          <w:color w:val="000000"/>
          <w:lang w:val="en-AU"/>
        </w:rPr>
        <w:t>izvještajnom</w:t>
      </w:r>
      <w:proofErr w:type="spellEnd"/>
      <w:r w:rsidRPr="00416D67">
        <w:rPr>
          <w:snapToGrid w:val="0"/>
          <w:color w:val="000000"/>
          <w:lang w:val="en-AU"/>
        </w:rPr>
        <w:t xml:space="preserve"> </w:t>
      </w:r>
      <w:proofErr w:type="spellStart"/>
      <w:r w:rsidRPr="00416D67">
        <w:rPr>
          <w:snapToGrid w:val="0"/>
          <w:color w:val="000000"/>
          <w:lang w:val="en-AU"/>
        </w:rPr>
        <w:t>razdoblju</w:t>
      </w:r>
      <w:proofErr w:type="spellEnd"/>
      <w:r w:rsidRPr="00416D67">
        <w:rPr>
          <w:snapToGrid w:val="0"/>
          <w:color w:val="000000"/>
          <w:lang w:val="en-AU"/>
        </w:rPr>
        <w:t xml:space="preserve"> </w:t>
      </w:r>
      <w:proofErr w:type="spellStart"/>
      <w:r w:rsidRPr="00416D67">
        <w:rPr>
          <w:snapToGrid w:val="0"/>
          <w:color w:val="000000"/>
          <w:lang w:val="en-AU"/>
        </w:rPr>
        <w:t>prethodne</w:t>
      </w:r>
      <w:proofErr w:type="spellEnd"/>
      <w:r w:rsidRPr="00416D67">
        <w:rPr>
          <w:snapToGrid w:val="0"/>
          <w:color w:val="000000"/>
          <w:lang w:val="en-AU"/>
        </w:rPr>
        <w:t xml:space="preserve"> </w:t>
      </w:r>
      <w:proofErr w:type="spellStart"/>
      <w:r w:rsidRPr="00416D67">
        <w:rPr>
          <w:snapToGrid w:val="0"/>
          <w:color w:val="000000"/>
          <w:lang w:val="en-AU"/>
        </w:rPr>
        <w:t>godine</w:t>
      </w:r>
      <w:proofErr w:type="spellEnd"/>
      <w:r w:rsidRPr="00416D67">
        <w:rPr>
          <w:snapToGrid w:val="0"/>
          <w:color w:val="000000"/>
          <w:lang w:val="en-AU"/>
        </w:rPr>
        <w:t xml:space="preserve"> </w:t>
      </w:r>
      <w:proofErr w:type="spellStart"/>
      <w:r w:rsidRPr="00416D67">
        <w:rPr>
          <w:snapToGrid w:val="0"/>
          <w:color w:val="000000"/>
          <w:lang w:val="en-AU"/>
        </w:rPr>
        <w:t>nije</w:t>
      </w:r>
      <w:proofErr w:type="spellEnd"/>
      <w:r w:rsidRPr="00416D67">
        <w:rPr>
          <w:snapToGrid w:val="0"/>
          <w:color w:val="000000"/>
          <w:lang w:val="en-AU"/>
        </w:rPr>
        <w:t xml:space="preserve"> </w:t>
      </w:r>
      <w:proofErr w:type="spellStart"/>
      <w:r w:rsidRPr="00416D67">
        <w:rPr>
          <w:snapToGrid w:val="0"/>
          <w:color w:val="000000"/>
          <w:lang w:val="en-AU"/>
        </w:rPr>
        <w:t>bilo</w:t>
      </w:r>
      <w:proofErr w:type="spellEnd"/>
      <w:r w:rsidRPr="00416D67">
        <w:rPr>
          <w:snapToGrid w:val="0"/>
          <w:color w:val="000000"/>
          <w:lang w:val="en-AU"/>
        </w:rPr>
        <w:t xml:space="preserve"> </w:t>
      </w:r>
      <w:proofErr w:type="spellStart"/>
      <w:r w:rsidRPr="00416D67">
        <w:rPr>
          <w:snapToGrid w:val="0"/>
          <w:color w:val="000000"/>
          <w:lang w:val="en-AU"/>
        </w:rPr>
        <w:t>ostvarenja</w:t>
      </w:r>
      <w:proofErr w:type="spellEnd"/>
      <w:r w:rsidRPr="00416D67">
        <w:rPr>
          <w:snapToGrid w:val="0"/>
          <w:color w:val="000000"/>
          <w:lang w:val="en-AU"/>
        </w:rPr>
        <w:t xml:space="preserve">), </w:t>
      </w:r>
      <w:proofErr w:type="gramStart"/>
      <w:r w:rsidRPr="00416D67">
        <w:rPr>
          <w:snapToGrid w:val="0"/>
          <w:color w:val="000000"/>
          <w:lang w:val="en-AU"/>
        </w:rPr>
        <w:t>a</w:t>
      </w:r>
      <w:proofErr w:type="gramEnd"/>
      <w:r w:rsidRPr="00416D67">
        <w:rPr>
          <w:snapToGrid w:val="0"/>
          <w:color w:val="000000"/>
          <w:lang w:val="en-AU"/>
        </w:rPr>
        <w:t xml:space="preserve"> </w:t>
      </w:r>
      <w:proofErr w:type="spellStart"/>
      <w:r w:rsidRPr="00416D67">
        <w:rPr>
          <w:snapToGrid w:val="0"/>
          <w:color w:val="000000"/>
          <w:lang w:val="en-AU"/>
        </w:rPr>
        <w:t>odnosi</w:t>
      </w:r>
      <w:proofErr w:type="spellEnd"/>
      <w:r w:rsidRPr="00416D67">
        <w:rPr>
          <w:snapToGrid w:val="0"/>
          <w:color w:val="000000"/>
          <w:lang w:val="en-AU"/>
        </w:rPr>
        <w:t xml:space="preserve"> se </w:t>
      </w:r>
      <w:proofErr w:type="spellStart"/>
      <w:r w:rsidRPr="00416D67">
        <w:rPr>
          <w:snapToGrid w:val="0"/>
          <w:color w:val="000000"/>
          <w:lang w:val="en-AU"/>
        </w:rPr>
        <w:t>na</w:t>
      </w:r>
      <w:proofErr w:type="spellEnd"/>
      <w:r w:rsidRPr="00416D67">
        <w:rPr>
          <w:snapToGrid w:val="0"/>
          <w:color w:val="000000"/>
          <w:lang w:val="en-AU"/>
        </w:rPr>
        <w:t xml:space="preserve"> </w:t>
      </w:r>
      <w:proofErr w:type="spellStart"/>
      <w:r w:rsidRPr="00416D67">
        <w:rPr>
          <w:snapToGrid w:val="0"/>
          <w:color w:val="000000"/>
          <w:lang w:val="en-AU"/>
        </w:rPr>
        <w:t>povrat</w:t>
      </w:r>
      <w:proofErr w:type="spellEnd"/>
      <w:r w:rsidRPr="00416D67">
        <w:rPr>
          <w:snapToGrid w:val="0"/>
          <w:color w:val="000000"/>
          <w:lang w:val="en-AU"/>
        </w:rPr>
        <w:t xml:space="preserve"> </w:t>
      </w:r>
      <w:proofErr w:type="spellStart"/>
      <w:r w:rsidRPr="00416D67">
        <w:rPr>
          <w:snapToGrid w:val="0"/>
          <w:color w:val="000000"/>
          <w:lang w:val="en-AU"/>
        </w:rPr>
        <w:t>danog</w:t>
      </w:r>
      <w:proofErr w:type="spellEnd"/>
      <w:r w:rsidRPr="00416D67">
        <w:rPr>
          <w:snapToGrid w:val="0"/>
          <w:color w:val="000000"/>
          <w:lang w:val="en-AU"/>
        </w:rPr>
        <w:t xml:space="preserve"> </w:t>
      </w:r>
      <w:proofErr w:type="spellStart"/>
      <w:r w:rsidRPr="00416D67">
        <w:rPr>
          <w:snapToGrid w:val="0"/>
          <w:color w:val="000000"/>
          <w:lang w:val="en-AU"/>
        </w:rPr>
        <w:t>zajma</w:t>
      </w:r>
      <w:proofErr w:type="spellEnd"/>
      <w:r w:rsidRPr="00416D67">
        <w:rPr>
          <w:snapToGrid w:val="0"/>
          <w:color w:val="000000"/>
          <w:lang w:val="en-AU"/>
        </w:rPr>
        <w:t xml:space="preserve"> </w:t>
      </w:r>
      <w:proofErr w:type="spellStart"/>
      <w:r w:rsidRPr="00416D67">
        <w:rPr>
          <w:snapToGrid w:val="0"/>
          <w:color w:val="000000"/>
          <w:lang w:val="en-AU"/>
        </w:rPr>
        <w:t>neprofitnoj</w:t>
      </w:r>
      <w:proofErr w:type="spellEnd"/>
      <w:r w:rsidRPr="00416D67">
        <w:rPr>
          <w:snapToGrid w:val="0"/>
          <w:color w:val="000000"/>
          <w:lang w:val="en-AU"/>
        </w:rPr>
        <w:t xml:space="preserve"> </w:t>
      </w:r>
      <w:proofErr w:type="spellStart"/>
      <w:r w:rsidRPr="00416D67">
        <w:rPr>
          <w:snapToGrid w:val="0"/>
          <w:color w:val="000000"/>
          <w:lang w:val="en-AU"/>
        </w:rPr>
        <w:t>organizaciji</w:t>
      </w:r>
      <w:proofErr w:type="spellEnd"/>
      <w:r w:rsidRPr="00416D67">
        <w:rPr>
          <w:snapToGrid w:val="0"/>
          <w:color w:val="000000"/>
          <w:lang w:val="en-AU"/>
        </w:rPr>
        <w:t xml:space="preserve"> u </w:t>
      </w:r>
      <w:proofErr w:type="spellStart"/>
      <w:r w:rsidRPr="00416D67">
        <w:rPr>
          <w:snapToGrid w:val="0"/>
          <w:color w:val="000000"/>
          <w:lang w:val="en-AU"/>
        </w:rPr>
        <w:t>iznosu</w:t>
      </w:r>
      <w:proofErr w:type="spellEnd"/>
      <w:r w:rsidRPr="00416D67">
        <w:rPr>
          <w:snapToGrid w:val="0"/>
          <w:color w:val="000000"/>
          <w:lang w:val="en-AU"/>
        </w:rPr>
        <w:t xml:space="preserve"> od 40.000,00 </w:t>
      </w:r>
      <w:proofErr w:type="gramStart"/>
      <w:r w:rsidRPr="00416D67">
        <w:rPr>
          <w:snapToGrid w:val="0"/>
          <w:color w:val="000000"/>
          <w:lang w:val="en-AU"/>
        </w:rPr>
        <w:t>EUR ,</w:t>
      </w:r>
      <w:proofErr w:type="spellStart"/>
      <w:r w:rsidRPr="00416D67">
        <w:rPr>
          <w:snapToGrid w:val="0"/>
          <w:color w:val="000000"/>
          <w:lang w:val="en-AU"/>
        </w:rPr>
        <w:t>te</w:t>
      </w:r>
      <w:proofErr w:type="spellEnd"/>
      <w:proofErr w:type="gramEnd"/>
      <w:r w:rsidRPr="00416D67">
        <w:rPr>
          <w:snapToGrid w:val="0"/>
          <w:color w:val="000000"/>
          <w:lang w:val="en-AU"/>
        </w:rPr>
        <w:t xml:space="preserve">  </w:t>
      </w:r>
      <w:proofErr w:type="spellStart"/>
      <w:r w:rsidRPr="00416D67">
        <w:rPr>
          <w:snapToGrid w:val="0"/>
          <w:color w:val="000000"/>
          <w:lang w:val="en-AU"/>
        </w:rPr>
        <w:t>na</w:t>
      </w:r>
      <w:proofErr w:type="spellEnd"/>
      <w:r w:rsidRPr="00416D67">
        <w:rPr>
          <w:snapToGrid w:val="0"/>
          <w:color w:val="000000"/>
          <w:lang w:val="en-AU"/>
        </w:rPr>
        <w:t xml:space="preserve"> </w:t>
      </w:r>
      <w:proofErr w:type="spellStart"/>
      <w:r w:rsidRPr="00416D67">
        <w:rPr>
          <w:snapToGrid w:val="0"/>
          <w:color w:val="000000"/>
          <w:lang w:val="en-AU"/>
        </w:rPr>
        <w:t>primitak</w:t>
      </w:r>
      <w:proofErr w:type="spellEnd"/>
      <w:r w:rsidRPr="00416D67">
        <w:rPr>
          <w:snapToGrid w:val="0"/>
          <w:color w:val="000000"/>
          <w:lang w:val="en-AU"/>
        </w:rPr>
        <w:t xml:space="preserve"> od </w:t>
      </w:r>
      <w:proofErr w:type="spellStart"/>
      <w:r w:rsidRPr="00416D67">
        <w:rPr>
          <w:snapToGrid w:val="0"/>
          <w:color w:val="000000"/>
          <w:lang w:val="en-AU"/>
        </w:rPr>
        <w:t>povrata</w:t>
      </w:r>
      <w:proofErr w:type="spellEnd"/>
      <w:r w:rsidRPr="00416D67">
        <w:rPr>
          <w:snapToGrid w:val="0"/>
          <w:color w:val="000000"/>
          <w:lang w:val="en-AU"/>
        </w:rPr>
        <w:t xml:space="preserve"> </w:t>
      </w:r>
      <w:proofErr w:type="spellStart"/>
      <w:r w:rsidRPr="00416D67">
        <w:rPr>
          <w:snapToGrid w:val="0"/>
          <w:color w:val="000000"/>
          <w:lang w:val="en-AU"/>
        </w:rPr>
        <w:t>jamčevnog</w:t>
      </w:r>
      <w:proofErr w:type="spellEnd"/>
      <w:r w:rsidRPr="00416D67">
        <w:rPr>
          <w:snapToGrid w:val="0"/>
          <w:color w:val="000000"/>
          <w:lang w:val="en-AU"/>
        </w:rPr>
        <w:t xml:space="preserve"> </w:t>
      </w:r>
      <w:proofErr w:type="spellStart"/>
      <w:r w:rsidRPr="00416D67">
        <w:rPr>
          <w:snapToGrid w:val="0"/>
          <w:color w:val="000000"/>
          <w:lang w:val="en-AU"/>
        </w:rPr>
        <w:t>pologa</w:t>
      </w:r>
      <w:proofErr w:type="spellEnd"/>
      <w:r w:rsidRPr="00416D67">
        <w:rPr>
          <w:snapToGrid w:val="0"/>
          <w:color w:val="000000"/>
          <w:lang w:val="en-AU"/>
        </w:rPr>
        <w:t xml:space="preserve"> u </w:t>
      </w:r>
      <w:proofErr w:type="spellStart"/>
      <w:r w:rsidRPr="00416D67">
        <w:rPr>
          <w:snapToGrid w:val="0"/>
          <w:color w:val="000000"/>
          <w:lang w:val="en-AU"/>
        </w:rPr>
        <w:t>iznosu</w:t>
      </w:r>
      <w:proofErr w:type="spellEnd"/>
      <w:r w:rsidRPr="00416D67">
        <w:rPr>
          <w:snapToGrid w:val="0"/>
          <w:color w:val="000000"/>
          <w:lang w:val="en-AU"/>
        </w:rPr>
        <w:t xml:space="preserve"> od 2.776,75 EUR (</w:t>
      </w:r>
      <w:proofErr w:type="spellStart"/>
      <w:r w:rsidRPr="00416D67">
        <w:rPr>
          <w:snapToGrid w:val="0"/>
          <w:color w:val="000000"/>
          <w:lang w:val="en-AU"/>
        </w:rPr>
        <w:t>nakon</w:t>
      </w:r>
      <w:proofErr w:type="spellEnd"/>
      <w:r w:rsidRPr="00416D67">
        <w:rPr>
          <w:snapToGrid w:val="0"/>
          <w:color w:val="000000"/>
          <w:lang w:val="en-AU"/>
        </w:rPr>
        <w:t xml:space="preserve"> </w:t>
      </w:r>
      <w:proofErr w:type="spellStart"/>
      <w:r w:rsidRPr="00416D67">
        <w:rPr>
          <w:snapToGrid w:val="0"/>
          <w:color w:val="000000"/>
          <w:lang w:val="en-AU"/>
        </w:rPr>
        <w:t>isteka</w:t>
      </w:r>
      <w:proofErr w:type="spellEnd"/>
      <w:r w:rsidRPr="00416D67">
        <w:rPr>
          <w:snapToGrid w:val="0"/>
          <w:color w:val="000000"/>
          <w:lang w:val="en-AU"/>
        </w:rPr>
        <w:t xml:space="preserve"> </w:t>
      </w:r>
      <w:proofErr w:type="spellStart"/>
      <w:r w:rsidRPr="00416D67">
        <w:rPr>
          <w:snapToGrid w:val="0"/>
          <w:color w:val="000000"/>
          <w:lang w:val="en-AU"/>
        </w:rPr>
        <w:t>operativnog</w:t>
      </w:r>
      <w:proofErr w:type="spellEnd"/>
      <w:r w:rsidRPr="00416D67">
        <w:rPr>
          <w:snapToGrid w:val="0"/>
          <w:color w:val="000000"/>
          <w:lang w:val="en-AU"/>
        </w:rPr>
        <w:t xml:space="preserve"> </w:t>
      </w:r>
      <w:proofErr w:type="spellStart"/>
      <w:r w:rsidRPr="00416D67">
        <w:rPr>
          <w:snapToGrid w:val="0"/>
          <w:color w:val="000000"/>
          <w:lang w:val="en-AU"/>
        </w:rPr>
        <w:t>leasinga</w:t>
      </w:r>
      <w:proofErr w:type="spellEnd"/>
      <w:r w:rsidRPr="00416D67">
        <w:rPr>
          <w:snapToGrid w:val="0"/>
          <w:color w:val="000000"/>
          <w:lang w:val="en-AU"/>
        </w:rPr>
        <w:t xml:space="preserve"> </w:t>
      </w:r>
      <w:proofErr w:type="spellStart"/>
      <w:r w:rsidRPr="00416D67">
        <w:rPr>
          <w:snapToGrid w:val="0"/>
          <w:color w:val="000000"/>
          <w:lang w:val="en-AU"/>
        </w:rPr>
        <w:t>vraćen</w:t>
      </w:r>
      <w:proofErr w:type="spellEnd"/>
      <w:r w:rsidRPr="00416D67">
        <w:rPr>
          <w:snapToGrid w:val="0"/>
          <w:color w:val="000000"/>
          <w:lang w:val="en-AU"/>
        </w:rPr>
        <w:t xml:space="preserve"> je </w:t>
      </w:r>
      <w:proofErr w:type="spellStart"/>
      <w:r w:rsidRPr="00416D67">
        <w:rPr>
          <w:snapToGrid w:val="0"/>
          <w:color w:val="000000"/>
          <w:lang w:val="en-AU"/>
        </w:rPr>
        <w:t>jamčevni</w:t>
      </w:r>
      <w:proofErr w:type="spellEnd"/>
      <w:r w:rsidRPr="00416D67">
        <w:rPr>
          <w:snapToGrid w:val="0"/>
          <w:color w:val="000000"/>
          <w:lang w:val="en-AU"/>
        </w:rPr>
        <w:t xml:space="preserve"> </w:t>
      </w:r>
      <w:proofErr w:type="spellStart"/>
      <w:r w:rsidRPr="00416D67">
        <w:rPr>
          <w:snapToGrid w:val="0"/>
          <w:color w:val="000000"/>
          <w:lang w:val="en-AU"/>
        </w:rPr>
        <w:t>polog</w:t>
      </w:r>
      <w:proofErr w:type="spellEnd"/>
      <w:r w:rsidRPr="00416D67">
        <w:rPr>
          <w:snapToGrid w:val="0"/>
          <w:color w:val="000000"/>
          <w:lang w:val="en-AU"/>
        </w:rPr>
        <w:t>).</w:t>
      </w:r>
    </w:p>
    <w:p w14:paraId="4F217738" w14:textId="77777777" w:rsidR="00416D67" w:rsidRPr="00416D67" w:rsidRDefault="00416D67" w:rsidP="00416D67">
      <w:pPr>
        <w:spacing w:before="29"/>
        <w:jc w:val="both"/>
      </w:pPr>
      <w:r w:rsidRPr="00416D67">
        <w:rPr>
          <w:b/>
        </w:rPr>
        <w:t xml:space="preserve">             IZDACI </w:t>
      </w:r>
      <w:r w:rsidRPr="00416D67">
        <w:t>su izvršeni u iznosu od 226.999,71 EUR (ostvarenje prethodne godine</w:t>
      </w:r>
      <w:r w:rsidRPr="00416D67">
        <w:rPr>
          <w:b/>
        </w:rPr>
        <w:t xml:space="preserve"> </w:t>
      </w:r>
      <w:r w:rsidRPr="00416D67">
        <w:t>71.429,76 EUR).  i ima slijedeću strukturu:</w:t>
      </w:r>
    </w:p>
    <w:p w14:paraId="51E78F83" w14:textId="77777777" w:rsidR="00416D67" w:rsidRPr="00416D67" w:rsidRDefault="00416D67">
      <w:pPr>
        <w:numPr>
          <w:ilvl w:val="0"/>
          <w:numId w:val="19"/>
        </w:numPr>
        <w:spacing w:before="29"/>
        <w:jc w:val="both"/>
      </w:pPr>
      <w:r w:rsidRPr="00416D67">
        <w:t xml:space="preserve">Izdaci za dane </w:t>
      </w:r>
      <w:proofErr w:type="spellStart"/>
      <w:r w:rsidRPr="00416D67">
        <w:t>jamove</w:t>
      </w:r>
      <w:proofErr w:type="spellEnd"/>
      <w:r w:rsidRPr="00416D67">
        <w:t xml:space="preserve"> neprofitnoj organizaciji 40.000,00 EUR,</w:t>
      </w:r>
    </w:p>
    <w:p w14:paraId="3B796B35" w14:textId="77777777" w:rsidR="00416D67" w:rsidRPr="00416D67" w:rsidRDefault="00416D67">
      <w:pPr>
        <w:numPr>
          <w:ilvl w:val="0"/>
          <w:numId w:val="19"/>
        </w:numPr>
        <w:spacing w:before="29"/>
        <w:jc w:val="both"/>
      </w:pPr>
      <w:r w:rsidRPr="00416D67">
        <w:t xml:space="preserve">Izdatak za </w:t>
      </w:r>
      <w:proofErr w:type="spellStart"/>
      <w:r w:rsidRPr="00416D67">
        <w:t>jamčevni</w:t>
      </w:r>
      <w:proofErr w:type="spellEnd"/>
      <w:r w:rsidRPr="00416D67">
        <w:t xml:space="preserve"> polog (ugovoren operativni leasing početkom izvještajnog razdoblja) 6.295,95 EUR,</w:t>
      </w:r>
    </w:p>
    <w:p w14:paraId="3C12A932" w14:textId="77777777" w:rsidR="00416D67" w:rsidRPr="00416D67" w:rsidRDefault="00416D67">
      <w:pPr>
        <w:numPr>
          <w:ilvl w:val="0"/>
          <w:numId w:val="19"/>
        </w:numPr>
        <w:spacing w:before="29"/>
        <w:jc w:val="both"/>
      </w:pPr>
      <w:r w:rsidRPr="00416D67">
        <w:t xml:space="preserve">Izdatke za ulaganja u dionice i udjele u glavnici trgovačkih društava u javnom sektoru </w:t>
      </w:r>
      <w:proofErr w:type="spellStart"/>
      <w:r w:rsidRPr="00416D67">
        <w:t>Pulapromet</w:t>
      </w:r>
      <w:proofErr w:type="spellEnd"/>
      <w:r w:rsidRPr="00416D67">
        <w:t xml:space="preserve">   </w:t>
      </w:r>
      <w:proofErr w:type="spellStart"/>
      <w:r w:rsidRPr="00416D67">
        <w:t>doo</w:t>
      </w:r>
      <w:proofErr w:type="spellEnd"/>
      <w:r w:rsidRPr="00416D67">
        <w:t xml:space="preserve"> Pula  109.274,00 EUR (prema izvršenoj procjeni neto knjigovodstvene vrijednosti društva </w:t>
      </w:r>
      <w:proofErr w:type="spellStart"/>
      <w:r w:rsidRPr="00416D67">
        <w:t>Pulapromet</w:t>
      </w:r>
      <w:proofErr w:type="spellEnd"/>
      <w:r w:rsidRPr="00416D67">
        <w:t xml:space="preserve"> </w:t>
      </w:r>
      <w:proofErr w:type="spellStart"/>
      <w:r w:rsidRPr="00416D67">
        <w:t>doo</w:t>
      </w:r>
      <w:proofErr w:type="spellEnd"/>
      <w:r w:rsidRPr="00416D67">
        <w:t xml:space="preserve"> Pula, fer vrijednost poslovnog udjela nominalnog iznosa 13.400 EUR, po metodi ispravljene (modificirane) neto </w:t>
      </w:r>
      <w:proofErr w:type="spellStart"/>
      <w:r w:rsidRPr="00416D67">
        <w:t>knjigovodsvene</w:t>
      </w:r>
      <w:proofErr w:type="spellEnd"/>
      <w:r w:rsidRPr="00416D67">
        <w:t xml:space="preserve"> vrijednosti iznosila bi 109.274,00 EUR)</w:t>
      </w:r>
    </w:p>
    <w:p w14:paraId="32F1ADF2" w14:textId="77777777" w:rsidR="00416D67" w:rsidRPr="00416D67" w:rsidRDefault="00416D67">
      <w:pPr>
        <w:numPr>
          <w:ilvl w:val="0"/>
          <w:numId w:val="19"/>
        </w:numPr>
        <w:spacing w:before="29"/>
        <w:jc w:val="both"/>
      </w:pPr>
      <w:r w:rsidRPr="00416D67">
        <w:t xml:space="preserve">Izdatak za  otplatu zaduženja </w:t>
      </w:r>
      <w:proofErr w:type="spellStart"/>
      <w:r w:rsidRPr="00416D67">
        <w:t>Erste&amp;Steiermärkische</w:t>
      </w:r>
      <w:proofErr w:type="spellEnd"/>
      <w:r w:rsidRPr="00416D67">
        <w:t xml:space="preserve"> </w:t>
      </w:r>
      <w:proofErr w:type="spellStart"/>
      <w:r w:rsidRPr="00416D67">
        <w:t>bank</w:t>
      </w:r>
      <w:proofErr w:type="spellEnd"/>
      <w:r w:rsidRPr="00416D67">
        <w:t xml:space="preserve"> </w:t>
      </w:r>
      <w:proofErr w:type="spellStart"/>
      <w:r w:rsidRPr="00416D67">
        <w:t>d.d</w:t>
      </w:r>
      <w:proofErr w:type="spellEnd"/>
      <w:r w:rsidRPr="00416D67">
        <w:t xml:space="preserve"> 71.429,76 EUR (realiziranog 2020. za kapitalni projekt građenja i opremanja  dječjeg vrtića u mjestu Marčana).  </w:t>
      </w:r>
    </w:p>
    <w:p w14:paraId="7CAADB07" w14:textId="77777777" w:rsidR="00416D67" w:rsidRPr="00416D67" w:rsidRDefault="00416D67" w:rsidP="00416D67">
      <w:pPr>
        <w:ind w:firstLine="708"/>
        <w:jc w:val="both"/>
        <w:rPr>
          <w:rFonts w:eastAsia="Cambria Math"/>
          <w:snapToGrid w:val="0"/>
          <w:color w:val="000000"/>
          <w:szCs w:val="20"/>
          <w:lang w:val="en-AU"/>
        </w:rPr>
      </w:pPr>
    </w:p>
    <w:p w14:paraId="41A18BA3" w14:textId="77777777" w:rsidR="00416D67" w:rsidRPr="00416D67" w:rsidRDefault="00416D67" w:rsidP="00416D67">
      <w:pPr>
        <w:ind w:firstLine="708"/>
        <w:jc w:val="both"/>
      </w:pPr>
      <w:r w:rsidRPr="00416D67">
        <w:t>Kao što je uvodno rečeno, u općem i posebnom dijelu Godišnjeg izvještaja o izvršenju Proračuna Općine Marčana za 2025. godinu, iskazani su podaci o planiranim  prihodima/primicima i rashodima/izdacima kroz Izvorni i Tekući plan kao i podaci o njihovu izvršenju u  2025. godini, a u općem dijelu i usporedni podaci o izvršenju za razdoblje od siječnja do prosinca 2024. godine.</w:t>
      </w:r>
    </w:p>
    <w:p w14:paraId="6D76BBDC" w14:textId="77777777" w:rsidR="00416D67" w:rsidRPr="00416D67" w:rsidRDefault="00416D67" w:rsidP="00416D67">
      <w:pPr>
        <w:ind w:firstLine="708"/>
        <w:jc w:val="both"/>
        <w:rPr>
          <w:rFonts w:eastAsia="Cambria Math"/>
          <w:snapToGrid w:val="0"/>
          <w:color w:val="000000"/>
        </w:rPr>
      </w:pPr>
      <w:r w:rsidRPr="00416D67">
        <w:rPr>
          <w:rFonts w:eastAsia="Cambria Math"/>
          <w:snapToGrid w:val="0"/>
          <w:color w:val="000000"/>
          <w:szCs w:val="20"/>
          <w:lang w:val="en-AU"/>
        </w:rPr>
        <w:t xml:space="preserve">U </w:t>
      </w:r>
      <w:proofErr w:type="spellStart"/>
      <w:r w:rsidRPr="00416D67">
        <w:rPr>
          <w:rFonts w:eastAsia="Cambria Math"/>
          <w:snapToGrid w:val="0"/>
          <w:color w:val="000000"/>
          <w:szCs w:val="20"/>
          <w:lang w:val="en-AU"/>
        </w:rPr>
        <w:t>tablici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koja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slijedi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daje</w:t>
      </w:r>
      <w:proofErr w:type="spellEnd"/>
      <w:r w:rsidRPr="00416D67">
        <w:rPr>
          <w:rFonts w:eastAsia="Cambria Math"/>
          <w:snapToGrid w:val="0"/>
          <w:color w:val="000000"/>
          <w:szCs w:val="20"/>
          <w:lang w:val="en-AU"/>
        </w:rPr>
        <w:t xml:space="preserve"> se </w:t>
      </w:r>
      <w:proofErr w:type="spellStart"/>
      <w:r w:rsidRPr="00416D67">
        <w:rPr>
          <w:rFonts w:eastAsia="Cambria Math"/>
          <w:snapToGrid w:val="0"/>
          <w:color w:val="000000"/>
          <w:szCs w:val="20"/>
          <w:lang w:val="en-AU"/>
        </w:rPr>
        <w:t>pregled</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ostvarenih</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prihoda</w:t>
      </w:r>
      <w:proofErr w:type="spellEnd"/>
      <w:r w:rsidRPr="00416D67">
        <w:rPr>
          <w:rFonts w:eastAsia="Cambria Math"/>
          <w:snapToGrid w:val="0"/>
          <w:color w:val="000000"/>
          <w:szCs w:val="20"/>
          <w:lang w:val="en-AU"/>
        </w:rPr>
        <w:t>/</w:t>
      </w:r>
      <w:proofErr w:type="spellStart"/>
      <w:r w:rsidRPr="00416D67">
        <w:rPr>
          <w:rFonts w:eastAsia="Cambria Math"/>
          <w:snapToGrid w:val="0"/>
          <w:color w:val="000000"/>
          <w:szCs w:val="20"/>
          <w:lang w:val="en-AU"/>
        </w:rPr>
        <w:t>primitaka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rashoda</w:t>
      </w:r>
      <w:proofErr w:type="spellEnd"/>
      <w:r w:rsidRPr="00416D67">
        <w:rPr>
          <w:rFonts w:eastAsia="Cambria Math"/>
          <w:snapToGrid w:val="0"/>
          <w:color w:val="000000"/>
          <w:szCs w:val="20"/>
          <w:lang w:val="en-AU"/>
        </w:rPr>
        <w:t>/</w:t>
      </w:r>
      <w:proofErr w:type="spellStart"/>
      <w:r w:rsidRPr="00416D67">
        <w:rPr>
          <w:rFonts w:eastAsia="Cambria Math"/>
          <w:snapToGrid w:val="0"/>
          <w:color w:val="000000"/>
          <w:szCs w:val="20"/>
          <w:lang w:val="en-AU"/>
        </w:rPr>
        <w:t>izdataka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Proračuna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Općine</w:t>
      </w:r>
      <w:proofErr w:type="spellEnd"/>
      <w:r w:rsidRPr="00416D67">
        <w:rPr>
          <w:rFonts w:eastAsia="Cambria Math"/>
          <w:snapToGrid w:val="0"/>
          <w:color w:val="000000"/>
          <w:szCs w:val="20"/>
          <w:lang w:val="en-AU"/>
        </w:rPr>
        <w:t xml:space="preserve"> Marčana za </w:t>
      </w:r>
      <w:proofErr w:type="spellStart"/>
      <w:r w:rsidRPr="00416D67">
        <w:rPr>
          <w:rFonts w:eastAsia="Cambria Math"/>
          <w:snapToGrid w:val="0"/>
          <w:color w:val="000000"/>
          <w:szCs w:val="20"/>
          <w:lang w:val="en-AU"/>
        </w:rPr>
        <w:t>razdoblje</w:t>
      </w:r>
      <w:proofErr w:type="spellEnd"/>
      <w:r w:rsidRPr="00416D67">
        <w:rPr>
          <w:rFonts w:eastAsia="Cambria Math"/>
          <w:snapToGrid w:val="0"/>
          <w:color w:val="000000"/>
          <w:szCs w:val="20"/>
          <w:lang w:val="en-AU"/>
        </w:rPr>
        <w:t xml:space="preserve"> I – XII 2025. </w:t>
      </w:r>
      <w:proofErr w:type="spellStart"/>
      <w:r w:rsidRPr="00416D67">
        <w:rPr>
          <w:rFonts w:eastAsia="Cambria Math"/>
          <w:snapToGrid w:val="0"/>
          <w:color w:val="000000"/>
          <w:szCs w:val="20"/>
          <w:lang w:val="en-AU"/>
        </w:rPr>
        <w:t>godine</w:t>
      </w:r>
      <w:proofErr w:type="spellEnd"/>
      <w:r w:rsidRPr="00416D67">
        <w:rPr>
          <w:rFonts w:eastAsia="Cambria Math"/>
          <w:snapToGrid w:val="0"/>
          <w:color w:val="000000"/>
          <w:szCs w:val="20"/>
          <w:lang w:val="en-AU"/>
        </w:rPr>
        <w:t>.</w:t>
      </w:r>
    </w:p>
    <w:p w14:paraId="7F11EA58" w14:textId="77777777" w:rsidR="00416D67" w:rsidRPr="00416D67" w:rsidRDefault="00416D67" w:rsidP="00416D67">
      <w:pPr>
        <w:jc w:val="both"/>
        <w:rPr>
          <w:rFonts w:eastAsia="Cambria Math"/>
          <w:snapToGrid w:val="0"/>
          <w:color w:val="000000"/>
          <w:szCs w:val="20"/>
          <w:lang w:val="en-AU"/>
        </w:rPr>
      </w:pPr>
    </w:p>
    <w:p w14:paraId="6D5822E2" w14:textId="77777777" w:rsidR="00416D67" w:rsidRPr="00416D67" w:rsidRDefault="00416D67" w:rsidP="00416D67">
      <w:pPr>
        <w:jc w:val="both"/>
        <w:rPr>
          <w:rFonts w:eastAsia="Cambria Math"/>
          <w:snapToGrid w:val="0"/>
          <w:color w:val="000000"/>
          <w:szCs w:val="20"/>
          <w:lang w:val="en-AU"/>
        </w:rPr>
      </w:pPr>
    </w:p>
    <w:p w14:paraId="693F2E1D" w14:textId="77777777" w:rsidR="00416D67" w:rsidRPr="00416D67" w:rsidRDefault="00416D67" w:rsidP="00416D67">
      <w:pPr>
        <w:jc w:val="both"/>
        <w:rPr>
          <w:rFonts w:eastAsia="Cambria Math"/>
          <w:snapToGrid w:val="0"/>
          <w:color w:val="000000"/>
          <w:szCs w:val="20"/>
          <w:lang w:val="en-AU"/>
        </w:rPr>
      </w:pPr>
    </w:p>
    <w:p w14:paraId="37D8EBAC" w14:textId="77777777" w:rsidR="00416D67" w:rsidRPr="00416D67" w:rsidRDefault="00416D67" w:rsidP="00416D67">
      <w:pPr>
        <w:jc w:val="both"/>
        <w:rPr>
          <w:rFonts w:eastAsia="Cambria Math"/>
          <w:snapToGrid w:val="0"/>
          <w:color w:val="000000"/>
          <w:szCs w:val="20"/>
          <w:lang w:val="en-AU"/>
        </w:rPr>
      </w:pPr>
    </w:p>
    <w:p w14:paraId="17D5F6DC" w14:textId="77777777" w:rsidR="00416D67" w:rsidRPr="00416D67" w:rsidRDefault="00416D67" w:rsidP="00416D67">
      <w:pPr>
        <w:jc w:val="both"/>
        <w:rPr>
          <w:rFonts w:eastAsia="Cambria Math"/>
          <w:snapToGrid w:val="0"/>
          <w:color w:val="000000"/>
          <w:szCs w:val="20"/>
          <w:lang w:val="en-AU"/>
        </w:rPr>
      </w:pPr>
    </w:p>
    <w:p w14:paraId="066C1371" w14:textId="77777777" w:rsidR="00416D67" w:rsidRPr="00416D67" w:rsidRDefault="00416D67" w:rsidP="00416D67">
      <w:pPr>
        <w:jc w:val="both"/>
        <w:rPr>
          <w:rFonts w:eastAsia="Cambria Math"/>
          <w:snapToGrid w:val="0"/>
          <w:color w:val="000000"/>
          <w:szCs w:val="20"/>
          <w:lang w:val="en-AU"/>
        </w:rPr>
      </w:pPr>
    </w:p>
    <w:p w14:paraId="7B328E65" w14:textId="77777777" w:rsidR="00416D67" w:rsidRPr="00416D67" w:rsidRDefault="00416D67" w:rsidP="00416D67">
      <w:pPr>
        <w:jc w:val="both"/>
        <w:rPr>
          <w:rFonts w:eastAsia="Cambria Math"/>
          <w:snapToGrid w:val="0"/>
          <w:color w:val="000000"/>
          <w:szCs w:val="20"/>
          <w:lang w:val="en-AU"/>
        </w:rPr>
      </w:pPr>
    </w:p>
    <w:p w14:paraId="5D8DA94F" w14:textId="77777777" w:rsidR="00416D67" w:rsidRPr="00416D67" w:rsidRDefault="00416D67" w:rsidP="00416D67">
      <w:pPr>
        <w:jc w:val="both"/>
        <w:rPr>
          <w:b/>
          <w:bCs/>
          <w:color w:val="000000"/>
        </w:rPr>
      </w:pPr>
      <w:r w:rsidRPr="00416D67">
        <w:rPr>
          <w:b/>
          <w:bCs/>
          <w:color w:val="000000"/>
        </w:rPr>
        <w:lastRenderedPageBreak/>
        <w:t xml:space="preserve">Tablica 1. Ostvarenje Proračuna Općine Marčana u 2025. godini u odnosu na tekući plan  za 2025. godinu i ostvarenje Proračuna Općine Marčana za 2024. godinu </w:t>
      </w:r>
    </w:p>
    <w:tbl>
      <w:tblPr>
        <w:tblW w:w="9355" w:type="dxa"/>
        <w:jc w:val="center"/>
        <w:tblLook w:val="04A0" w:firstRow="1" w:lastRow="0" w:firstColumn="1" w:lastColumn="0" w:noHBand="0" w:noVBand="1"/>
      </w:tblPr>
      <w:tblGrid>
        <w:gridCol w:w="3260"/>
        <w:gridCol w:w="1363"/>
        <w:gridCol w:w="1474"/>
        <w:gridCol w:w="1276"/>
        <w:gridCol w:w="941"/>
        <w:gridCol w:w="1041"/>
      </w:tblGrid>
      <w:tr w:rsidR="00416D67" w:rsidRPr="00416D67" w14:paraId="60774357" w14:textId="77777777" w:rsidTr="00BB1392">
        <w:trPr>
          <w:trHeight w:val="564"/>
          <w:jc w:val="center"/>
        </w:trPr>
        <w:tc>
          <w:tcPr>
            <w:tcW w:w="3260" w:type="dxa"/>
            <w:tcBorders>
              <w:top w:val="single" w:sz="8" w:space="0" w:color="auto"/>
              <w:left w:val="single" w:sz="8" w:space="0" w:color="auto"/>
              <w:bottom w:val="single" w:sz="8" w:space="0" w:color="auto"/>
              <w:right w:val="single" w:sz="8" w:space="0" w:color="auto"/>
            </w:tcBorders>
            <w:vAlign w:val="center"/>
            <w:hideMark/>
          </w:tcPr>
          <w:p w14:paraId="1EA515D7" w14:textId="77777777" w:rsidR="00416D67" w:rsidRPr="00416D67" w:rsidRDefault="00416D67" w:rsidP="00416D67">
            <w:pPr>
              <w:jc w:val="center"/>
              <w:rPr>
                <w:color w:val="000000"/>
                <w:sz w:val="18"/>
                <w:szCs w:val="18"/>
              </w:rPr>
            </w:pPr>
            <w:r w:rsidRPr="00416D67">
              <w:rPr>
                <w:color w:val="000000"/>
                <w:sz w:val="18"/>
                <w:szCs w:val="18"/>
              </w:rPr>
              <w:t>Opis (naziv)</w:t>
            </w:r>
          </w:p>
        </w:tc>
        <w:tc>
          <w:tcPr>
            <w:tcW w:w="1363" w:type="dxa"/>
            <w:tcBorders>
              <w:top w:val="single" w:sz="8" w:space="0" w:color="auto"/>
              <w:left w:val="nil"/>
              <w:bottom w:val="single" w:sz="8" w:space="0" w:color="auto"/>
              <w:right w:val="single" w:sz="8" w:space="0" w:color="auto"/>
            </w:tcBorders>
            <w:vAlign w:val="center"/>
            <w:hideMark/>
          </w:tcPr>
          <w:p w14:paraId="3E43A04A" w14:textId="77777777" w:rsidR="00416D67" w:rsidRPr="00416D67" w:rsidRDefault="00416D67" w:rsidP="00416D67">
            <w:pPr>
              <w:jc w:val="center"/>
              <w:rPr>
                <w:color w:val="000000"/>
                <w:sz w:val="18"/>
                <w:szCs w:val="18"/>
              </w:rPr>
            </w:pPr>
            <w:r w:rsidRPr="00416D67">
              <w:rPr>
                <w:color w:val="000000"/>
                <w:sz w:val="18"/>
                <w:szCs w:val="18"/>
              </w:rPr>
              <w:t>Ostvarenje 2024.</w:t>
            </w:r>
          </w:p>
        </w:tc>
        <w:tc>
          <w:tcPr>
            <w:tcW w:w="1474" w:type="dxa"/>
            <w:tcBorders>
              <w:top w:val="single" w:sz="8" w:space="0" w:color="auto"/>
              <w:left w:val="nil"/>
              <w:bottom w:val="single" w:sz="8" w:space="0" w:color="auto"/>
              <w:right w:val="single" w:sz="8" w:space="0" w:color="auto"/>
            </w:tcBorders>
            <w:vAlign w:val="center"/>
            <w:hideMark/>
          </w:tcPr>
          <w:p w14:paraId="4368FFCA" w14:textId="77777777" w:rsidR="00416D67" w:rsidRPr="00416D67" w:rsidRDefault="00416D67" w:rsidP="00416D67">
            <w:pPr>
              <w:jc w:val="center"/>
              <w:rPr>
                <w:color w:val="000000"/>
                <w:sz w:val="18"/>
                <w:szCs w:val="18"/>
              </w:rPr>
            </w:pPr>
            <w:r w:rsidRPr="00416D67">
              <w:rPr>
                <w:color w:val="000000"/>
                <w:sz w:val="18"/>
                <w:szCs w:val="18"/>
              </w:rPr>
              <w:t>Plan 2025.</w:t>
            </w:r>
          </w:p>
        </w:tc>
        <w:tc>
          <w:tcPr>
            <w:tcW w:w="1276" w:type="dxa"/>
            <w:tcBorders>
              <w:top w:val="single" w:sz="8" w:space="0" w:color="auto"/>
              <w:left w:val="nil"/>
              <w:bottom w:val="single" w:sz="8" w:space="0" w:color="auto"/>
              <w:right w:val="single" w:sz="8" w:space="0" w:color="auto"/>
            </w:tcBorders>
            <w:vAlign w:val="center"/>
            <w:hideMark/>
          </w:tcPr>
          <w:p w14:paraId="2E29B81C" w14:textId="77777777" w:rsidR="00416D67" w:rsidRPr="00416D67" w:rsidRDefault="00416D67" w:rsidP="00416D67">
            <w:pPr>
              <w:jc w:val="center"/>
              <w:rPr>
                <w:color w:val="000000"/>
                <w:sz w:val="18"/>
                <w:szCs w:val="18"/>
              </w:rPr>
            </w:pPr>
            <w:r w:rsidRPr="00416D67">
              <w:rPr>
                <w:color w:val="000000"/>
                <w:sz w:val="18"/>
                <w:szCs w:val="18"/>
              </w:rPr>
              <w:t>Ostvarenje 2025.</w:t>
            </w:r>
          </w:p>
        </w:tc>
        <w:tc>
          <w:tcPr>
            <w:tcW w:w="941" w:type="dxa"/>
            <w:tcBorders>
              <w:top w:val="single" w:sz="8" w:space="0" w:color="auto"/>
              <w:left w:val="nil"/>
              <w:bottom w:val="single" w:sz="8" w:space="0" w:color="auto"/>
              <w:right w:val="single" w:sz="8" w:space="0" w:color="auto"/>
            </w:tcBorders>
            <w:vAlign w:val="center"/>
            <w:hideMark/>
          </w:tcPr>
          <w:p w14:paraId="1188C7D7" w14:textId="77777777" w:rsidR="00416D67" w:rsidRPr="00416D67" w:rsidRDefault="00416D67" w:rsidP="00416D67">
            <w:pPr>
              <w:jc w:val="center"/>
              <w:rPr>
                <w:color w:val="000000"/>
                <w:sz w:val="18"/>
                <w:szCs w:val="18"/>
              </w:rPr>
            </w:pPr>
            <w:r w:rsidRPr="00416D67">
              <w:rPr>
                <w:color w:val="000000"/>
                <w:sz w:val="18"/>
                <w:szCs w:val="18"/>
              </w:rPr>
              <w:t xml:space="preserve">Indeks </w:t>
            </w:r>
            <w:proofErr w:type="spellStart"/>
            <w:r w:rsidRPr="00416D67">
              <w:rPr>
                <w:color w:val="000000"/>
                <w:sz w:val="18"/>
                <w:szCs w:val="18"/>
              </w:rPr>
              <w:t>ostv</w:t>
            </w:r>
            <w:proofErr w:type="spellEnd"/>
            <w:r w:rsidRPr="00416D67">
              <w:rPr>
                <w:color w:val="000000"/>
                <w:sz w:val="18"/>
                <w:szCs w:val="18"/>
              </w:rPr>
              <w:t>/plan  2025</w:t>
            </w:r>
          </w:p>
        </w:tc>
        <w:tc>
          <w:tcPr>
            <w:tcW w:w="1041" w:type="dxa"/>
            <w:tcBorders>
              <w:top w:val="single" w:sz="8" w:space="0" w:color="auto"/>
              <w:left w:val="nil"/>
              <w:bottom w:val="single" w:sz="8" w:space="0" w:color="auto"/>
              <w:right w:val="single" w:sz="8" w:space="0" w:color="auto"/>
            </w:tcBorders>
            <w:vAlign w:val="center"/>
            <w:hideMark/>
          </w:tcPr>
          <w:p w14:paraId="47674963" w14:textId="77777777" w:rsidR="00416D67" w:rsidRPr="00416D67" w:rsidRDefault="00416D67" w:rsidP="00416D67">
            <w:pPr>
              <w:jc w:val="center"/>
              <w:rPr>
                <w:color w:val="000000"/>
                <w:sz w:val="18"/>
                <w:szCs w:val="18"/>
              </w:rPr>
            </w:pPr>
            <w:r w:rsidRPr="00416D67">
              <w:rPr>
                <w:color w:val="000000"/>
                <w:sz w:val="18"/>
                <w:szCs w:val="18"/>
              </w:rPr>
              <w:t>Indeks 25/24</w:t>
            </w:r>
          </w:p>
        </w:tc>
      </w:tr>
      <w:tr w:rsidR="00416D67" w:rsidRPr="00416D67" w14:paraId="53E41F63" w14:textId="77777777" w:rsidTr="00BB1392">
        <w:trPr>
          <w:trHeight w:val="315"/>
          <w:jc w:val="center"/>
        </w:trPr>
        <w:tc>
          <w:tcPr>
            <w:tcW w:w="3260" w:type="dxa"/>
            <w:tcBorders>
              <w:top w:val="nil"/>
              <w:left w:val="single" w:sz="8" w:space="0" w:color="auto"/>
              <w:bottom w:val="single" w:sz="8" w:space="0" w:color="auto"/>
              <w:right w:val="single" w:sz="8" w:space="0" w:color="auto"/>
            </w:tcBorders>
            <w:vAlign w:val="center"/>
            <w:hideMark/>
          </w:tcPr>
          <w:p w14:paraId="5A5F3B6B" w14:textId="77777777" w:rsidR="00416D67" w:rsidRPr="00416D67" w:rsidRDefault="00416D67" w:rsidP="00416D67">
            <w:pPr>
              <w:jc w:val="both"/>
              <w:rPr>
                <w:b/>
                <w:bCs/>
                <w:i/>
                <w:iCs/>
                <w:color w:val="000000"/>
                <w:sz w:val="18"/>
                <w:szCs w:val="18"/>
              </w:rPr>
            </w:pPr>
            <w:r w:rsidRPr="00416D67">
              <w:rPr>
                <w:b/>
                <w:bCs/>
                <w:i/>
                <w:iCs/>
                <w:color w:val="000000"/>
                <w:sz w:val="18"/>
                <w:szCs w:val="18"/>
              </w:rPr>
              <w:t>1.PRIHODI</w:t>
            </w:r>
          </w:p>
        </w:tc>
        <w:tc>
          <w:tcPr>
            <w:tcW w:w="1363" w:type="dxa"/>
            <w:tcBorders>
              <w:top w:val="nil"/>
              <w:left w:val="nil"/>
              <w:bottom w:val="single" w:sz="8" w:space="0" w:color="auto"/>
              <w:right w:val="single" w:sz="8" w:space="0" w:color="auto"/>
            </w:tcBorders>
            <w:vAlign w:val="center"/>
            <w:hideMark/>
          </w:tcPr>
          <w:p w14:paraId="12775768" w14:textId="77777777" w:rsidR="00416D67" w:rsidRPr="00416D67" w:rsidRDefault="00416D67" w:rsidP="00416D67">
            <w:pPr>
              <w:jc w:val="right"/>
              <w:rPr>
                <w:b/>
                <w:bCs/>
                <w:i/>
                <w:iCs/>
                <w:color w:val="000000"/>
                <w:sz w:val="18"/>
                <w:szCs w:val="18"/>
              </w:rPr>
            </w:pPr>
            <w:r w:rsidRPr="00416D67">
              <w:rPr>
                <w:b/>
                <w:bCs/>
                <w:i/>
                <w:iCs/>
                <w:color w:val="000000"/>
                <w:sz w:val="18"/>
                <w:szCs w:val="18"/>
              </w:rPr>
              <w:t>5.816.430,37</w:t>
            </w:r>
          </w:p>
        </w:tc>
        <w:tc>
          <w:tcPr>
            <w:tcW w:w="1474" w:type="dxa"/>
            <w:tcBorders>
              <w:top w:val="nil"/>
              <w:left w:val="nil"/>
              <w:bottom w:val="single" w:sz="8" w:space="0" w:color="auto"/>
              <w:right w:val="single" w:sz="8" w:space="0" w:color="auto"/>
            </w:tcBorders>
            <w:vAlign w:val="center"/>
            <w:hideMark/>
          </w:tcPr>
          <w:p w14:paraId="0760FAF7" w14:textId="77777777" w:rsidR="00416D67" w:rsidRPr="00416D67" w:rsidRDefault="00416D67" w:rsidP="00416D67">
            <w:pPr>
              <w:jc w:val="right"/>
              <w:rPr>
                <w:b/>
                <w:bCs/>
                <w:i/>
                <w:iCs/>
                <w:color w:val="000000"/>
                <w:sz w:val="18"/>
                <w:szCs w:val="18"/>
              </w:rPr>
            </w:pPr>
            <w:r w:rsidRPr="00416D67">
              <w:rPr>
                <w:b/>
                <w:bCs/>
                <w:i/>
                <w:iCs/>
                <w:color w:val="000000"/>
                <w:sz w:val="18"/>
                <w:szCs w:val="18"/>
              </w:rPr>
              <w:t>7.416.186,18</w:t>
            </w:r>
          </w:p>
        </w:tc>
        <w:tc>
          <w:tcPr>
            <w:tcW w:w="1276" w:type="dxa"/>
            <w:tcBorders>
              <w:top w:val="nil"/>
              <w:left w:val="nil"/>
              <w:bottom w:val="single" w:sz="8" w:space="0" w:color="auto"/>
              <w:right w:val="single" w:sz="8" w:space="0" w:color="auto"/>
            </w:tcBorders>
            <w:vAlign w:val="center"/>
            <w:hideMark/>
          </w:tcPr>
          <w:p w14:paraId="2E888277" w14:textId="77777777" w:rsidR="00416D67" w:rsidRPr="00416D67" w:rsidRDefault="00416D67" w:rsidP="00416D67">
            <w:pPr>
              <w:jc w:val="right"/>
              <w:rPr>
                <w:b/>
                <w:bCs/>
                <w:i/>
                <w:iCs/>
                <w:color w:val="000000"/>
                <w:sz w:val="18"/>
                <w:szCs w:val="18"/>
              </w:rPr>
            </w:pPr>
            <w:r w:rsidRPr="00416D67">
              <w:rPr>
                <w:b/>
                <w:bCs/>
                <w:i/>
                <w:iCs/>
                <w:color w:val="000000"/>
                <w:sz w:val="18"/>
                <w:szCs w:val="18"/>
              </w:rPr>
              <w:t>7.552.638,82</w:t>
            </w:r>
          </w:p>
        </w:tc>
        <w:tc>
          <w:tcPr>
            <w:tcW w:w="941" w:type="dxa"/>
            <w:tcBorders>
              <w:top w:val="nil"/>
              <w:left w:val="nil"/>
              <w:bottom w:val="single" w:sz="8" w:space="0" w:color="auto"/>
              <w:right w:val="single" w:sz="8" w:space="0" w:color="auto"/>
            </w:tcBorders>
            <w:vAlign w:val="center"/>
            <w:hideMark/>
          </w:tcPr>
          <w:p w14:paraId="4601D391" w14:textId="77777777" w:rsidR="00416D67" w:rsidRPr="00416D67" w:rsidRDefault="00416D67" w:rsidP="00416D67">
            <w:pPr>
              <w:jc w:val="right"/>
              <w:rPr>
                <w:b/>
                <w:bCs/>
                <w:i/>
                <w:iCs/>
                <w:color w:val="000000"/>
                <w:sz w:val="18"/>
                <w:szCs w:val="18"/>
              </w:rPr>
            </w:pPr>
            <w:r w:rsidRPr="00416D67">
              <w:rPr>
                <w:b/>
                <w:bCs/>
                <w:i/>
                <w:iCs/>
                <w:color w:val="000000"/>
                <w:sz w:val="18"/>
                <w:szCs w:val="18"/>
              </w:rPr>
              <w:t>101,84%</w:t>
            </w:r>
          </w:p>
        </w:tc>
        <w:tc>
          <w:tcPr>
            <w:tcW w:w="1041" w:type="dxa"/>
            <w:tcBorders>
              <w:top w:val="nil"/>
              <w:left w:val="nil"/>
              <w:bottom w:val="single" w:sz="8" w:space="0" w:color="auto"/>
              <w:right w:val="single" w:sz="8" w:space="0" w:color="auto"/>
            </w:tcBorders>
            <w:vAlign w:val="center"/>
            <w:hideMark/>
          </w:tcPr>
          <w:p w14:paraId="4F1E2E54" w14:textId="77777777" w:rsidR="00416D67" w:rsidRPr="00416D67" w:rsidRDefault="00416D67" w:rsidP="00416D67">
            <w:pPr>
              <w:jc w:val="right"/>
              <w:rPr>
                <w:b/>
                <w:bCs/>
                <w:i/>
                <w:iCs/>
                <w:color w:val="000000"/>
                <w:sz w:val="18"/>
                <w:szCs w:val="18"/>
              </w:rPr>
            </w:pPr>
            <w:r w:rsidRPr="00416D67">
              <w:rPr>
                <w:b/>
                <w:bCs/>
                <w:i/>
                <w:iCs/>
                <w:color w:val="000000"/>
                <w:sz w:val="18"/>
                <w:szCs w:val="18"/>
              </w:rPr>
              <w:t>129,85%</w:t>
            </w:r>
          </w:p>
        </w:tc>
      </w:tr>
      <w:tr w:rsidR="00416D67" w:rsidRPr="00416D67" w14:paraId="2297F1D7" w14:textId="77777777" w:rsidTr="00BB1392">
        <w:trPr>
          <w:trHeight w:val="315"/>
          <w:jc w:val="center"/>
        </w:trPr>
        <w:tc>
          <w:tcPr>
            <w:tcW w:w="3260" w:type="dxa"/>
            <w:tcBorders>
              <w:top w:val="nil"/>
              <w:left w:val="single" w:sz="8" w:space="0" w:color="auto"/>
              <w:bottom w:val="single" w:sz="8" w:space="0" w:color="auto"/>
              <w:right w:val="single" w:sz="8" w:space="0" w:color="auto"/>
            </w:tcBorders>
            <w:vAlign w:val="center"/>
            <w:hideMark/>
          </w:tcPr>
          <w:p w14:paraId="7194EEC1" w14:textId="77777777" w:rsidR="00416D67" w:rsidRPr="00416D67" w:rsidRDefault="00416D67" w:rsidP="00416D67">
            <w:pPr>
              <w:jc w:val="both"/>
              <w:rPr>
                <w:color w:val="000000"/>
                <w:sz w:val="18"/>
                <w:szCs w:val="18"/>
              </w:rPr>
            </w:pPr>
            <w:r w:rsidRPr="00416D67">
              <w:rPr>
                <w:color w:val="000000"/>
                <w:sz w:val="18"/>
                <w:szCs w:val="18"/>
              </w:rPr>
              <w:t>1.1.Prihodi poslovanja</w:t>
            </w:r>
          </w:p>
        </w:tc>
        <w:tc>
          <w:tcPr>
            <w:tcW w:w="1363" w:type="dxa"/>
            <w:tcBorders>
              <w:top w:val="nil"/>
              <w:left w:val="nil"/>
              <w:bottom w:val="single" w:sz="8" w:space="0" w:color="auto"/>
              <w:right w:val="single" w:sz="8" w:space="0" w:color="auto"/>
            </w:tcBorders>
            <w:vAlign w:val="center"/>
            <w:hideMark/>
          </w:tcPr>
          <w:p w14:paraId="7998617D" w14:textId="77777777" w:rsidR="00416D67" w:rsidRPr="00416D67" w:rsidRDefault="00416D67" w:rsidP="00416D67">
            <w:pPr>
              <w:jc w:val="right"/>
              <w:rPr>
                <w:color w:val="000000"/>
                <w:sz w:val="18"/>
                <w:szCs w:val="18"/>
              </w:rPr>
            </w:pPr>
            <w:r w:rsidRPr="00416D67">
              <w:rPr>
                <w:color w:val="000000"/>
                <w:sz w:val="18"/>
                <w:szCs w:val="18"/>
              </w:rPr>
              <w:t>5.807.544,36</w:t>
            </w:r>
          </w:p>
        </w:tc>
        <w:tc>
          <w:tcPr>
            <w:tcW w:w="1474" w:type="dxa"/>
            <w:tcBorders>
              <w:top w:val="nil"/>
              <w:left w:val="nil"/>
              <w:bottom w:val="single" w:sz="8" w:space="0" w:color="auto"/>
              <w:right w:val="single" w:sz="8" w:space="0" w:color="auto"/>
            </w:tcBorders>
            <w:vAlign w:val="center"/>
            <w:hideMark/>
          </w:tcPr>
          <w:p w14:paraId="65E0F085" w14:textId="77777777" w:rsidR="00416D67" w:rsidRPr="00416D67" w:rsidRDefault="00416D67" w:rsidP="00416D67">
            <w:pPr>
              <w:jc w:val="right"/>
              <w:rPr>
                <w:color w:val="000000"/>
                <w:sz w:val="18"/>
                <w:szCs w:val="18"/>
              </w:rPr>
            </w:pPr>
            <w:r w:rsidRPr="00416D67">
              <w:rPr>
                <w:color w:val="000000"/>
                <w:sz w:val="18"/>
                <w:szCs w:val="18"/>
              </w:rPr>
              <w:t>5.662.816,18</w:t>
            </w:r>
          </w:p>
        </w:tc>
        <w:tc>
          <w:tcPr>
            <w:tcW w:w="1276" w:type="dxa"/>
            <w:tcBorders>
              <w:top w:val="nil"/>
              <w:left w:val="nil"/>
              <w:bottom w:val="single" w:sz="8" w:space="0" w:color="auto"/>
              <w:right w:val="single" w:sz="8" w:space="0" w:color="auto"/>
            </w:tcBorders>
            <w:vAlign w:val="center"/>
            <w:hideMark/>
          </w:tcPr>
          <w:p w14:paraId="0177FEC1" w14:textId="77777777" w:rsidR="00416D67" w:rsidRPr="00416D67" w:rsidRDefault="00416D67" w:rsidP="00416D67">
            <w:pPr>
              <w:jc w:val="right"/>
              <w:rPr>
                <w:color w:val="000000"/>
                <w:sz w:val="18"/>
                <w:szCs w:val="18"/>
              </w:rPr>
            </w:pPr>
            <w:r w:rsidRPr="00416D67">
              <w:rPr>
                <w:color w:val="000000"/>
                <w:sz w:val="18"/>
                <w:szCs w:val="18"/>
              </w:rPr>
              <w:t>5.877.215,42</w:t>
            </w:r>
          </w:p>
        </w:tc>
        <w:tc>
          <w:tcPr>
            <w:tcW w:w="941" w:type="dxa"/>
            <w:tcBorders>
              <w:top w:val="nil"/>
              <w:left w:val="nil"/>
              <w:bottom w:val="single" w:sz="8" w:space="0" w:color="auto"/>
              <w:right w:val="single" w:sz="8" w:space="0" w:color="auto"/>
            </w:tcBorders>
            <w:vAlign w:val="center"/>
            <w:hideMark/>
          </w:tcPr>
          <w:p w14:paraId="7374DCD2" w14:textId="77777777" w:rsidR="00416D67" w:rsidRPr="00416D67" w:rsidRDefault="00416D67" w:rsidP="00416D67">
            <w:pPr>
              <w:jc w:val="right"/>
              <w:rPr>
                <w:color w:val="000000"/>
                <w:sz w:val="18"/>
                <w:szCs w:val="18"/>
              </w:rPr>
            </w:pPr>
            <w:r w:rsidRPr="00416D67">
              <w:rPr>
                <w:color w:val="000000"/>
                <w:sz w:val="18"/>
                <w:szCs w:val="18"/>
              </w:rPr>
              <w:t>103,79%</w:t>
            </w:r>
          </w:p>
        </w:tc>
        <w:tc>
          <w:tcPr>
            <w:tcW w:w="1041" w:type="dxa"/>
            <w:tcBorders>
              <w:top w:val="nil"/>
              <w:left w:val="nil"/>
              <w:bottom w:val="single" w:sz="8" w:space="0" w:color="auto"/>
              <w:right w:val="single" w:sz="8" w:space="0" w:color="auto"/>
            </w:tcBorders>
            <w:vAlign w:val="center"/>
            <w:hideMark/>
          </w:tcPr>
          <w:p w14:paraId="654852A8" w14:textId="77777777" w:rsidR="00416D67" w:rsidRPr="00416D67" w:rsidRDefault="00416D67" w:rsidP="00416D67">
            <w:pPr>
              <w:jc w:val="right"/>
              <w:rPr>
                <w:color w:val="000000"/>
                <w:sz w:val="18"/>
                <w:szCs w:val="18"/>
              </w:rPr>
            </w:pPr>
            <w:r w:rsidRPr="00416D67">
              <w:rPr>
                <w:color w:val="000000"/>
                <w:sz w:val="18"/>
                <w:szCs w:val="18"/>
              </w:rPr>
              <w:t>101,20%</w:t>
            </w:r>
          </w:p>
        </w:tc>
      </w:tr>
      <w:tr w:rsidR="00416D67" w:rsidRPr="00416D67" w14:paraId="334A56DE" w14:textId="77777777" w:rsidTr="00BB1392">
        <w:trPr>
          <w:trHeight w:val="311"/>
          <w:jc w:val="center"/>
        </w:trPr>
        <w:tc>
          <w:tcPr>
            <w:tcW w:w="3260" w:type="dxa"/>
            <w:tcBorders>
              <w:top w:val="nil"/>
              <w:left w:val="single" w:sz="8" w:space="0" w:color="auto"/>
              <w:bottom w:val="single" w:sz="8" w:space="0" w:color="auto"/>
              <w:right w:val="single" w:sz="8" w:space="0" w:color="auto"/>
            </w:tcBorders>
            <w:vAlign w:val="center"/>
            <w:hideMark/>
          </w:tcPr>
          <w:p w14:paraId="3A2593C8" w14:textId="77777777" w:rsidR="00416D67" w:rsidRPr="00416D67" w:rsidRDefault="00416D67" w:rsidP="00416D67">
            <w:pPr>
              <w:rPr>
                <w:color w:val="000000"/>
                <w:sz w:val="18"/>
                <w:szCs w:val="18"/>
              </w:rPr>
            </w:pPr>
            <w:r w:rsidRPr="00416D67">
              <w:rPr>
                <w:color w:val="000000"/>
                <w:sz w:val="18"/>
                <w:szCs w:val="18"/>
              </w:rPr>
              <w:t>1.2.Prihodi od prodaje nefinancijske imovine</w:t>
            </w:r>
          </w:p>
        </w:tc>
        <w:tc>
          <w:tcPr>
            <w:tcW w:w="1363" w:type="dxa"/>
            <w:tcBorders>
              <w:top w:val="nil"/>
              <w:left w:val="nil"/>
              <w:bottom w:val="single" w:sz="8" w:space="0" w:color="auto"/>
              <w:right w:val="single" w:sz="8" w:space="0" w:color="auto"/>
            </w:tcBorders>
            <w:vAlign w:val="center"/>
            <w:hideMark/>
          </w:tcPr>
          <w:p w14:paraId="4EA32EDB" w14:textId="77777777" w:rsidR="00416D67" w:rsidRPr="00416D67" w:rsidRDefault="00416D67" w:rsidP="00416D67">
            <w:pPr>
              <w:jc w:val="right"/>
              <w:rPr>
                <w:color w:val="000000"/>
                <w:sz w:val="18"/>
                <w:szCs w:val="18"/>
              </w:rPr>
            </w:pPr>
            <w:r w:rsidRPr="00416D67">
              <w:rPr>
                <w:color w:val="000000"/>
                <w:sz w:val="18"/>
                <w:szCs w:val="18"/>
              </w:rPr>
              <w:t>8.886,01</w:t>
            </w:r>
          </w:p>
        </w:tc>
        <w:tc>
          <w:tcPr>
            <w:tcW w:w="1474" w:type="dxa"/>
            <w:tcBorders>
              <w:top w:val="nil"/>
              <w:left w:val="nil"/>
              <w:bottom w:val="single" w:sz="8" w:space="0" w:color="auto"/>
              <w:right w:val="single" w:sz="8" w:space="0" w:color="auto"/>
            </w:tcBorders>
            <w:vAlign w:val="center"/>
            <w:hideMark/>
          </w:tcPr>
          <w:p w14:paraId="6549612C" w14:textId="77777777" w:rsidR="00416D67" w:rsidRPr="00416D67" w:rsidRDefault="00416D67" w:rsidP="00416D67">
            <w:pPr>
              <w:jc w:val="right"/>
              <w:rPr>
                <w:color w:val="000000"/>
                <w:sz w:val="18"/>
                <w:szCs w:val="18"/>
              </w:rPr>
            </w:pPr>
            <w:r w:rsidRPr="00416D67">
              <w:rPr>
                <w:color w:val="000000"/>
                <w:sz w:val="18"/>
                <w:szCs w:val="18"/>
              </w:rPr>
              <w:t>1.683.370,00</w:t>
            </w:r>
          </w:p>
        </w:tc>
        <w:tc>
          <w:tcPr>
            <w:tcW w:w="1276" w:type="dxa"/>
            <w:tcBorders>
              <w:top w:val="nil"/>
              <w:left w:val="nil"/>
              <w:bottom w:val="single" w:sz="8" w:space="0" w:color="auto"/>
              <w:right w:val="single" w:sz="8" w:space="0" w:color="auto"/>
            </w:tcBorders>
            <w:vAlign w:val="center"/>
            <w:hideMark/>
          </w:tcPr>
          <w:p w14:paraId="4B21B81D" w14:textId="77777777" w:rsidR="00416D67" w:rsidRPr="00416D67" w:rsidRDefault="00416D67" w:rsidP="00416D67">
            <w:pPr>
              <w:jc w:val="right"/>
              <w:rPr>
                <w:color w:val="000000"/>
                <w:sz w:val="18"/>
                <w:szCs w:val="18"/>
              </w:rPr>
            </w:pPr>
            <w:r w:rsidRPr="00416D67">
              <w:rPr>
                <w:color w:val="000000"/>
                <w:sz w:val="18"/>
                <w:szCs w:val="18"/>
              </w:rPr>
              <w:t>1.632.646,65</w:t>
            </w:r>
          </w:p>
        </w:tc>
        <w:tc>
          <w:tcPr>
            <w:tcW w:w="941" w:type="dxa"/>
            <w:tcBorders>
              <w:top w:val="nil"/>
              <w:left w:val="nil"/>
              <w:bottom w:val="single" w:sz="8" w:space="0" w:color="auto"/>
              <w:right w:val="single" w:sz="8" w:space="0" w:color="auto"/>
            </w:tcBorders>
            <w:vAlign w:val="center"/>
            <w:hideMark/>
          </w:tcPr>
          <w:p w14:paraId="67A11649" w14:textId="77777777" w:rsidR="00416D67" w:rsidRPr="00416D67" w:rsidRDefault="00416D67" w:rsidP="00416D67">
            <w:pPr>
              <w:jc w:val="right"/>
              <w:rPr>
                <w:color w:val="000000"/>
                <w:sz w:val="18"/>
                <w:szCs w:val="18"/>
              </w:rPr>
            </w:pPr>
            <w:r w:rsidRPr="00416D67">
              <w:rPr>
                <w:color w:val="000000"/>
                <w:sz w:val="18"/>
                <w:szCs w:val="18"/>
              </w:rPr>
              <w:t>96,99%</w:t>
            </w:r>
          </w:p>
        </w:tc>
        <w:tc>
          <w:tcPr>
            <w:tcW w:w="1041" w:type="dxa"/>
            <w:tcBorders>
              <w:top w:val="nil"/>
              <w:left w:val="nil"/>
              <w:bottom w:val="single" w:sz="8" w:space="0" w:color="auto"/>
              <w:right w:val="single" w:sz="8" w:space="0" w:color="auto"/>
            </w:tcBorders>
            <w:vAlign w:val="center"/>
            <w:hideMark/>
          </w:tcPr>
          <w:p w14:paraId="29E0E1FC" w14:textId="77777777" w:rsidR="00416D67" w:rsidRPr="00416D67" w:rsidRDefault="00416D67" w:rsidP="00416D67">
            <w:pPr>
              <w:jc w:val="right"/>
              <w:rPr>
                <w:color w:val="000000"/>
                <w:sz w:val="18"/>
                <w:szCs w:val="18"/>
              </w:rPr>
            </w:pPr>
            <w:r w:rsidRPr="00416D67">
              <w:rPr>
                <w:color w:val="000000"/>
                <w:sz w:val="18"/>
                <w:szCs w:val="18"/>
              </w:rPr>
              <w:t>18373,23%</w:t>
            </w:r>
          </w:p>
        </w:tc>
      </w:tr>
      <w:tr w:rsidR="00416D67" w:rsidRPr="00416D67" w14:paraId="45904503" w14:textId="77777777" w:rsidTr="00BB1392">
        <w:trPr>
          <w:trHeight w:val="321"/>
          <w:jc w:val="center"/>
        </w:trPr>
        <w:tc>
          <w:tcPr>
            <w:tcW w:w="3260" w:type="dxa"/>
            <w:tcBorders>
              <w:top w:val="nil"/>
              <w:left w:val="single" w:sz="8" w:space="0" w:color="auto"/>
              <w:bottom w:val="single" w:sz="8" w:space="0" w:color="auto"/>
              <w:right w:val="single" w:sz="8" w:space="0" w:color="auto"/>
            </w:tcBorders>
            <w:vAlign w:val="center"/>
            <w:hideMark/>
          </w:tcPr>
          <w:p w14:paraId="45F33FB7" w14:textId="77777777" w:rsidR="00416D67" w:rsidRPr="00416D67" w:rsidRDefault="00416D67" w:rsidP="00416D67">
            <w:pPr>
              <w:rPr>
                <w:color w:val="000000"/>
                <w:sz w:val="18"/>
                <w:szCs w:val="18"/>
              </w:rPr>
            </w:pPr>
            <w:r w:rsidRPr="00416D67">
              <w:rPr>
                <w:color w:val="000000"/>
                <w:sz w:val="18"/>
                <w:szCs w:val="18"/>
              </w:rPr>
              <w:t>1.3. Primici od financijske imovine i zaduživanja</w:t>
            </w:r>
          </w:p>
        </w:tc>
        <w:tc>
          <w:tcPr>
            <w:tcW w:w="1363" w:type="dxa"/>
            <w:tcBorders>
              <w:top w:val="nil"/>
              <w:left w:val="nil"/>
              <w:bottom w:val="single" w:sz="8" w:space="0" w:color="auto"/>
              <w:right w:val="single" w:sz="8" w:space="0" w:color="auto"/>
            </w:tcBorders>
            <w:vAlign w:val="center"/>
            <w:hideMark/>
          </w:tcPr>
          <w:p w14:paraId="1FE02ABF" w14:textId="77777777" w:rsidR="00416D67" w:rsidRPr="00416D67" w:rsidRDefault="00416D67" w:rsidP="00416D67">
            <w:pPr>
              <w:jc w:val="right"/>
              <w:rPr>
                <w:color w:val="000000"/>
                <w:sz w:val="18"/>
                <w:szCs w:val="18"/>
              </w:rPr>
            </w:pPr>
            <w:r w:rsidRPr="00416D67">
              <w:rPr>
                <w:color w:val="000000"/>
                <w:sz w:val="18"/>
                <w:szCs w:val="18"/>
              </w:rPr>
              <w:t>0,00</w:t>
            </w:r>
          </w:p>
        </w:tc>
        <w:tc>
          <w:tcPr>
            <w:tcW w:w="1474" w:type="dxa"/>
            <w:tcBorders>
              <w:top w:val="nil"/>
              <w:left w:val="nil"/>
              <w:bottom w:val="single" w:sz="8" w:space="0" w:color="auto"/>
              <w:right w:val="single" w:sz="8" w:space="0" w:color="auto"/>
            </w:tcBorders>
            <w:vAlign w:val="center"/>
            <w:hideMark/>
          </w:tcPr>
          <w:p w14:paraId="75D49E00" w14:textId="77777777" w:rsidR="00416D67" w:rsidRPr="00416D67" w:rsidRDefault="00416D67" w:rsidP="00416D67">
            <w:pPr>
              <w:jc w:val="right"/>
              <w:rPr>
                <w:color w:val="000000"/>
                <w:sz w:val="18"/>
                <w:szCs w:val="18"/>
              </w:rPr>
            </w:pPr>
            <w:r w:rsidRPr="00416D67">
              <w:rPr>
                <w:color w:val="000000"/>
                <w:sz w:val="18"/>
                <w:szCs w:val="18"/>
              </w:rPr>
              <w:t>70.000,00</w:t>
            </w:r>
          </w:p>
        </w:tc>
        <w:tc>
          <w:tcPr>
            <w:tcW w:w="1276" w:type="dxa"/>
            <w:tcBorders>
              <w:top w:val="nil"/>
              <w:left w:val="nil"/>
              <w:bottom w:val="single" w:sz="8" w:space="0" w:color="auto"/>
              <w:right w:val="single" w:sz="8" w:space="0" w:color="auto"/>
            </w:tcBorders>
            <w:vAlign w:val="center"/>
            <w:hideMark/>
          </w:tcPr>
          <w:p w14:paraId="78BE642D" w14:textId="77777777" w:rsidR="00416D67" w:rsidRPr="00416D67" w:rsidRDefault="00416D67" w:rsidP="00416D67">
            <w:pPr>
              <w:jc w:val="right"/>
              <w:rPr>
                <w:color w:val="000000"/>
                <w:sz w:val="18"/>
                <w:szCs w:val="18"/>
              </w:rPr>
            </w:pPr>
            <w:r w:rsidRPr="00416D67">
              <w:rPr>
                <w:color w:val="000000"/>
                <w:sz w:val="18"/>
                <w:szCs w:val="18"/>
              </w:rPr>
              <w:t>42.776,75</w:t>
            </w:r>
          </w:p>
        </w:tc>
        <w:tc>
          <w:tcPr>
            <w:tcW w:w="941" w:type="dxa"/>
            <w:tcBorders>
              <w:top w:val="nil"/>
              <w:left w:val="nil"/>
              <w:bottom w:val="single" w:sz="8" w:space="0" w:color="auto"/>
              <w:right w:val="single" w:sz="8" w:space="0" w:color="auto"/>
            </w:tcBorders>
            <w:vAlign w:val="center"/>
            <w:hideMark/>
          </w:tcPr>
          <w:p w14:paraId="3B160E0E" w14:textId="77777777" w:rsidR="00416D67" w:rsidRPr="00416D67" w:rsidRDefault="00416D67" w:rsidP="00416D67">
            <w:pPr>
              <w:jc w:val="right"/>
              <w:rPr>
                <w:color w:val="000000"/>
                <w:sz w:val="18"/>
                <w:szCs w:val="18"/>
              </w:rPr>
            </w:pPr>
            <w:r w:rsidRPr="00416D67">
              <w:rPr>
                <w:color w:val="000000"/>
                <w:sz w:val="18"/>
                <w:szCs w:val="18"/>
              </w:rPr>
              <w:t>61,11%</w:t>
            </w:r>
          </w:p>
        </w:tc>
        <w:tc>
          <w:tcPr>
            <w:tcW w:w="1041" w:type="dxa"/>
            <w:tcBorders>
              <w:top w:val="nil"/>
              <w:left w:val="nil"/>
              <w:bottom w:val="single" w:sz="8" w:space="0" w:color="auto"/>
              <w:right w:val="single" w:sz="8" w:space="0" w:color="auto"/>
            </w:tcBorders>
            <w:vAlign w:val="center"/>
            <w:hideMark/>
          </w:tcPr>
          <w:p w14:paraId="582604BA" w14:textId="77777777" w:rsidR="00416D67" w:rsidRPr="00416D67" w:rsidRDefault="00416D67" w:rsidP="00416D67">
            <w:pPr>
              <w:jc w:val="right"/>
              <w:rPr>
                <w:color w:val="000000"/>
                <w:sz w:val="18"/>
                <w:szCs w:val="18"/>
              </w:rPr>
            </w:pPr>
            <w:r w:rsidRPr="00416D67">
              <w:rPr>
                <w:color w:val="000000"/>
                <w:sz w:val="18"/>
                <w:szCs w:val="18"/>
              </w:rPr>
              <w:t xml:space="preserve"> </w:t>
            </w:r>
          </w:p>
        </w:tc>
      </w:tr>
      <w:tr w:rsidR="00416D67" w:rsidRPr="00416D67" w14:paraId="6E9114CB" w14:textId="77777777" w:rsidTr="00BB1392">
        <w:trPr>
          <w:trHeight w:val="139"/>
          <w:jc w:val="center"/>
        </w:trPr>
        <w:tc>
          <w:tcPr>
            <w:tcW w:w="3260" w:type="dxa"/>
            <w:tcBorders>
              <w:top w:val="nil"/>
              <w:left w:val="single" w:sz="8" w:space="0" w:color="auto"/>
              <w:bottom w:val="single" w:sz="8" w:space="0" w:color="auto"/>
              <w:right w:val="single" w:sz="8" w:space="0" w:color="auto"/>
            </w:tcBorders>
            <w:vAlign w:val="center"/>
            <w:hideMark/>
          </w:tcPr>
          <w:p w14:paraId="4AB45E14" w14:textId="77777777" w:rsidR="00416D67" w:rsidRPr="00416D67" w:rsidRDefault="00416D67" w:rsidP="00416D67">
            <w:pPr>
              <w:rPr>
                <w:b/>
                <w:bCs/>
                <w:i/>
                <w:iCs/>
                <w:color w:val="000000"/>
                <w:sz w:val="18"/>
                <w:szCs w:val="18"/>
              </w:rPr>
            </w:pPr>
            <w:r w:rsidRPr="00416D67">
              <w:rPr>
                <w:b/>
                <w:bCs/>
                <w:i/>
                <w:iCs/>
                <w:color w:val="000000"/>
                <w:sz w:val="18"/>
                <w:szCs w:val="18"/>
              </w:rPr>
              <w:t>2.RASHODI</w:t>
            </w:r>
          </w:p>
        </w:tc>
        <w:tc>
          <w:tcPr>
            <w:tcW w:w="1363" w:type="dxa"/>
            <w:tcBorders>
              <w:top w:val="nil"/>
              <w:left w:val="nil"/>
              <w:bottom w:val="single" w:sz="8" w:space="0" w:color="auto"/>
              <w:right w:val="single" w:sz="8" w:space="0" w:color="auto"/>
            </w:tcBorders>
            <w:vAlign w:val="center"/>
            <w:hideMark/>
          </w:tcPr>
          <w:p w14:paraId="048A04E1" w14:textId="77777777" w:rsidR="00416D67" w:rsidRPr="00416D67" w:rsidRDefault="00416D67" w:rsidP="00416D67">
            <w:pPr>
              <w:jc w:val="right"/>
              <w:rPr>
                <w:b/>
                <w:bCs/>
                <w:i/>
                <w:iCs/>
                <w:color w:val="000000"/>
                <w:sz w:val="18"/>
                <w:szCs w:val="18"/>
              </w:rPr>
            </w:pPr>
            <w:r w:rsidRPr="00416D67">
              <w:rPr>
                <w:b/>
                <w:bCs/>
                <w:i/>
                <w:iCs/>
                <w:color w:val="000000"/>
                <w:sz w:val="18"/>
                <w:szCs w:val="18"/>
              </w:rPr>
              <w:t>5.321.693,86</w:t>
            </w:r>
          </w:p>
        </w:tc>
        <w:tc>
          <w:tcPr>
            <w:tcW w:w="1474" w:type="dxa"/>
            <w:tcBorders>
              <w:top w:val="nil"/>
              <w:left w:val="nil"/>
              <w:bottom w:val="single" w:sz="8" w:space="0" w:color="auto"/>
              <w:right w:val="single" w:sz="8" w:space="0" w:color="auto"/>
            </w:tcBorders>
            <w:vAlign w:val="center"/>
            <w:hideMark/>
          </w:tcPr>
          <w:p w14:paraId="3DE9D686" w14:textId="77777777" w:rsidR="00416D67" w:rsidRPr="00416D67" w:rsidRDefault="00416D67" w:rsidP="00416D67">
            <w:pPr>
              <w:jc w:val="right"/>
              <w:rPr>
                <w:b/>
                <w:bCs/>
                <w:i/>
                <w:iCs/>
                <w:color w:val="000000"/>
                <w:sz w:val="18"/>
                <w:szCs w:val="18"/>
              </w:rPr>
            </w:pPr>
            <w:r w:rsidRPr="00416D67">
              <w:rPr>
                <w:b/>
                <w:bCs/>
                <w:i/>
                <w:iCs/>
                <w:color w:val="000000"/>
                <w:sz w:val="18"/>
                <w:szCs w:val="18"/>
              </w:rPr>
              <w:t>9.163.800,00</w:t>
            </w:r>
          </w:p>
        </w:tc>
        <w:tc>
          <w:tcPr>
            <w:tcW w:w="1276" w:type="dxa"/>
            <w:tcBorders>
              <w:top w:val="nil"/>
              <w:left w:val="nil"/>
              <w:bottom w:val="single" w:sz="8" w:space="0" w:color="auto"/>
              <w:right w:val="single" w:sz="8" w:space="0" w:color="auto"/>
            </w:tcBorders>
            <w:vAlign w:val="center"/>
            <w:hideMark/>
          </w:tcPr>
          <w:p w14:paraId="4ED7A1A7" w14:textId="77777777" w:rsidR="00416D67" w:rsidRPr="00416D67" w:rsidRDefault="00416D67" w:rsidP="00416D67">
            <w:pPr>
              <w:jc w:val="right"/>
              <w:rPr>
                <w:b/>
                <w:bCs/>
                <w:i/>
                <w:iCs/>
                <w:color w:val="000000"/>
                <w:sz w:val="18"/>
                <w:szCs w:val="18"/>
              </w:rPr>
            </w:pPr>
            <w:r w:rsidRPr="00416D67">
              <w:rPr>
                <w:b/>
                <w:bCs/>
                <w:i/>
                <w:iCs/>
                <w:color w:val="000000"/>
                <w:sz w:val="18"/>
                <w:szCs w:val="18"/>
              </w:rPr>
              <w:t>6.587.292,79</w:t>
            </w:r>
          </w:p>
        </w:tc>
        <w:tc>
          <w:tcPr>
            <w:tcW w:w="941" w:type="dxa"/>
            <w:tcBorders>
              <w:top w:val="nil"/>
              <w:left w:val="nil"/>
              <w:bottom w:val="single" w:sz="8" w:space="0" w:color="auto"/>
              <w:right w:val="single" w:sz="8" w:space="0" w:color="auto"/>
            </w:tcBorders>
            <w:vAlign w:val="center"/>
            <w:hideMark/>
          </w:tcPr>
          <w:p w14:paraId="41616EBE" w14:textId="77777777" w:rsidR="00416D67" w:rsidRPr="00416D67" w:rsidRDefault="00416D67" w:rsidP="00416D67">
            <w:pPr>
              <w:jc w:val="right"/>
              <w:rPr>
                <w:b/>
                <w:bCs/>
                <w:i/>
                <w:iCs/>
                <w:color w:val="000000"/>
                <w:sz w:val="18"/>
                <w:szCs w:val="18"/>
              </w:rPr>
            </w:pPr>
            <w:r w:rsidRPr="00416D67">
              <w:rPr>
                <w:b/>
                <w:bCs/>
                <w:i/>
                <w:iCs/>
                <w:color w:val="000000"/>
                <w:sz w:val="18"/>
                <w:szCs w:val="18"/>
              </w:rPr>
              <w:t>71,88%</w:t>
            </w:r>
          </w:p>
        </w:tc>
        <w:tc>
          <w:tcPr>
            <w:tcW w:w="1041" w:type="dxa"/>
            <w:tcBorders>
              <w:top w:val="nil"/>
              <w:left w:val="nil"/>
              <w:bottom w:val="single" w:sz="8" w:space="0" w:color="auto"/>
              <w:right w:val="single" w:sz="8" w:space="0" w:color="auto"/>
            </w:tcBorders>
            <w:vAlign w:val="center"/>
            <w:hideMark/>
          </w:tcPr>
          <w:p w14:paraId="51E23827" w14:textId="77777777" w:rsidR="00416D67" w:rsidRPr="00416D67" w:rsidRDefault="00416D67" w:rsidP="00416D67">
            <w:pPr>
              <w:jc w:val="right"/>
              <w:rPr>
                <w:b/>
                <w:bCs/>
                <w:i/>
                <w:iCs/>
                <w:color w:val="000000"/>
                <w:sz w:val="18"/>
                <w:szCs w:val="18"/>
              </w:rPr>
            </w:pPr>
            <w:r w:rsidRPr="00416D67">
              <w:rPr>
                <w:b/>
                <w:bCs/>
                <w:i/>
                <w:iCs/>
                <w:color w:val="000000"/>
                <w:sz w:val="18"/>
                <w:szCs w:val="18"/>
              </w:rPr>
              <w:t>123,78%</w:t>
            </w:r>
          </w:p>
        </w:tc>
      </w:tr>
      <w:tr w:rsidR="00416D67" w:rsidRPr="00416D67" w14:paraId="4C423486" w14:textId="77777777" w:rsidTr="00BB1392">
        <w:trPr>
          <w:trHeight w:val="199"/>
          <w:jc w:val="center"/>
        </w:trPr>
        <w:tc>
          <w:tcPr>
            <w:tcW w:w="3260" w:type="dxa"/>
            <w:tcBorders>
              <w:top w:val="nil"/>
              <w:left w:val="single" w:sz="8" w:space="0" w:color="auto"/>
              <w:bottom w:val="single" w:sz="8" w:space="0" w:color="auto"/>
              <w:right w:val="single" w:sz="8" w:space="0" w:color="auto"/>
            </w:tcBorders>
            <w:vAlign w:val="center"/>
            <w:hideMark/>
          </w:tcPr>
          <w:p w14:paraId="4ED7ADC6" w14:textId="77777777" w:rsidR="00416D67" w:rsidRPr="00416D67" w:rsidRDefault="00416D67" w:rsidP="00416D67">
            <w:pPr>
              <w:rPr>
                <w:color w:val="000000"/>
                <w:sz w:val="18"/>
                <w:szCs w:val="18"/>
              </w:rPr>
            </w:pPr>
            <w:r w:rsidRPr="00416D67">
              <w:rPr>
                <w:color w:val="000000"/>
                <w:sz w:val="18"/>
                <w:szCs w:val="18"/>
              </w:rPr>
              <w:t>2.1.Rashodi poslovanja</w:t>
            </w:r>
          </w:p>
        </w:tc>
        <w:tc>
          <w:tcPr>
            <w:tcW w:w="1363" w:type="dxa"/>
            <w:tcBorders>
              <w:top w:val="nil"/>
              <w:left w:val="nil"/>
              <w:bottom w:val="single" w:sz="8" w:space="0" w:color="auto"/>
              <w:right w:val="single" w:sz="8" w:space="0" w:color="auto"/>
            </w:tcBorders>
            <w:vAlign w:val="center"/>
            <w:hideMark/>
          </w:tcPr>
          <w:p w14:paraId="433272DA" w14:textId="77777777" w:rsidR="00416D67" w:rsidRPr="00416D67" w:rsidRDefault="00416D67" w:rsidP="00416D67">
            <w:pPr>
              <w:jc w:val="right"/>
              <w:rPr>
                <w:color w:val="000000"/>
                <w:sz w:val="18"/>
                <w:szCs w:val="18"/>
              </w:rPr>
            </w:pPr>
            <w:r w:rsidRPr="00416D67">
              <w:rPr>
                <w:color w:val="000000"/>
                <w:sz w:val="18"/>
                <w:szCs w:val="18"/>
              </w:rPr>
              <w:t>3.423.197,81</w:t>
            </w:r>
          </w:p>
        </w:tc>
        <w:tc>
          <w:tcPr>
            <w:tcW w:w="1474" w:type="dxa"/>
            <w:tcBorders>
              <w:top w:val="nil"/>
              <w:left w:val="nil"/>
              <w:bottom w:val="single" w:sz="8" w:space="0" w:color="auto"/>
              <w:right w:val="single" w:sz="8" w:space="0" w:color="auto"/>
            </w:tcBorders>
            <w:vAlign w:val="center"/>
            <w:hideMark/>
          </w:tcPr>
          <w:p w14:paraId="016CDA95" w14:textId="77777777" w:rsidR="00416D67" w:rsidRPr="00416D67" w:rsidRDefault="00416D67" w:rsidP="00416D67">
            <w:pPr>
              <w:jc w:val="right"/>
              <w:rPr>
                <w:color w:val="000000"/>
                <w:sz w:val="18"/>
                <w:szCs w:val="18"/>
              </w:rPr>
            </w:pPr>
            <w:r w:rsidRPr="00416D67">
              <w:rPr>
                <w:color w:val="000000"/>
                <w:sz w:val="18"/>
                <w:szCs w:val="18"/>
              </w:rPr>
              <w:t>5.785.441,47</w:t>
            </w:r>
          </w:p>
        </w:tc>
        <w:tc>
          <w:tcPr>
            <w:tcW w:w="1276" w:type="dxa"/>
            <w:tcBorders>
              <w:top w:val="nil"/>
              <w:left w:val="nil"/>
              <w:bottom w:val="single" w:sz="8" w:space="0" w:color="auto"/>
              <w:right w:val="single" w:sz="8" w:space="0" w:color="auto"/>
            </w:tcBorders>
            <w:vAlign w:val="center"/>
            <w:hideMark/>
          </w:tcPr>
          <w:p w14:paraId="480A413F" w14:textId="77777777" w:rsidR="00416D67" w:rsidRPr="00416D67" w:rsidRDefault="00416D67" w:rsidP="00416D67">
            <w:pPr>
              <w:jc w:val="right"/>
              <w:rPr>
                <w:color w:val="000000"/>
                <w:sz w:val="18"/>
                <w:szCs w:val="18"/>
              </w:rPr>
            </w:pPr>
            <w:r w:rsidRPr="00416D67">
              <w:rPr>
                <w:color w:val="000000"/>
                <w:sz w:val="18"/>
                <w:szCs w:val="18"/>
              </w:rPr>
              <w:t>4.187.956,59</w:t>
            </w:r>
          </w:p>
        </w:tc>
        <w:tc>
          <w:tcPr>
            <w:tcW w:w="941" w:type="dxa"/>
            <w:tcBorders>
              <w:top w:val="nil"/>
              <w:left w:val="nil"/>
              <w:bottom w:val="single" w:sz="8" w:space="0" w:color="auto"/>
              <w:right w:val="single" w:sz="8" w:space="0" w:color="auto"/>
            </w:tcBorders>
            <w:vAlign w:val="center"/>
            <w:hideMark/>
          </w:tcPr>
          <w:p w14:paraId="4C75F3CA" w14:textId="77777777" w:rsidR="00416D67" w:rsidRPr="00416D67" w:rsidRDefault="00416D67" w:rsidP="00416D67">
            <w:pPr>
              <w:jc w:val="right"/>
              <w:rPr>
                <w:color w:val="000000"/>
                <w:sz w:val="18"/>
                <w:szCs w:val="18"/>
              </w:rPr>
            </w:pPr>
            <w:r w:rsidRPr="00416D67">
              <w:rPr>
                <w:color w:val="000000"/>
                <w:sz w:val="18"/>
                <w:szCs w:val="18"/>
              </w:rPr>
              <w:t>72,39%</w:t>
            </w:r>
          </w:p>
        </w:tc>
        <w:tc>
          <w:tcPr>
            <w:tcW w:w="1041" w:type="dxa"/>
            <w:tcBorders>
              <w:top w:val="nil"/>
              <w:left w:val="nil"/>
              <w:bottom w:val="single" w:sz="8" w:space="0" w:color="auto"/>
              <w:right w:val="single" w:sz="8" w:space="0" w:color="auto"/>
            </w:tcBorders>
            <w:vAlign w:val="center"/>
            <w:hideMark/>
          </w:tcPr>
          <w:p w14:paraId="641672E2" w14:textId="77777777" w:rsidR="00416D67" w:rsidRPr="00416D67" w:rsidRDefault="00416D67" w:rsidP="00416D67">
            <w:pPr>
              <w:jc w:val="right"/>
              <w:rPr>
                <w:color w:val="000000"/>
                <w:sz w:val="18"/>
                <w:szCs w:val="18"/>
              </w:rPr>
            </w:pPr>
            <w:r w:rsidRPr="00416D67">
              <w:rPr>
                <w:color w:val="000000"/>
                <w:sz w:val="18"/>
                <w:szCs w:val="18"/>
              </w:rPr>
              <w:t>122,34%</w:t>
            </w:r>
          </w:p>
        </w:tc>
      </w:tr>
      <w:tr w:rsidR="00416D67" w:rsidRPr="00416D67" w14:paraId="3ACC4425" w14:textId="77777777" w:rsidTr="00BB1392">
        <w:trPr>
          <w:trHeight w:val="495"/>
          <w:jc w:val="center"/>
        </w:trPr>
        <w:tc>
          <w:tcPr>
            <w:tcW w:w="3260" w:type="dxa"/>
            <w:tcBorders>
              <w:top w:val="nil"/>
              <w:left w:val="single" w:sz="8" w:space="0" w:color="auto"/>
              <w:bottom w:val="single" w:sz="8" w:space="0" w:color="auto"/>
              <w:right w:val="single" w:sz="8" w:space="0" w:color="auto"/>
            </w:tcBorders>
            <w:vAlign w:val="center"/>
            <w:hideMark/>
          </w:tcPr>
          <w:p w14:paraId="22E5CC27" w14:textId="77777777" w:rsidR="00416D67" w:rsidRPr="00416D67" w:rsidRDefault="00416D67" w:rsidP="00416D67">
            <w:pPr>
              <w:rPr>
                <w:color w:val="000000"/>
                <w:sz w:val="18"/>
                <w:szCs w:val="18"/>
              </w:rPr>
            </w:pPr>
            <w:r w:rsidRPr="00416D67">
              <w:rPr>
                <w:color w:val="000000"/>
                <w:sz w:val="18"/>
                <w:szCs w:val="18"/>
              </w:rPr>
              <w:t>2.2.Rashodi za nabavu nefinancijske imovine</w:t>
            </w:r>
          </w:p>
        </w:tc>
        <w:tc>
          <w:tcPr>
            <w:tcW w:w="1363" w:type="dxa"/>
            <w:tcBorders>
              <w:top w:val="nil"/>
              <w:left w:val="nil"/>
              <w:bottom w:val="single" w:sz="8" w:space="0" w:color="auto"/>
              <w:right w:val="single" w:sz="8" w:space="0" w:color="auto"/>
            </w:tcBorders>
            <w:vAlign w:val="center"/>
            <w:hideMark/>
          </w:tcPr>
          <w:p w14:paraId="64D5B4FB" w14:textId="77777777" w:rsidR="00416D67" w:rsidRPr="00416D67" w:rsidRDefault="00416D67" w:rsidP="00416D67">
            <w:pPr>
              <w:jc w:val="right"/>
              <w:rPr>
                <w:color w:val="000000"/>
                <w:sz w:val="18"/>
                <w:szCs w:val="18"/>
              </w:rPr>
            </w:pPr>
            <w:r w:rsidRPr="00416D67">
              <w:rPr>
                <w:color w:val="000000"/>
                <w:sz w:val="18"/>
                <w:szCs w:val="18"/>
              </w:rPr>
              <w:t>1.827.066,29</w:t>
            </w:r>
          </w:p>
        </w:tc>
        <w:tc>
          <w:tcPr>
            <w:tcW w:w="1474" w:type="dxa"/>
            <w:tcBorders>
              <w:top w:val="nil"/>
              <w:left w:val="nil"/>
              <w:bottom w:val="single" w:sz="8" w:space="0" w:color="auto"/>
              <w:right w:val="single" w:sz="8" w:space="0" w:color="auto"/>
            </w:tcBorders>
            <w:vAlign w:val="center"/>
            <w:hideMark/>
          </w:tcPr>
          <w:p w14:paraId="758CDF97" w14:textId="77777777" w:rsidR="00416D67" w:rsidRPr="00416D67" w:rsidRDefault="00416D67" w:rsidP="00416D67">
            <w:pPr>
              <w:jc w:val="right"/>
              <w:rPr>
                <w:color w:val="000000"/>
                <w:sz w:val="18"/>
                <w:szCs w:val="18"/>
              </w:rPr>
            </w:pPr>
            <w:r w:rsidRPr="00416D67">
              <w:rPr>
                <w:color w:val="000000"/>
                <w:sz w:val="18"/>
                <w:szCs w:val="18"/>
              </w:rPr>
              <w:t>3.111.154,77</w:t>
            </w:r>
          </w:p>
        </w:tc>
        <w:tc>
          <w:tcPr>
            <w:tcW w:w="1276" w:type="dxa"/>
            <w:tcBorders>
              <w:top w:val="nil"/>
              <w:left w:val="nil"/>
              <w:bottom w:val="single" w:sz="8" w:space="0" w:color="auto"/>
              <w:right w:val="single" w:sz="8" w:space="0" w:color="auto"/>
            </w:tcBorders>
            <w:vAlign w:val="center"/>
            <w:hideMark/>
          </w:tcPr>
          <w:p w14:paraId="386A9EF7" w14:textId="77777777" w:rsidR="00416D67" w:rsidRPr="00416D67" w:rsidRDefault="00416D67" w:rsidP="00416D67">
            <w:pPr>
              <w:jc w:val="right"/>
              <w:rPr>
                <w:color w:val="000000"/>
                <w:sz w:val="18"/>
                <w:szCs w:val="18"/>
              </w:rPr>
            </w:pPr>
            <w:r w:rsidRPr="00416D67">
              <w:rPr>
                <w:color w:val="000000"/>
                <w:sz w:val="18"/>
                <w:szCs w:val="18"/>
              </w:rPr>
              <w:t>2.172.336,49</w:t>
            </w:r>
          </w:p>
        </w:tc>
        <w:tc>
          <w:tcPr>
            <w:tcW w:w="941" w:type="dxa"/>
            <w:tcBorders>
              <w:top w:val="nil"/>
              <w:left w:val="nil"/>
              <w:bottom w:val="single" w:sz="8" w:space="0" w:color="auto"/>
              <w:right w:val="single" w:sz="8" w:space="0" w:color="auto"/>
            </w:tcBorders>
            <w:vAlign w:val="center"/>
            <w:hideMark/>
          </w:tcPr>
          <w:p w14:paraId="6D612DFD" w14:textId="77777777" w:rsidR="00416D67" w:rsidRPr="00416D67" w:rsidRDefault="00416D67" w:rsidP="00416D67">
            <w:pPr>
              <w:jc w:val="right"/>
              <w:rPr>
                <w:color w:val="000000"/>
                <w:sz w:val="18"/>
                <w:szCs w:val="18"/>
              </w:rPr>
            </w:pPr>
            <w:r w:rsidRPr="00416D67">
              <w:rPr>
                <w:color w:val="000000"/>
                <w:sz w:val="18"/>
                <w:szCs w:val="18"/>
              </w:rPr>
              <w:t>69,82%</w:t>
            </w:r>
          </w:p>
        </w:tc>
        <w:tc>
          <w:tcPr>
            <w:tcW w:w="1041" w:type="dxa"/>
            <w:tcBorders>
              <w:top w:val="nil"/>
              <w:left w:val="nil"/>
              <w:bottom w:val="single" w:sz="8" w:space="0" w:color="auto"/>
              <w:right w:val="single" w:sz="8" w:space="0" w:color="auto"/>
            </w:tcBorders>
            <w:vAlign w:val="center"/>
            <w:hideMark/>
          </w:tcPr>
          <w:p w14:paraId="442E2EF5" w14:textId="77777777" w:rsidR="00416D67" w:rsidRPr="00416D67" w:rsidRDefault="00416D67" w:rsidP="00416D67">
            <w:pPr>
              <w:jc w:val="right"/>
              <w:rPr>
                <w:color w:val="000000"/>
                <w:sz w:val="18"/>
                <w:szCs w:val="18"/>
              </w:rPr>
            </w:pPr>
            <w:r w:rsidRPr="00416D67">
              <w:rPr>
                <w:color w:val="000000"/>
                <w:sz w:val="18"/>
                <w:szCs w:val="18"/>
              </w:rPr>
              <w:t>118,90%</w:t>
            </w:r>
          </w:p>
        </w:tc>
      </w:tr>
      <w:tr w:rsidR="00416D67" w:rsidRPr="00416D67" w14:paraId="2C5A53E5" w14:textId="77777777" w:rsidTr="00BB1392">
        <w:trPr>
          <w:trHeight w:val="243"/>
          <w:jc w:val="center"/>
        </w:trPr>
        <w:tc>
          <w:tcPr>
            <w:tcW w:w="3260" w:type="dxa"/>
            <w:tcBorders>
              <w:top w:val="nil"/>
              <w:left w:val="single" w:sz="8" w:space="0" w:color="auto"/>
              <w:bottom w:val="single" w:sz="8" w:space="0" w:color="auto"/>
              <w:right w:val="single" w:sz="8" w:space="0" w:color="auto"/>
            </w:tcBorders>
            <w:vAlign w:val="center"/>
            <w:hideMark/>
          </w:tcPr>
          <w:p w14:paraId="495F22CC" w14:textId="77777777" w:rsidR="00416D67" w:rsidRPr="00416D67" w:rsidRDefault="00416D67" w:rsidP="00416D67">
            <w:pPr>
              <w:rPr>
                <w:color w:val="000000"/>
                <w:sz w:val="18"/>
                <w:szCs w:val="18"/>
              </w:rPr>
            </w:pPr>
            <w:r w:rsidRPr="00416D67">
              <w:rPr>
                <w:color w:val="000000"/>
                <w:sz w:val="18"/>
                <w:szCs w:val="18"/>
              </w:rPr>
              <w:t>2.3. Izdaci za financijsku imovinu i otplate zajmova</w:t>
            </w:r>
          </w:p>
        </w:tc>
        <w:tc>
          <w:tcPr>
            <w:tcW w:w="1363" w:type="dxa"/>
            <w:tcBorders>
              <w:top w:val="nil"/>
              <w:left w:val="nil"/>
              <w:bottom w:val="single" w:sz="8" w:space="0" w:color="auto"/>
              <w:right w:val="single" w:sz="8" w:space="0" w:color="auto"/>
            </w:tcBorders>
            <w:vAlign w:val="center"/>
            <w:hideMark/>
          </w:tcPr>
          <w:p w14:paraId="61C6C067" w14:textId="77777777" w:rsidR="00416D67" w:rsidRPr="00416D67" w:rsidRDefault="00416D67" w:rsidP="00416D67">
            <w:pPr>
              <w:jc w:val="right"/>
              <w:rPr>
                <w:color w:val="000000"/>
                <w:sz w:val="18"/>
                <w:szCs w:val="18"/>
              </w:rPr>
            </w:pPr>
            <w:r w:rsidRPr="00416D67">
              <w:rPr>
                <w:color w:val="000000"/>
                <w:sz w:val="18"/>
                <w:szCs w:val="18"/>
              </w:rPr>
              <w:t>71.429,76</w:t>
            </w:r>
          </w:p>
        </w:tc>
        <w:tc>
          <w:tcPr>
            <w:tcW w:w="1474" w:type="dxa"/>
            <w:tcBorders>
              <w:top w:val="nil"/>
              <w:left w:val="nil"/>
              <w:bottom w:val="single" w:sz="8" w:space="0" w:color="auto"/>
              <w:right w:val="single" w:sz="8" w:space="0" w:color="auto"/>
            </w:tcBorders>
            <w:vAlign w:val="center"/>
            <w:hideMark/>
          </w:tcPr>
          <w:p w14:paraId="20D01686" w14:textId="77777777" w:rsidR="00416D67" w:rsidRPr="00416D67" w:rsidRDefault="00416D67" w:rsidP="00416D67">
            <w:pPr>
              <w:jc w:val="right"/>
              <w:rPr>
                <w:color w:val="000000"/>
                <w:sz w:val="18"/>
                <w:szCs w:val="18"/>
              </w:rPr>
            </w:pPr>
            <w:r w:rsidRPr="00416D67">
              <w:rPr>
                <w:color w:val="000000"/>
                <w:sz w:val="18"/>
                <w:szCs w:val="18"/>
              </w:rPr>
              <w:t>267.203,76</w:t>
            </w:r>
          </w:p>
        </w:tc>
        <w:tc>
          <w:tcPr>
            <w:tcW w:w="1276" w:type="dxa"/>
            <w:tcBorders>
              <w:top w:val="nil"/>
              <w:left w:val="nil"/>
              <w:bottom w:val="single" w:sz="8" w:space="0" w:color="auto"/>
              <w:right w:val="single" w:sz="8" w:space="0" w:color="auto"/>
            </w:tcBorders>
            <w:vAlign w:val="center"/>
            <w:hideMark/>
          </w:tcPr>
          <w:p w14:paraId="69FCC3C1" w14:textId="77777777" w:rsidR="00416D67" w:rsidRPr="00416D67" w:rsidRDefault="00416D67" w:rsidP="00416D67">
            <w:pPr>
              <w:jc w:val="right"/>
              <w:rPr>
                <w:color w:val="000000"/>
                <w:sz w:val="18"/>
                <w:szCs w:val="18"/>
              </w:rPr>
            </w:pPr>
            <w:r w:rsidRPr="00416D67">
              <w:rPr>
                <w:color w:val="000000"/>
                <w:sz w:val="18"/>
                <w:szCs w:val="18"/>
              </w:rPr>
              <w:t>226.999,71</w:t>
            </w:r>
          </w:p>
        </w:tc>
        <w:tc>
          <w:tcPr>
            <w:tcW w:w="941" w:type="dxa"/>
            <w:tcBorders>
              <w:top w:val="nil"/>
              <w:left w:val="nil"/>
              <w:bottom w:val="single" w:sz="8" w:space="0" w:color="auto"/>
              <w:right w:val="single" w:sz="8" w:space="0" w:color="auto"/>
            </w:tcBorders>
            <w:vAlign w:val="center"/>
            <w:hideMark/>
          </w:tcPr>
          <w:p w14:paraId="20EEC258" w14:textId="77777777" w:rsidR="00416D67" w:rsidRPr="00416D67" w:rsidRDefault="00416D67" w:rsidP="00416D67">
            <w:pPr>
              <w:jc w:val="right"/>
              <w:rPr>
                <w:color w:val="000000"/>
                <w:sz w:val="18"/>
                <w:szCs w:val="18"/>
              </w:rPr>
            </w:pPr>
            <w:r w:rsidRPr="00416D67">
              <w:rPr>
                <w:color w:val="000000"/>
                <w:sz w:val="18"/>
                <w:szCs w:val="18"/>
              </w:rPr>
              <w:t>84,95%</w:t>
            </w:r>
          </w:p>
        </w:tc>
        <w:tc>
          <w:tcPr>
            <w:tcW w:w="1041" w:type="dxa"/>
            <w:tcBorders>
              <w:top w:val="nil"/>
              <w:left w:val="nil"/>
              <w:bottom w:val="single" w:sz="8" w:space="0" w:color="auto"/>
              <w:right w:val="single" w:sz="8" w:space="0" w:color="auto"/>
            </w:tcBorders>
            <w:vAlign w:val="center"/>
            <w:hideMark/>
          </w:tcPr>
          <w:p w14:paraId="02A26DC8" w14:textId="77777777" w:rsidR="00416D67" w:rsidRPr="00416D67" w:rsidRDefault="00416D67" w:rsidP="00416D67">
            <w:pPr>
              <w:jc w:val="right"/>
              <w:rPr>
                <w:color w:val="000000"/>
                <w:sz w:val="18"/>
                <w:szCs w:val="18"/>
              </w:rPr>
            </w:pPr>
            <w:r w:rsidRPr="00416D67">
              <w:rPr>
                <w:color w:val="000000"/>
                <w:sz w:val="18"/>
                <w:szCs w:val="18"/>
              </w:rPr>
              <w:t>317,79%</w:t>
            </w:r>
          </w:p>
        </w:tc>
      </w:tr>
      <w:tr w:rsidR="00416D67" w:rsidRPr="00416D67" w14:paraId="715FA553" w14:textId="77777777" w:rsidTr="00BB1392">
        <w:trPr>
          <w:trHeight w:val="50"/>
          <w:jc w:val="center"/>
        </w:trPr>
        <w:tc>
          <w:tcPr>
            <w:tcW w:w="3260" w:type="dxa"/>
            <w:tcBorders>
              <w:top w:val="nil"/>
              <w:left w:val="single" w:sz="8" w:space="0" w:color="auto"/>
              <w:bottom w:val="single" w:sz="8" w:space="0" w:color="auto"/>
              <w:right w:val="single" w:sz="8" w:space="0" w:color="auto"/>
            </w:tcBorders>
            <w:vAlign w:val="center"/>
            <w:hideMark/>
          </w:tcPr>
          <w:p w14:paraId="2051418D" w14:textId="77777777" w:rsidR="00416D67" w:rsidRPr="00416D67" w:rsidRDefault="00416D67" w:rsidP="00416D67">
            <w:pPr>
              <w:rPr>
                <w:b/>
                <w:bCs/>
                <w:i/>
                <w:iCs/>
                <w:color w:val="000000"/>
                <w:sz w:val="18"/>
                <w:szCs w:val="18"/>
              </w:rPr>
            </w:pPr>
            <w:r w:rsidRPr="00416D67">
              <w:rPr>
                <w:b/>
                <w:bCs/>
                <w:i/>
                <w:iCs/>
                <w:color w:val="000000"/>
                <w:sz w:val="18"/>
                <w:szCs w:val="18"/>
              </w:rPr>
              <w:t>3. MANJAK/VIŠAK TEKUĆA GODINA</w:t>
            </w:r>
          </w:p>
        </w:tc>
        <w:tc>
          <w:tcPr>
            <w:tcW w:w="1363" w:type="dxa"/>
            <w:tcBorders>
              <w:top w:val="nil"/>
              <w:left w:val="nil"/>
              <w:bottom w:val="single" w:sz="8" w:space="0" w:color="auto"/>
              <w:right w:val="single" w:sz="8" w:space="0" w:color="auto"/>
            </w:tcBorders>
            <w:vAlign w:val="center"/>
            <w:hideMark/>
          </w:tcPr>
          <w:p w14:paraId="684C8208" w14:textId="77777777" w:rsidR="00416D67" w:rsidRPr="00416D67" w:rsidRDefault="00416D67" w:rsidP="00416D67">
            <w:pPr>
              <w:jc w:val="right"/>
              <w:rPr>
                <w:b/>
                <w:bCs/>
                <w:i/>
                <w:iCs/>
                <w:color w:val="000000"/>
                <w:sz w:val="18"/>
                <w:szCs w:val="18"/>
              </w:rPr>
            </w:pPr>
            <w:r w:rsidRPr="00416D67">
              <w:rPr>
                <w:b/>
                <w:bCs/>
                <w:i/>
                <w:iCs/>
                <w:color w:val="000000"/>
                <w:sz w:val="18"/>
                <w:szCs w:val="18"/>
              </w:rPr>
              <w:t>494.736,51</w:t>
            </w:r>
          </w:p>
        </w:tc>
        <w:tc>
          <w:tcPr>
            <w:tcW w:w="1474" w:type="dxa"/>
            <w:tcBorders>
              <w:top w:val="nil"/>
              <w:left w:val="nil"/>
              <w:bottom w:val="single" w:sz="8" w:space="0" w:color="auto"/>
              <w:right w:val="single" w:sz="8" w:space="0" w:color="auto"/>
            </w:tcBorders>
            <w:vAlign w:val="center"/>
            <w:hideMark/>
          </w:tcPr>
          <w:p w14:paraId="5A255581" w14:textId="77777777" w:rsidR="00416D67" w:rsidRPr="00416D67" w:rsidRDefault="00416D67" w:rsidP="00416D67">
            <w:pPr>
              <w:jc w:val="right"/>
              <w:rPr>
                <w:b/>
                <w:bCs/>
                <w:i/>
                <w:iCs/>
                <w:color w:val="000000"/>
                <w:sz w:val="18"/>
                <w:szCs w:val="18"/>
              </w:rPr>
            </w:pPr>
            <w:r w:rsidRPr="00416D67">
              <w:rPr>
                <w:b/>
                <w:bCs/>
                <w:i/>
                <w:iCs/>
                <w:color w:val="000000"/>
                <w:sz w:val="18"/>
                <w:szCs w:val="18"/>
              </w:rPr>
              <w:t>-1.747.613,82</w:t>
            </w:r>
          </w:p>
        </w:tc>
        <w:tc>
          <w:tcPr>
            <w:tcW w:w="1276" w:type="dxa"/>
            <w:tcBorders>
              <w:top w:val="nil"/>
              <w:left w:val="nil"/>
              <w:bottom w:val="single" w:sz="8" w:space="0" w:color="auto"/>
              <w:right w:val="single" w:sz="8" w:space="0" w:color="auto"/>
            </w:tcBorders>
            <w:vAlign w:val="center"/>
            <w:hideMark/>
          </w:tcPr>
          <w:p w14:paraId="654E2594" w14:textId="77777777" w:rsidR="00416D67" w:rsidRPr="00416D67" w:rsidRDefault="00416D67" w:rsidP="00416D67">
            <w:pPr>
              <w:jc w:val="right"/>
              <w:rPr>
                <w:b/>
                <w:bCs/>
                <w:i/>
                <w:iCs/>
                <w:color w:val="000000"/>
                <w:sz w:val="18"/>
                <w:szCs w:val="18"/>
              </w:rPr>
            </w:pPr>
            <w:r w:rsidRPr="00416D67">
              <w:rPr>
                <w:b/>
                <w:bCs/>
                <w:i/>
                <w:iCs/>
                <w:color w:val="000000"/>
                <w:sz w:val="18"/>
                <w:szCs w:val="18"/>
              </w:rPr>
              <w:t>965.346,03</w:t>
            </w:r>
          </w:p>
        </w:tc>
        <w:tc>
          <w:tcPr>
            <w:tcW w:w="941" w:type="dxa"/>
            <w:tcBorders>
              <w:top w:val="nil"/>
              <w:left w:val="nil"/>
              <w:bottom w:val="single" w:sz="8" w:space="0" w:color="auto"/>
              <w:right w:val="single" w:sz="8" w:space="0" w:color="auto"/>
            </w:tcBorders>
            <w:vAlign w:val="center"/>
            <w:hideMark/>
          </w:tcPr>
          <w:p w14:paraId="0204984E" w14:textId="77777777" w:rsidR="00416D67" w:rsidRPr="00416D67" w:rsidRDefault="00416D67" w:rsidP="00416D67">
            <w:pPr>
              <w:jc w:val="right"/>
              <w:rPr>
                <w:b/>
                <w:bCs/>
                <w:i/>
                <w:iCs/>
                <w:color w:val="000000"/>
                <w:sz w:val="18"/>
                <w:szCs w:val="18"/>
              </w:rPr>
            </w:pPr>
            <w:r w:rsidRPr="00416D67">
              <w:rPr>
                <w:b/>
                <w:bCs/>
                <w:i/>
                <w:iCs/>
                <w:color w:val="000000"/>
                <w:sz w:val="18"/>
                <w:szCs w:val="18"/>
              </w:rPr>
              <w:t>-55,24%</w:t>
            </w:r>
          </w:p>
        </w:tc>
        <w:tc>
          <w:tcPr>
            <w:tcW w:w="1041" w:type="dxa"/>
            <w:tcBorders>
              <w:top w:val="nil"/>
              <w:left w:val="nil"/>
              <w:bottom w:val="single" w:sz="8" w:space="0" w:color="auto"/>
              <w:right w:val="single" w:sz="8" w:space="0" w:color="auto"/>
            </w:tcBorders>
            <w:vAlign w:val="center"/>
            <w:hideMark/>
          </w:tcPr>
          <w:p w14:paraId="05538D48" w14:textId="77777777" w:rsidR="00416D67" w:rsidRPr="00416D67" w:rsidRDefault="00416D67" w:rsidP="00416D67">
            <w:pPr>
              <w:jc w:val="right"/>
              <w:rPr>
                <w:b/>
                <w:bCs/>
                <w:i/>
                <w:iCs/>
                <w:color w:val="000000"/>
                <w:sz w:val="18"/>
                <w:szCs w:val="18"/>
              </w:rPr>
            </w:pPr>
            <w:r w:rsidRPr="00416D67">
              <w:rPr>
                <w:b/>
                <w:bCs/>
                <w:i/>
                <w:iCs/>
                <w:color w:val="000000"/>
                <w:sz w:val="18"/>
                <w:szCs w:val="18"/>
              </w:rPr>
              <w:t>195,12%</w:t>
            </w:r>
          </w:p>
        </w:tc>
      </w:tr>
      <w:tr w:rsidR="00416D67" w:rsidRPr="00416D67" w14:paraId="22144927" w14:textId="77777777" w:rsidTr="00BB1392">
        <w:trPr>
          <w:trHeight w:val="144"/>
          <w:jc w:val="center"/>
        </w:trPr>
        <w:tc>
          <w:tcPr>
            <w:tcW w:w="3260" w:type="dxa"/>
            <w:tcBorders>
              <w:top w:val="nil"/>
              <w:left w:val="single" w:sz="8" w:space="0" w:color="auto"/>
              <w:bottom w:val="single" w:sz="8" w:space="0" w:color="auto"/>
              <w:right w:val="single" w:sz="8" w:space="0" w:color="auto"/>
            </w:tcBorders>
            <w:vAlign w:val="center"/>
            <w:hideMark/>
          </w:tcPr>
          <w:p w14:paraId="7D564B63" w14:textId="77777777" w:rsidR="00416D67" w:rsidRPr="00416D67" w:rsidRDefault="00416D67" w:rsidP="00416D67">
            <w:pPr>
              <w:rPr>
                <w:b/>
                <w:bCs/>
                <w:i/>
                <w:iCs/>
                <w:color w:val="000000"/>
                <w:sz w:val="18"/>
                <w:szCs w:val="18"/>
              </w:rPr>
            </w:pPr>
            <w:r w:rsidRPr="00416D67">
              <w:rPr>
                <w:b/>
                <w:bCs/>
                <w:i/>
                <w:iCs/>
                <w:color w:val="000000"/>
                <w:sz w:val="18"/>
                <w:szCs w:val="18"/>
              </w:rPr>
              <w:t>4.MANJAK/VIŠAK PRETHODNIH GODINA</w:t>
            </w:r>
          </w:p>
        </w:tc>
        <w:tc>
          <w:tcPr>
            <w:tcW w:w="1363" w:type="dxa"/>
            <w:tcBorders>
              <w:top w:val="nil"/>
              <w:left w:val="nil"/>
              <w:bottom w:val="single" w:sz="8" w:space="0" w:color="auto"/>
              <w:right w:val="single" w:sz="8" w:space="0" w:color="auto"/>
            </w:tcBorders>
            <w:vAlign w:val="center"/>
            <w:hideMark/>
          </w:tcPr>
          <w:p w14:paraId="72971BC2" w14:textId="77777777" w:rsidR="00416D67" w:rsidRPr="00416D67" w:rsidRDefault="00416D67" w:rsidP="00416D67">
            <w:pPr>
              <w:jc w:val="right"/>
              <w:rPr>
                <w:b/>
                <w:bCs/>
                <w:i/>
                <w:iCs/>
                <w:color w:val="000000"/>
                <w:sz w:val="18"/>
                <w:szCs w:val="18"/>
              </w:rPr>
            </w:pPr>
            <w:r w:rsidRPr="00416D67">
              <w:rPr>
                <w:b/>
                <w:bCs/>
                <w:i/>
                <w:iCs/>
                <w:color w:val="000000"/>
                <w:sz w:val="18"/>
                <w:szCs w:val="18"/>
              </w:rPr>
              <w:t>1.252.877,31</w:t>
            </w:r>
          </w:p>
        </w:tc>
        <w:tc>
          <w:tcPr>
            <w:tcW w:w="1474" w:type="dxa"/>
            <w:tcBorders>
              <w:top w:val="nil"/>
              <w:left w:val="nil"/>
              <w:bottom w:val="single" w:sz="8" w:space="0" w:color="auto"/>
              <w:right w:val="single" w:sz="8" w:space="0" w:color="auto"/>
            </w:tcBorders>
            <w:vAlign w:val="center"/>
            <w:hideMark/>
          </w:tcPr>
          <w:p w14:paraId="2A10D8FD" w14:textId="77777777" w:rsidR="00416D67" w:rsidRPr="00416D67" w:rsidRDefault="00416D67" w:rsidP="00416D67">
            <w:pPr>
              <w:jc w:val="right"/>
              <w:rPr>
                <w:b/>
                <w:bCs/>
                <w:i/>
                <w:iCs/>
                <w:color w:val="000000"/>
                <w:sz w:val="18"/>
                <w:szCs w:val="18"/>
              </w:rPr>
            </w:pPr>
            <w:r w:rsidRPr="00416D67">
              <w:rPr>
                <w:b/>
                <w:bCs/>
                <w:i/>
                <w:iCs/>
                <w:color w:val="000000"/>
                <w:sz w:val="18"/>
                <w:szCs w:val="18"/>
              </w:rPr>
              <w:t>1.747.613,82</w:t>
            </w:r>
          </w:p>
        </w:tc>
        <w:tc>
          <w:tcPr>
            <w:tcW w:w="1276" w:type="dxa"/>
            <w:tcBorders>
              <w:top w:val="nil"/>
              <w:left w:val="nil"/>
              <w:bottom w:val="single" w:sz="8" w:space="0" w:color="auto"/>
              <w:right w:val="single" w:sz="8" w:space="0" w:color="auto"/>
            </w:tcBorders>
            <w:vAlign w:val="center"/>
            <w:hideMark/>
          </w:tcPr>
          <w:p w14:paraId="636130F5" w14:textId="77777777" w:rsidR="00416D67" w:rsidRPr="00416D67" w:rsidRDefault="00416D67" w:rsidP="00416D67">
            <w:pPr>
              <w:jc w:val="right"/>
              <w:rPr>
                <w:b/>
                <w:bCs/>
                <w:i/>
                <w:iCs/>
                <w:color w:val="000000"/>
                <w:sz w:val="18"/>
                <w:szCs w:val="18"/>
              </w:rPr>
            </w:pPr>
            <w:r w:rsidRPr="00416D67">
              <w:rPr>
                <w:b/>
                <w:bCs/>
                <w:i/>
                <w:iCs/>
                <w:color w:val="000000"/>
                <w:sz w:val="18"/>
                <w:szCs w:val="18"/>
              </w:rPr>
              <w:t>1.744.497,18</w:t>
            </w:r>
          </w:p>
        </w:tc>
        <w:tc>
          <w:tcPr>
            <w:tcW w:w="941" w:type="dxa"/>
            <w:tcBorders>
              <w:top w:val="nil"/>
              <w:left w:val="nil"/>
              <w:bottom w:val="single" w:sz="8" w:space="0" w:color="auto"/>
              <w:right w:val="single" w:sz="8" w:space="0" w:color="auto"/>
            </w:tcBorders>
            <w:vAlign w:val="center"/>
            <w:hideMark/>
          </w:tcPr>
          <w:p w14:paraId="22A0190C" w14:textId="77777777" w:rsidR="00416D67" w:rsidRPr="00416D67" w:rsidRDefault="00416D67" w:rsidP="00416D67">
            <w:pPr>
              <w:jc w:val="right"/>
              <w:rPr>
                <w:b/>
                <w:bCs/>
                <w:i/>
                <w:iCs/>
                <w:color w:val="000000"/>
                <w:sz w:val="18"/>
                <w:szCs w:val="18"/>
              </w:rPr>
            </w:pPr>
            <w:r w:rsidRPr="00416D67">
              <w:rPr>
                <w:b/>
                <w:bCs/>
                <w:i/>
                <w:iCs/>
                <w:color w:val="000000"/>
                <w:sz w:val="18"/>
                <w:szCs w:val="18"/>
              </w:rPr>
              <w:t>99,82%</w:t>
            </w:r>
          </w:p>
        </w:tc>
        <w:tc>
          <w:tcPr>
            <w:tcW w:w="1041" w:type="dxa"/>
            <w:tcBorders>
              <w:top w:val="nil"/>
              <w:left w:val="nil"/>
              <w:bottom w:val="single" w:sz="8" w:space="0" w:color="auto"/>
              <w:right w:val="single" w:sz="8" w:space="0" w:color="auto"/>
            </w:tcBorders>
            <w:vAlign w:val="center"/>
            <w:hideMark/>
          </w:tcPr>
          <w:p w14:paraId="72EDA65E" w14:textId="77777777" w:rsidR="00416D67" w:rsidRPr="00416D67" w:rsidRDefault="00416D67" w:rsidP="00416D67">
            <w:pPr>
              <w:jc w:val="right"/>
              <w:rPr>
                <w:b/>
                <w:bCs/>
                <w:i/>
                <w:iCs/>
                <w:color w:val="000000"/>
                <w:sz w:val="18"/>
                <w:szCs w:val="18"/>
              </w:rPr>
            </w:pPr>
            <w:r w:rsidRPr="00416D67">
              <w:rPr>
                <w:b/>
                <w:bCs/>
                <w:i/>
                <w:iCs/>
                <w:color w:val="000000"/>
                <w:sz w:val="18"/>
                <w:szCs w:val="18"/>
              </w:rPr>
              <w:t>139,24%</w:t>
            </w:r>
          </w:p>
        </w:tc>
      </w:tr>
      <w:tr w:rsidR="00416D67" w:rsidRPr="00416D67" w14:paraId="259BAA71" w14:textId="77777777" w:rsidTr="00BB1392">
        <w:trPr>
          <w:trHeight w:val="191"/>
          <w:jc w:val="center"/>
        </w:trPr>
        <w:tc>
          <w:tcPr>
            <w:tcW w:w="3260" w:type="dxa"/>
            <w:tcBorders>
              <w:top w:val="nil"/>
              <w:left w:val="single" w:sz="8" w:space="0" w:color="auto"/>
              <w:bottom w:val="single" w:sz="8" w:space="0" w:color="auto"/>
              <w:right w:val="single" w:sz="8" w:space="0" w:color="auto"/>
            </w:tcBorders>
            <w:vAlign w:val="center"/>
            <w:hideMark/>
          </w:tcPr>
          <w:p w14:paraId="7F47314F" w14:textId="77777777" w:rsidR="00416D67" w:rsidRPr="00416D67" w:rsidRDefault="00416D67" w:rsidP="00416D67">
            <w:pPr>
              <w:rPr>
                <w:b/>
                <w:bCs/>
                <w:i/>
                <w:iCs/>
                <w:color w:val="000000"/>
                <w:sz w:val="18"/>
                <w:szCs w:val="18"/>
              </w:rPr>
            </w:pPr>
            <w:r w:rsidRPr="00416D67">
              <w:rPr>
                <w:b/>
                <w:bCs/>
                <w:i/>
                <w:iCs/>
                <w:color w:val="000000"/>
                <w:sz w:val="18"/>
                <w:szCs w:val="18"/>
              </w:rPr>
              <w:t>5.UKUPNI MANJAK /VIŠAK   31.12.</w:t>
            </w:r>
          </w:p>
        </w:tc>
        <w:tc>
          <w:tcPr>
            <w:tcW w:w="1363" w:type="dxa"/>
            <w:tcBorders>
              <w:top w:val="nil"/>
              <w:left w:val="nil"/>
              <w:bottom w:val="single" w:sz="8" w:space="0" w:color="auto"/>
              <w:right w:val="single" w:sz="8" w:space="0" w:color="auto"/>
            </w:tcBorders>
            <w:vAlign w:val="center"/>
            <w:hideMark/>
          </w:tcPr>
          <w:p w14:paraId="693BA33A" w14:textId="77777777" w:rsidR="00416D67" w:rsidRPr="00416D67" w:rsidRDefault="00416D67" w:rsidP="00416D67">
            <w:pPr>
              <w:jc w:val="right"/>
              <w:rPr>
                <w:b/>
                <w:bCs/>
                <w:i/>
                <w:iCs/>
                <w:color w:val="000000"/>
                <w:sz w:val="18"/>
                <w:szCs w:val="18"/>
              </w:rPr>
            </w:pPr>
            <w:r w:rsidRPr="00416D67">
              <w:rPr>
                <w:b/>
                <w:bCs/>
                <w:i/>
                <w:iCs/>
                <w:color w:val="000000"/>
                <w:sz w:val="18"/>
                <w:szCs w:val="18"/>
              </w:rPr>
              <w:t>1.747.613,82</w:t>
            </w:r>
          </w:p>
        </w:tc>
        <w:tc>
          <w:tcPr>
            <w:tcW w:w="1474" w:type="dxa"/>
            <w:tcBorders>
              <w:top w:val="nil"/>
              <w:left w:val="nil"/>
              <w:bottom w:val="single" w:sz="8" w:space="0" w:color="auto"/>
              <w:right w:val="single" w:sz="8" w:space="0" w:color="auto"/>
            </w:tcBorders>
            <w:vAlign w:val="center"/>
            <w:hideMark/>
          </w:tcPr>
          <w:p w14:paraId="2FF1C7E8" w14:textId="77777777" w:rsidR="00416D67" w:rsidRPr="00416D67" w:rsidRDefault="00416D67" w:rsidP="00416D67">
            <w:pPr>
              <w:jc w:val="right"/>
              <w:rPr>
                <w:b/>
                <w:bCs/>
                <w:i/>
                <w:iCs/>
                <w:color w:val="000000"/>
                <w:sz w:val="18"/>
                <w:szCs w:val="18"/>
              </w:rPr>
            </w:pPr>
            <w:r w:rsidRPr="00416D67">
              <w:rPr>
                <w:b/>
                <w:bCs/>
                <w:i/>
                <w:iCs/>
                <w:color w:val="000000"/>
                <w:sz w:val="18"/>
                <w:szCs w:val="18"/>
              </w:rPr>
              <w:t>0,00</w:t>
            </w:r>
          </w:p>
        </w:tc>
        <w:tc>
          <w:tcPr>
            <w:tcW w:w="1276" w:type="dxa"/>
            <w:tcBorders>
              <w:top w:val="nil"/>
              <w:left w:val="nil"/>
              <w:bottom w:val="single" w:sz="8" w:space="0" w:color="auto"/>
              <w:right w:val="single" w:sz="8" w:space="0" w:color="auto"/>
            </w:tcBorders>
            <w:vAlign w:val="center"/>
            <w:hideMark/>
          </w:tcPr>
          <w:p w14:paraId="698ECEF8" w14:textId="77777777" w:rsidR="00416D67" w:rsidRPr="00416D67" w:rsidRDefault="00416D67" w:rsidP="00416D67">
            <w:pPr>
              <w:jc w:val="right"/>
              <w:rPr>
                <w:b/>
                <w:bCs/>
                <w:i/>
                <w:iCs/>
                <w:color w:val="000000"/>
                <w:sz w:val="18"/>
                <w:szCs w:val="18"/>
              </w:rPr>
            </w:pPr>
            <w:r w:rsidRPr="00416D67">
              <w:rPr>
                <w:b/>
                <w:bCs/>
                <w:i/>
                <w:iCs/>
                <w:color w:val="000000"/>
                <w:sz w:val="18"/>
                <w:szCs w:val="18"/>
              </w:rPr>
              <w:t>2.709.843,21</w:t>
            </w:r>
          </w:p>
        </w:tc>
        <w:tc>
          <w:tcPr>
            <w:tcW w:w="941" w:type="dxa"/>
            <w:tcBorders>
              <w:top w:val="nil"/>
              <w:left w:val="nil"/>
              <w:bottom w:val="single" w:sz="8" w:space="0" w:color="auto"/>
              <w:right w:val="single" w:sz="8" w:space="0" w:color="auto"/>
            </w:tcBorders>
            <w:vAlign w:val="center"/>
            <w:hideMark/>
          </w:tcPr>
          <w:p w14:paraId="26A6E912" w14:textId="77777777" w:rsidR="00416D67" w:rsidRPr="00416D67" w:rsidRDefault="00416D67" w:rsidP="00416D67">
            <w:pPr>
              <w:jc w:val="right"/>
              <w:rPr>
                <w:b/>
                <w:bCs/>
                <w:i/>
                <w:iCs/>
                <w:color w:val="000000"/>
                <w:sz w:val="18"/>
                <w:szCs w:val="18"/>
              </w:rPr>
            </w:pPr>
            <w:r w:rsidRPr="00416D67">
              <w:rPr>
                <w:b/>
                <w:bCs/>
                <w:i/>
                <w:iCs/>
                <w:color w:val="000000"/>
                <w:sz w:val="18"/>
                <w:szCs w:val="18"/>
              </w:rPr>
              <w:t xml:space="preserve"> </w:t>
            </w:r>
          </w:p>
        </w:tc>
        <w:tc>
          <w:tcPr>
            <w:tcW w:w="1041" w:type="dxa"/>
            <w:tcBorders>
              <w:top w:val="nil"/>
              <w:left w:val="nil"/>
              <w:bottom w:val="single" w:sz="8" w:space="0" w:color="auto"/>
              <w:right w:val="single" w:sz="8" w:space="0" w:color="auto"/>
            </w:tcBorders>
            <w:vAlign w:val="center"/>
            <w:hideMark/>
          </w:tcPr>
          <w:p w14:paraId="6C481D5F" w14:textId="77777777" w:rsidR="00416D67" w:rsidRPr="00416D67" w:rsidRDefault="00416D67" w:rsidP="00416D67">
            <w:pPr>
              <w:jc w:val="right"/>
              <w:rPr>
                <w:b/>
                <w:bCs/>
                <w:i/>
                <w:iCs/>
                <w:color w:val="000000"/>
                <w:sz w:val="18"/>
                <w:szCs w:val="18"/>
              </w:rPr>
            </w:pPr>
            <w:r w:rsidRPr="00416D67">
              <w:rPr>
                <w:b/>
                <w:bCs/>
                <w:i/>
                <w:iCs/>
                <w:color w:val="000000"/>
                <w:sz w:val="18"/>
                <w:szCs w:val="18"/>
              </w:rPr>
              <w:t>155,06%</w:t>
            </w:r>
          </w:p>
        </w:tc>
      </w:tr>
    </w:tbl>
    <w:p w14:paraId="5FE67E4D" w14:textId="77777777" w:rsidR="00416D67" w:rsidRPr="00416D67" w:rsidRDefault="00416D67" w:rsidP="00416D67">
      <w:pPr>
        <w:jc w:val="both"/>
        <w:rPr>
          <w:b/>
          <w:color w:val="000000"/>
        </w:rPr>
      </w:pPr>
    </w:p>
    <w:p w14:paraId="2888343A" w14:textId="77777777" w:rsidR="00416D67" w:rsidRPr="00416D67" w:rsidRDefault="00416D67" w:rsidP="00416D67">
      <w:pPr>
        <w:ind w:firstLine="708"/>
        <w:jc w:val="both"/>
        <w:rPr>
          <w:color w:val="000000"/>
        </w:rPr>
      </w:pPr>
      <w:r w:rsidRPr="00416D67">
        <w:rPr>
          <w:color w:val="000000"/>
        </w:rPr>
        <w:t xml:space="preserve">Grafički prikaz </w:t>
      </w:r>
      <w:r w:rsidRPr="00416D67">
        <w:rPr>
          <w:bCs/>
          <w:color w:val="000000"/>
        </w:rPr>
        <w:t>ostvarenja Proračuna Općine Marčana u 2025. godini u odnosu na tekući plan  za 2025. godinu i ostvarenje Proračuna Općine Marčana za 2024. godinu</w:t>
      </w:r>
    </w:p>
    <w:p w14:paraId="0C487043" w14:textId="4146B6B5" w:rsidR="00416D67" w:rsidRPr="00416D67" w:rsidRDefault="00416D67" w:rsidP="00416D67">
      <w:pPr>
        <w:ind w:hanging="284"/>
        <w:jc w:val="both"/>
        <w:rPr>
          <w:b/>
          <w:color w:val="000000"/>
        </w:rPr>
      </w:pPr>
      <w:r w:rsidRPr="00416D67">
        <w:rPr>
          <w:noProof/>
        </w:rPr>
        <w:drawing>
          <wp:inline distT="0" distB="0" distL="0" distR="0" wp14:anchorId="4725FC48" wp14:editId="4DEABC4D">
            <wp:extent cx="5749290" cy="4467225"/>
            <wp:effectExtent l="0" t="0" r="3810" b="9525"/>
            <wp:docPr id="928238962" name="Grafikon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2076FFD" w14:textId="77777777" w:rsidR="00416D67" w:rsidRPr="00416D67" w:rsidRDefault="00416D67" w:rsidP="00416D67">
      <w:pPr>
        <w:ind w:firstLine="708"/>
        <w:jc w:val="both"/>
        <w:rPr>
          <w:b/>
          <w:color w:val="000000"/>
        </w:rPr>
      </w:pPr>
    </w:p>
    <w:p w14:paraId="026018DA" w14:textId="77777777" w:rsidR="00416D67" w:rsidRPr="00416D67" w:rsidRDefault="00416D67" w:rsidP="00416D67">
      <w:pPr>
        <w:ind w:firstLine="708"/>
        <w:jc w:val="both"/>
        <w:rPr>
          <w:b/>
          <w:color w:val="000000"/>
        </w:rPr>
      </w:pPr>
    </w:p>
    <w:p w14:paraId="3BA611CD" w14:textId="77777777" w:rsidR="00416D67" w:rsidRPr="00416D67" w:rsidRDefault="00416D67" w:rsidP="00416D67">
      <w:pPr>
        <w:ind w:firstLine="708"/>
        <w:jc w:val="both"/>
        <w:rPr>
          <w:b/>
          <w:color w:val="000000"/>
        </w:rPr>
      </w:pPr>
    </w:p>
    <w:p w14:paraId="6D05BE90" w14:textId="77777777" w:rsidR="00416D67" w:rsidRPr="00416D67" w:rsidRDefault="00416D67" w:rsidP="00416D67">
      <w:pPr>
        <w:ind w:firstLine="708"/>
        <w:jc w:val="both"/>
        <w:rPr>
          <w:b/>
          <w:color w:val="000000"/>
        </w:rPr>
      </w:pPr>
      <w:r w:rsidRPr="00416D67">
        <w:rPr>
          <w:b/>
          <w:color w:val="000000"/>
        </w:rPr>
        <w:lastRenderedPageBreak/>
        <w:t>VIŠAK/MANJAK PRIHODA TEKUĆE GODINE</w:t>
      </w:r>
    </w:p>
    <w:p w14:paraId="106C8A09" w14:textId="77777777" w:rsidR="00416D67" w:rsidRPr="00416D67" w:rsidRDefault="00416D67" w:rsidP="00416D67">
      <w:pPr>
        <w:ind w:firstLine="708"/>
        <w:jc w:val="both"/>
        <w:rPr>
          <w:b/>
          <w:color w:val="000000"/>
        </w:rPr>
      </w:pPr>
    </w:p>
    <w:p w14:paraId="2EF82827" w14:textId="77777777" w:rsidR="00416D67" w:rsidRPr="00416D67" w:rsidRDefault="00416D67" w:rsidP="00416D67">
      <w:pPr>
        <w:spacing w:line="260" w:lineRule="exact"/>
        <w:jc w:val="both"/>
        <w:rPr>
          <w:spacing w:val="1"/>
          <w:position w:val="-1"/>
        </w:rPr>
      </w:pPr>
      <w:r w:rsidRPr="00416D67">
        <w:rPr>
          <w:spacing w:val="1"/>
          <w:position w:val="-1"/>
        </w:rPr>
        <w:t xml:space="preserve">        Ukupno ostvareni prihodi i primici konsolidirano iznose 7.552.638,82 EUR   , od čega  se na Općinu odnosi  u iznosu od 7.398.293,54 EUR, dok na proračunskog korisnika 154.345,28 EUR.  Rashodi i izdaci konsolidirano 6.587.292,79 EUR  , od čega rashodi Općine 6.432.509,70 EUR te rashodi i izdaci proračunskog korisnika 154.783,09 EUR.</w:t>
      </w:r>
    </w:p>
    <w:p w14:paraId="01293272" w14:textId="77777777" w:rsidR="00416D67" w:rsidRPr="00416D67" w:rsidRDefault="00416D67" w:rsidP="00416D67">
      <w:pPr>
        <w:spacing w:line="260" w:lineRule="exact"/>
        <w:jc w:val="both"/>
        <w:rPr>
          <w:spacing w:val="1"/>
          <w:position w:val="-1"/>
        </w:rPr>
      </w:pPr>
      <w:r w:rsidRPr="00416D67">
        <w:rPr>
          <w:spacing w:val="1"/>
          <w:position w:val="-1"/>
        </w:rPr>
        <w:t xml:space="preserve">      U izvještajnom razdoblju ostvaren je višak prihoda i primitaka u iznosu od 965.346,03 EUR. </w:t>
      </w:r>
      <w:r w:rsidRPr="00416D67">
        <w:t>Višak prihoda i primitaka Općine 965.783,84  EUR umanjen za manjak prihoda i primitaka proračunskog korisnika u iznosu od 437,81 EUR.</w:t>
      </w:r>
    </w:p>
    <w:p w14:paraId="2480DD76" w14:textId="77777777" w:rsidR="00416D67" w:rsidRPr="00416D67" w:rsidRDefault="00416D67" w:rsidP="00416D67">
      <w:pPr>
        <w:jc w:val="both"/>
      </w:pPr>
      <w:r w:rsidRPr="00416D67">
        <w:t xml:space="preserve">       </w:t>
      </w:r>
      <w:r w:rsidRPr="00416D67">
        <w:rPr>
          <w:bCs/>
        </w:rPr>
        <w:t>Višak sredstva iz prethodnih godina</w:t>
      </w:r>
      <w:r w:rsidRPr="00416D67">
        <w:rPr>
          <w:b/>
          <w:bCs/>
        </w:rPr>
        <w:t xml:space="preserve"> </w:t>
      </w:r>
      <w:r w:rsidRPr="00416D67">
        <w:t>koja iznose 1.744.497,18  EUR (stanje 31.12.2024.  1.747.472,85 EUR korigirano je za naknadno utvrđene rashode prethodne godine , odnosno manjak prihoda poslovanja – ispravi iz prethodnih razdoblja u iznosu od 3.117,14 EUR i za višak prihoda poslovanja – ispravci iz prethodnih razdoblja u iznosu od  0,50 EUR)  na kraju izvještajnog razdoblja, višak prihoda iznosi  2.709.843,21 EUR i ima  slijedeću strukturu, prema korisnicima i izvorima financiranja:</w:t>
      </w:r>
    </w:p>
    <w:tbl>
      <w:tblPr>
        <w:tblW w:w="9193" w:type="dxa"/>
        <w:tblInd w:w="93" w:type="dxa"/>
        <w:tblLook w:val="04A0" w:firstRow="1" w:lastRow="0" w:firstColumn="1" w:lastColumn="0" w:noHBand="0" w:noVBand="1"/>
      </w:tblPr>
      <w:tblGrid>
        <w:gridCol w:w="673"/>
        <w:gridCol w:w="6536"/>
        <w:gridCol w:w="1984"/>
      </w:tblGrid>
      <w:tr w:rsidR="00416D67" w:rsidRPr="00416D67" w14:paraId="35608954" w14:textId="77777777" w:rsidTr="00BB1392">
        <w:trPr>
          <w:trHeight w:val="300"/>
        </w:trPr>
        <w:tc>
          <w:tcPr>
            <w:tcW w:w="673" w:type="dxa"/>
            <w:vMerge w:val="restart"/>
            <w:tcBorders>
              <w:top w:val="single" w:sz="4" w:space="0" w:color="auto"/>
              <w:left w:val="single" w:sz="4" w:space="0" w:color="auto"/>
              <w:right w:val="single" w:sz="4" w:space="0" w:color="auto"/>
            </w:tcBorders>
          </w:tcPr>
          <w:p w14:paraId="7EBCCB7C" w14:textId="77777777" w:rsidR="00416D67" w:rsidRPr="00416D67" w:rsidRDefault="00416D67" w:rsidP="00416D67">
            <w:pPr>
              <w:rPr>
                <w:color w:val="000000"/>
                <w:sz w:val="18"/>
                <w:szCs w:val="18"/>
              </w:rPr>
            </w:pPr>
            <w:r w:rsidRPr="00416D67">
              <w:rPr>
                <w:color w:val="000000"/>
                <w:sz w:val="18"/>
                <w:szCs w:val="18"/>
              </w:rPr>
              <w:t xml:space="preserve">Šifra izvora </w:t>
            </w:r>
          </w:p>
        </w:tc>
        <w:tc>
          <w:tcPr>
            <w:tcW w:w="6536" w:type="dxa"/>
            <w:tcBorders>
              <w:top w:val="single" w:sz="4" w:space="0" w:color="auto"/>
              <w:left w:val="single" w:sz="4" w:space="0" w:color="auto"/>
              <w:bottom w:val="single" w:sz="4" w:space="0" w:color="auto"/>
              <w:right w:val="single" w:sz="4" w:space="0" w:color="auto"/>
            </w:tcBorders>
            <w:noWrap/>
            <w:vAlign w:val="center"/>
            <w:hideMark/>
          </w:tcPr>
          <w:p w14:paraId="2BD754AA" w14:textId="77777777" w:rsidR="00416D67" w:rsidRPr="00416D67" w:rsidRDefault="00416D67" w:rsidP="00416D67">
            <w:pPr>
              <w:rPr>
                <w:color w:val="000000"/>
                <w:sz w:val="18"/>
                <w:szCs w:val="18"/>
              </w:rPr>
            </w:pPr>
            <w:r w:rsidRPr="00416D67">
              <w:rPr>
                <w:color w:val="000000"/>
                <w:sz w:val="18"/>
                <w:szCs w:val="18"/>
              </w:rPr>
              <w:t> </w:t>
            </w:r>
          </w:p>
        </w:tc>
        <w:tc>
          <w:tcPr>
            <w:tcW w:w="1984" w:type="dxa"/>
            <w:tcBorders>
              <w:top w:val="single" w:sz="4" w:space="0" w:color="auto"/>
              <w:left w:val="nil"/>
              <w:bottom w:val="single" w:sz="4" w:space="0" w:color="auto"/>
              <w:right w:val="single" w:sz="4" w:space="0" w:color="auto"/>
            </w:tcBorders>
            <w:vAlign w:val="center"/>
            <w:hideMark/>
          </w:tcPr>
          <w:p w14:paraId="7ED7BC52" w14:textId="77777777" w:rsidR="00416D67" w:rsidRPr="00416D67" w:rsidRDefault="00416D67" w:rsidP="00416D67">
            <w:pPr>
              <w:jc w:val="center"/>
              <w:rPr>
                <w:color w:val="000000"/>
                <w:sz w:val="18"/>
                <w:szCs w:val="18"/>
              </w:rPr>
            </w:pPr>
            <w:r w:rsidRPr="00416D67">
              <w:rPr>
                <w:color w:val="000000"/>
                <w:sz w:val="18"/>
                <w:szCs w:val="18"/>
              </w:rPr>
              <w:t>Višak   31.12.2025.</w:t>
            </w:r>
          </w:p>
        </w:tc>
      </w:tr>
      <w:tr w:rsidR="00416D67" w:rsidRPr="00416D67" w14:paraId="45B2681C" w14:textId="77777777" w:rsidTr="00BB1392">
        <w:trPr>
          <w:trHeight w:val="300"/>
        </w:trPr>
        <w:tc>
          <w:tcPr>
            <w:tcW w:w="673" w:type="dxa"/>
            <w:vMerge/>
            <w:tcBorders>
              <w:left w:val="single" w:sz="4" w:space="0" w:color="auto"/>
              <w:bottom w:val="single" w:sz="4" w:space="0" w:color="auto"/>
              <w:right w:val="single" w:sz="4" w:space="0" w:color="auto"/>
            </w:tcBorders>
          </w:tcPr>
          <w:p w14:paraId="538138F3" w14:textId="77777777" w:rsidR="00416D67" w:rsidRPr="00416D67" w:rsidRDefault="00416D67" w:rsidP="00416D67">
            <w:pPr>
              <w:rPr>
                <w:b/>
                <w:bCs/>
                <w:color w:val="000000"/>
                <w:sz w:val="18"/>
                <w:szCs w:val="18"/>
              </w:rPr>
            </w:pPr>
          </w:p>
        </w:tc>
        <w:tc>
          <w:tcPr>
            <w:tcW w:w="6536" w:type="dxa"/>
            <w:tcBorders>
              <w:top w:val="nil"/>
              <w:left w:val="single" w:sz="4" w:space="0" w:color="auto"/>
              <w:bottom w:val="single" w:sz="4" w:space="0" w:color="auto"/>
              <w:right w:val="single" w:sz="4" w:space="0" w:color="auto"/>
            </w:tcBorders>
            <w:noWrap/>
            <w:vAlign w:val="center"/>
            <w:hideMark/>
          </w:tcPr>
          <w:p w14:paraId="1F72AF86" w14:textId="77777777" w:rsidR="00416D67" w:rsidRPr="00416D67" w:rsidRDefault="00416D67" w:rsidP="00416D67">
            <w:pPr>
              <w:rPr>
                <w:b/>
                <w:bCs/>
                <w:color w:val="000000"/>
                <w:sz w:val="18"/>
                <w:szCs w:val="18"/>
              </w:rPr>
            </w:pPr>
            <w:r w:rsidRPr="00416D67">
              <w:rPr>
                <w:b/>
                <w:bCs/>
                <w:color w:val="000000"/>
                <w:sz w:val="18"/>
                <w:szCs w:val="18"/>
              </w:rPr>
              <w:t xml:space="preserve">Višak prihoda ukupno konsolidirano </w:t>
            </w:r>
          </w:p>
        </w:tc>
        <w:tc>
          <w:tcPr>
            <w:tcW w:w="1984" w:type="dxa"/>
            <w:tcBorders>
              <w:top w:val="nil"/>
              <w:left w:val="nil"/>
              <w:bottom w:val="single" w:sz="4" w:space="0" w:color="auto"/>
              <w:right w:val="single" w:sz="4" w:space="0" w:color="auto"/>
            </w:tcBorders>
            <w:vAlign w:val="center"/>
            <w:hideMark/>
          </w:tcPr>
          <w:p w14:paraId="0DC47B14" w14:textId="77777777" w:rsidR="00416D67" w:rsidRPr="00416D67" w:rsidRDefault="00416D67" w:rsidP="00416D67">
            <w:pPr>
              <w:jc w:val="right"/>
              <w:rPr>
                <w:b/>
                <w:bCs/>
                <w:color w:val="000000"/>
                <w:sz w:val="18"/>
                <w:szCs w:val="18"/>
              </w:rPr>
            </w:pPr>
            <w:r w:rsidRPr="00416D67">
              <w:rPr>
                <w:b/>
                <w:bCs/>
                <w:color w:val="000000"/>
                <w:sz w:val="18"/>
                <w:szCs w:val="18"/>
              </w:rPr>
              <w:t>2.709.843,21</w:t>
            </w:r>
          </w:p>
        </w:tc>
      </w:tr>
      <w:tr w:rsidR="00416D67" w:rsidRPr="00416D67" w14:paraId="66710F2E" w14:textId="77777777" w:rsidTr="00BB1392">
        <w:trPr>
          <w:trHeight w:val="300"/>
        </w:trPr>
        <w:tc>
          <w:tcPr>
            <w:tcW w:w="673" w:type="dxa"/>
            <w:tcBorders>
              <w:top w:val="nil"/>
              <w:left w:val="single" w:sz="4" w:space="0" w:color="auto"/>
              <w:bottom w:val="single" w:sz="4" w:space="0" w:color="auto"/>
              <w:right w:val="single" w:sz="4" w:space="0" w:color="auto"/>
            </w:tcBorders>
            <w:shd w:val="clear" w:color="000000" w:fill="D9D9D9"/>
          </w:tcPr>
          <w:p w14:paraId="6850DCB3" w14:textId="77777777" w:rsidR="00416D67" w:rsidRPr="00416D67" w:rsidRDefault="00416D67" w:rsidP="00416D67">
            <w:pPr>
              <w:rPr>
                <w:b/>
                <w:bCs/>
                <w:color w:val="000000"/>
                <w:sz w:val="18"/>
                <w:szCs w:val="18"/>
              </w:rPr>
            </w:pPr>
          </w:p>
        </w:tc>
        <w:tc>
          <w:tcPr>
            <w:tcW w:w="6536" w:type="dxa"/>
            <w:tcBorders>
              <w:top w:val="nil"/>
              <w:left w:val="single" w:sz="4" w:space="0" w:color="auto"/>
              <w:bottom w:val="single" w:sz="4" w:space="0" w:color="auto"/>
              <w:right w:val="single" w:sz="4" w:space="0" w:color="auto"/>
            </w:tcBorders>
            <w:shd w:val="clear" w:color="000000" w:fill="D9D9D9"/>
            <w:noWrap/>
            <w:vAlign w:val="center"/>
            <w:hideMark/>
          </w:tcPr>
          <w:p w14:paraId="012FB9C4" w14:textId="77777777" w:rsidR="00416D67" w:rsidRPr="00416D67" w:rsidRDefault="00416D67" w:rsidP="00416D67">
            <w:pPr>
              <w:rPr>
                <w:b/>
                <w:bCs/>
                <w:color w:val="000000"/>
                <w:sz w:val="18"/>
                <w:szCs w:val="18"/>
              </w:rPr>
            </w:pPr>
            <w:r w:rsidRPr="00416D67">
              <w:rPr>
                <w:b/>
                <w:bCs/>
                <w:color w:val="000000"/>
                <w:sz w:val="18"/>
                <w:szCs w:val="18"/>
              </w:rPr>
              <w:t>Općina Marčana</w:t>
            </w:r>
          </w:p>
        </w:tc>
        <w:tc>
          <w:tcPr>
            <w:tcW w:w="1984" w:type="dxa"/>
            <w:tcBorders>
              <w:top w:val="nil"/>
              <w:left w:val="nil"/>
              <w:bottom w:val="single" w:sz="4" w:space="0" w:color="auto"/>
              <w:right w:val="single" w:sz="4" w:space="0" w:color="auto"/>
            </w:tcBorders>
            <w:shd w:val="clear" w:color="000000" w:fill="D9D9D9"/>
            <w:noWrap/>
            <w:vAlign w:val="center"/>
            <w:hideMark/>
          </w:tcPr>
          <w:p w14:paraId="1EF6358C" w14:textId="77777777" w:rsidR="00416D67" w:rsidRPr="00416D67" w:rsidRDefault="00416D67" w:rsidP="00416D67">
            <w:pPr>
              <w:jc w:val="right"/>
              <w:rPr>
                <w:b/>
                <w:bCs/>
                <w:color w:val="000000"/>
                <w:sz w:val="18"/>
                <w:szCs w:val="18"/>
              </w:rPr>
            </w:pPr>
            <w:r w:rsidRPr="00416D67">
              <w:rPr>
                <w:b/>
                <w:bCs/>
                <w:color w:val="000000"/>
                <w:sz w:val="18"/>
                <w:szCs w:val="18"/>
              </w:rPr>
              <w:t>2.710.140,05</w:t>
            </w:r>
          </w:p>
        </w:tc>
      </w:tr>
      <w:tr w:rsidR="00416D67" w:rsidRPr="00416D67" w14:paraId="4AFE25E0" w14:textId="77777777" w:rsidTr="00BB1392">
        <w:trPr>
          <w:trHeight w:val="300"/>
        </w:trPr>
        <w:tc>
          <w:tcPr>
            <w:tcW w:w="673" w:type="dxa"/>
            <w:tcBorders>
              <w:top w:val="nil"/>
              <w:left w:val="single" w:sz="4" w:space="0" w:color="auto"/>
              <w:bottom w:val="single" w:sz="4" w:space="0" w:color="auto"/>
              <w:right w:val="single" w:sz="4" w:space="0" w:color="auto"/>
            </w:tcBorders>
          </w:tcPr>
          <w:p w14:paraId="1A603C74" w14:textId="77777777" w:rsidR="00416D67" w:rsidRPr="00416D67" w:rsidRDefault="00416D67" w:rsidP="00416D67">
            <w:pPr>
              <w:rPr>
                <w:color w:val="000000"/>
                <w:sz w:val="18"/>
                <w:szCs w:val="18"/>
              </w:rPr>
            </w:pPr>
            <w:r w:rsidRPr="00416D67">
              <w:rPr>
                <w:color w:val="000000"/>
                <w:sz w:val="18"/>
                <w:szCs w:val="18"/>
              </w:rPr>
              <w:t>1.1.</w:t>
            </w:r>
          </w:p>
        </w:tc>
        <w:tc>
          <w:tcPr>
            <w:tcW w:w="6536" w:type="dxa"/>
            <w:tcBorders>
              <w:top w:val="nil"/>
              <w:left w:val="single" w:sz="4" w:space="0" w:color="auto"/>
              <w:bottom w:val="single" w:sz="4" w:space="0" w:color="auto"/>
              <w:right w:val="single" w:sz="4" w:space="0" w:color="auto"/>
            </w:tcBorders>
            <w:noWrap/>
            <w:vAlign w:val="center"/>
            <w:hideMark/>
          </w:tcPr>
          <w:p w14:paraId="78FBFD1D" w14:textId="77777777" w:rsidR="00416D67" w:rsidRPr="00416D67" w:rsidRDefault="00416D67" w:rsidP="00416D67">
            <w:pPr>
              <w:rPr>
                <w:color w:val="000000"/>
                <w:sz w:val="18"/>
                <w:szCs w:val="18"/>
              </w:rPr>
            </w:pPr>
            <w:r w:rsidRPr="00416D67">
              <w:rPr>
                <w:color w:val="000000"/>
                <w:sz w:val="18"/>
                <w:szCs w:val="18"/>
              </w:rPr>
              <w:t xml:space="preserve">Višak prihoda opći prihodi i primici </w:t>
            </w:r>
          </w:p>
        </w:tc>
        <w:tc>
          <w:tcPr>
            <w:tcW w:w="1984" w:type="dxa"/>
            <w:tcBorders>
              <w:top w:val="nil"/>
              <w:left w:val="nil"/>
              <w:bottom w:val="single" w:sz="4" w:space="0" w:color="auto"/>
              <w:right w:val="single" w:sz="4" w:space="0" w:color="auto"/>
            </w:tcBorders>
            <w:noWrap/>
            <w:vAlign w:val="center"/>
            <w:hideMark/>
          </w:tcPr>
          <w:p w14:paraId="762A2C9B" w14:textId="77777777" w:rsidR="00416D67" w:rsidRPr="00416D67" w:rsidRDefault="00416D67" w:rsidP="00416D67">
            <w:pPr>
              <w:jc w:val="right"/>
              <w:rPr>
                <w:color w:val="000000"/>
                <w:sz w:val="18"/>
                <w:szCs w:val="18"/>
              </w:rPr>
            </w:pPr>
            <w:r w:rsidRPr="00416D67">
              <w:rPr>
                <w:color w:val="000000"/>
                <w:sz w:val="18"/>
                <w:szCs w:val="18"/>
              </w:rPr>
              <w:t>1.623.959,65</w:t>
            </w:r>
          </w:p>
        </w:tc>
      </w:tr>
      <w:tr w:rsidR="00416D67" w:rsidRPr="00416D67" w14:paraId="3F7F1102" w14:textId="77777777" w:rsidTr="00BB1392">
        <w:trPr>
          <w:trHeight w:val="300"/>
        </w:trPr>
        <w:tc>
          <w:tcPr>
            <w:tcW w:w="673" w:type="dxa"/>
            <w:tcBorders>
              <w:top w:val="nil"/>
              <w:left w:val="single" w:sz="4" w:space="0" w:color="auto"/>
              <w:bottom w:val="single" w:sz="4" w:space="0" w:color="auto"/>
              <w:right w:val="single" w:sz="4" w:space="0" w:color="auto"/>
            </w:tcBorders>
          </w:tcPr>
          <w:p w14:paraId="12FFEE0D" w14:textId="77777777" w:rsidR="00416D67" w:rsidRPr="00416D67" w:rsidRDefault="00416D67" w:rsidP="00416D67">
            <w:pPr>
              <w:rPr>
                <w:color w:val="000000"/>
                <w:sz w:val="18"/>
                <w:szCs w:val="18"/>
              </w:rPr>
            </w:pPr>
            <w:r w:rsidRPr="00416D67">
              <w:rPr>
                <w:color w:val="000000"/>
                <w:sz w:val="18"/>
                <w:szCs w:val="18"/>
              </w:rPr>
              <w:t>4.3</w:t>
            </w:r>
          </w:p>
        </w:tc>
        <w:tc>
          <w:tcPr>
            <w:tcW w:w="6536" w:type="dxa"/>
            <w:tcBorders>
              <w:top w:val="nil"/>
              <w:left w:val="single" w:sz="4" w:space="0" w:color="auto"/>
              <w:bottom w:val="single" w:sz="4" w:space="0" w:color="auto"/>
              <w:right w:val="single" w:sz="4" w:space="0" w:color="auto"/>
            </w:tcBorders>
            <w:noWrap/>
            <w:vAlign w:val="center"/>
            <w:hideMark/>
          </w:tcPr>
          <w:p w14:paraId="7F5C1CDF" w14:textId="77777777" w:rsidR="00416D67" w:rsidRPr="00416D67" w:rsidRDefault="00416D67" w:rsidP="00416D67">
            <w:pPr>
              <w:rPr>
                <w:color w:val="000000"/>
                <w:sz w:val="18"/>
                <w:szCs w:val="18"/>
              </w:rPr>
            </w:pPr>
            <w:r w:rsidRPr="00416D67">
              <w:rPr>
                <w:color w:val="000000"/>
                <w:sz w:val="18"/>
                <w:szCs w:val="18"/>
              </w:rPr>
              <w:t>Višak prihoda koncesija javne usluge pražnjenja i odvoza otpadnih voda</w:t>
            </w:r>
          </w:p>
        </w:tc>
        <w:tc>
          <w:tcPr>
            <w:tcW w:w="1984" w:type="dxa"/>
            <w:tcBorders>
              <w:top w:val="nil"/>
              <w:left w:val="nil"/>
              <w:bottom w:val="single" w:sz="4" w:space="0" w:color="auto"/>
              <w:right w:val="single" w:sz="4" w:space="0" w:color="auto"/>
            </w:tcBorders>
            <w:noWrap/>
            <w:vAlign w:val="center"/>
            <w:hideMark/>
          </w:tcPr>
          <w:p w14:paraId="0BCC810A" w14:textId="77777777" w:rsidR="00416D67" w:rsidRPr="00416D67" w:rsidRDefault="00416D67" w:rsidP="00416D67">
            <w:pPr>
              <w:jc w:val="right"/>
              <w:rPr>
                <w:color w:val="000000"/>
                <w:sz w:val="18"/>
                <w:szCs w:val="18"/>
              </w:rPr>
            </w:pPr>
            <w:r w:rsidRPr="00416D67">
              <w:rPr>
                <w:color w:val="000000"/>
                <w:sz w:val="18"/>
                <w:szCs w:val="18"/>
              </w:rPr>
              <w:t>2.585,02</w:t>
            </w:r>
          </w:p>
        </w:tc>
      </w:tr>
      <w:tr w:rsidR="00416D67" w:rsidRPr="00416D67" w14:paraId="1795D1FD" w14:textId="77777777" w:rsidTr="00BB1392">
        <w:trPr>
          <w:trHeight w:val="300"/>
        </w:trPr>
        <w:tc>
          <w:tcPr>
            <w:tcW w:w="673" w:type="dxa"/>
            <w:tcBorders>
              <w:top w:val="nil"/>
              <w:left w:val="single" w:sz="4" w:space="0" w:color="auto"/>
              <w:bottom w:val="single" w:sz="4" w:space="0" w:color="auto"/>
              <w:right w:val="single" w:sz="4" w:space="0" w:color="auto"/>
            </w:tcBorders>
          </w:tcPr>
          <w:p w14:paraId="08BC524C" w14:textId="77777777" w:rsidR="00416D67" w:rsidRPr="00416D67" w:rsidRDefault="00416D67" w:rsidP="00416D67">
            <w:pPr>
              <w:rPr>
                <w:color w:val="000000"/>
                <w:sz w:val="18"/>
                <w:szCs w:val="18"/>
              </w:rPr>
            </w:pPr>
            <w:r w:rsidRPr="00416D67">
              <w:rPr>
                <w:color w:val="000000"/>
                <w:sz w:val="18"/>
                <w:szCs w:val="18"/>
              </w:rPr>
              <w:t>4.3.</w:t>
            </w:r>
          </w:p>
        </w:tc>
        <w:tc>
          <w:tcPr>
            <w:tcW w:w="6536" w:type="dxa"/>
            <w:tcBorders>
              <w:top w:val="nil"/>
              <w:left w:val="single" w:sz="4" w:space="0" w:color="auto"/>
              <w:bottom w:val="single" w:sz="4" w:space="0" w:color="auto"/>
              <w:right w:val="single" w:sz="4" w:space="0" w:color="auto"/>
            </w:tcBorders>
            <w:noWrap/>
            <w:vAlign w:val="center"/>
            <w:hideMark/>
          </w:tcPr>
          <w:p w14:paraId="3BADD58C" w14:textId="77777777" w:rsidR="00416D67" w:rsidRPr="00416D67" w:rsidRDefault="00416D67" w:rsidP="00416D67">
            <w:pPr>
              <w:rPr>
                <w:color w:val="000000"/>
                <w:sz w:val="18"/>
                <w:szCs w:val="18"/>
              </w:rPr>
            </w:pPr>
            <w:r w:rsidRPr="00416D67">
              <w:rPr>
                <w:color w:val="000000"/>
                <w:sz w:val="18"/>
                <w:szCs w:val="18"/>
              </w:rPr>
              <w:t xml:space="preserve">Višak prihoda </w:t>
            </w:r>
            <w:proofErr w:type="spellStart"/>
            <w:r w:rsidRPr="00416D67">
              <w:rPr>
                <w:color w:val="000000"/>
                <w:sz w:val="18"/>
                <w:szCs w:val="18"/>
              </w:rPr>
              <w:t>koncescija</w:t>
            </w:r>
            <w:proofErr w:type="spellEnd"/>
            <w:r w:rsidRPr="00416D67">
              <w:rPr>
                <w:color w:val="000000"/>
                <w:sz w:val="18"/>
                <w:szCs w:val="18"/>
              </w:rPr>
              <w:t xml:space="preserve"> za taxi prijevoz</w:t>
            </w:r>
          </w:p>
        </w:tc>
        <w:tc>
          <w:tcPr>
            <w:tcW w:w="1984" w:type="dxa"/>
            <w:tcBorders>
              <w:top w:val="nil"/>
              <w:left w:val="nil"/>
              <w:bottom w:val="single" w:sz="4" w:space="0" w:color="auto"/>
              <w:right w:val="single" w:sz="4" w:space="0" w:color="auto"/>
            </w:tcBorders>
            <w:noWrap/>
            <w:vAlign w:val="center"/>
            <w:hideMark/>
          </w:tcPr>
          <w:p w14:paraId="16E62E95" w14:textId="77777777" w:rsidR="00416D67" w:rsidRPr="00416D67" w:rsidRDefault="00416D67" w:rsidP="00416D67">
            <w:pPr>
              <w:jc w:val="right"/>
              <w:rPr>
                <w:color w:val="000000"/>
                <w:sz w:val="18"/>
                <w:szCs w:val="18"/>
              </w:rPr>
            </w:pPr>
            <w:r w:rsidRPr="00416D67">
              <w:rPr>
                <w:color w:val="000000"/>
                <w:sz w:val="18"/>
                <w:szCs w:val="18"/>
              </w:rPr>
              <w:t>450,00</w:t>
            </w:r>
          </w:p>
        </w:tc>
      </w:tr>
      <w:tr w:rsidR="00416D67" w:rsidRPr="00416D67" w14:paraId="34A24B9C" w14:textId="77777777" w:rsidTr="00BB1392">
        <w:trPr>
          <w:trHeight w:val="300"/>
        </w:trPr>
        <w:tc>
          <w:tcPr>
            <w:tcW w:w="673" w:type="dxa"/>
            <w:tcBorders>
              <w:top w:val="nil"/>
              <w:left w:val="single" w:sz="4" w:space="0" w:color="auto"/>
              <w:bottom w:val="single" w:sz="4" w:space="0" w:color="auto"/>
              <w:right w:val="single" w:sz="4" w:space="0" w:color="auto"/>
            </w:tcBorders>
          </w:tcPr>
          <w:p w14:paraId="69A591CD" w14:textId="77777777" w:rsidR="00416D67" w:rsidRPr="00416D67" w:rsidRDefault="00416D67" w:rsidP="00416D67">
            <w:pPr>
              <w:rPr>
                <w:color w:val="000000"/>
                <w:sz w:val="18"/>
                <w:szCs w:val="18"/>
              </w:rPr>
            </w:pPr>
            <w:r w:rsidRPr="00416D67">
              <w:rPr>
                <w:color w:val="000000"/>
                <w:sz w:val="18"/>
                <w:szCs w:val="18"/>
              </w:rPr>
              <w:t>4.3.</w:t>
            </w:r>
          </w:p>
        </w:tc>
        <w:tc>
          <w:tcPr>
            <w:tcW w:w="6536" w:type="dxa"/>
            <w:tcBorders>
              <w:top w:val="nil"/>
              <w:left w:val="single" w:sz="4" w:space="0" w:color="auto"/>
              <w:bottom w:val="single" w:sz="4" w:space="0" w:color="auto"/>
              <w:right w:val="single" w:sz="4" w:space="0" w:color="auto"/>
            </w:tcBorders>
            <w:noWrap/>
            <w:vAlign w:val="center"/>
            <w:hideMark/>
          </w:tcPr>
          <w:p w14:paraId="0FD75CD6" w14:textId="77777777" w:rsidR="00416D67" w:rsidRPr="00416D67" w:rsidRDefault="00416D67" w:rsidP="00416D67">
            <w:pPr>
              <w:rPr>
                <w:color w:val="000000"/>
                <w:sz w:val="18"/>
                <w:szCs w:val="18"/>
              </w:rPr>
            </w:pPr>
            <w:r w:rsidRPr="00416D67">
              <w:rPr>
                <w:color w:val="000000"/>
                <w:sz w:val="18"/>
                <w:szCs w:val="18"/>
              </w:rPr>
              <w:t>Višak prihoda naknada za legalizaciju nezakonito izgrađenih zgrada</w:t>
            </w:r>
          </w:p>
        </w:tc>
        <w:tc>
          <w:tcPr>
            <w:tcW w:w="1984" w:type="dxa"/>
            <w:tcBorders>
              <w:top w:val="nil"/>
              <w:left w:val="nil"/>
              <w:bottom w:val="single" w:sz="4" w:space="0" w:color="auto"/>
              <w:right w:val="single" w:sz="4" w:space="0" w:color="auto"/>
            </w:tcBorders>
            <w:noWrap/>
            <w:vAlign w:val="center"/>
            <w:hideMark/>
          </w:tcPr>
          <w:p w14:paraId="54113EC7" w14:textId="77777777" w:rsidR="00416D67" w:rsidRPr="00416D67" w:rsidRDefault="00416D67" w:rsidP="00416D67">
            <w:pPr>
              <w:jc w:val="right"/>
              <w:rPr>
                <w:color w:val="000000"/>
                <w:sz w:val="18"/>
                <w:szCs w:val="18"/>
              </w:rPr>
            </w:pPr>
            <w:r w:rsidRPr="00416D67">
              <w:rPr>
                <w:color w:val="000000"/>
                <w:sz w:val="18"/>
                <w:szCs w:val="18"/>
              </w:rPr>
              <w:t>1.384,16</w:t>
            </w:r>
          </w:p>
        </w:tc>
      </w:tr>
      <w:tr w:rsidR="00416D67" w:rsidRPr="00416D67" w14:paraId="2DC8F3EA" w14:textId="77777777" w:rsidTr="00BB1392">
        <w:trPr>
          <w:trHeight w:val="300"/>
        </w:trPr>
        <w:tc>
          <w:tcPr>
            <w:tcW w:w="673" w:type="dxa"/>
            <w:tcBorders>
              <w:top w:val="nil"/>
              <w:left w:val="single" w:sz="4" w:space="0" w:color="auto"/>
              <w:bottom w:val="single" w:sz="4" w:space="0" w:color="auto"/>
              <w:right w:val="single" w:sz="4" w:space="0" w:color="auto"/>
            </w:tcBorders>
          </w:tcPr>
          <w:p w14:paraId="513B680D" w14:textId="77777777" w:rsidR="00416D67" w:rsidRPr="00416D67" w:rsidRDefault="00416D67" w:rsidP="00416D67">
            <w:pPr>
              <w:rPr>
                <w:color w:val="000000"/>
                <w:sz w:val="18"/>
                <w:szCs w:val="18"/>
              </w:rPr>
            </w:pPr>
            <w:r w:rsidRPr="00416D67">
              <w:rPr>
                <w:color w:val="000000"/>
                <w:sz w:val="18"/>
                <w:szCs w:val="18"/>
              </w:rPr>
              <w:t>7.1.</w:t>
            </w:r>
          </w:p>
        </w:tc>
        <w:tc>
          <w:tcPr>
            <w:tcW w:w="6536" w:type="dxa"/>
            <w:tcBorders>
              <w:top w:val="nil"/>
              <w:left w:val="single" w:sz="4" w:space="0" w:color="auto"/>
              <w:bottom w:val="single" w:sz="4" w:space="0" w:color="auto"/>
              <w:right w:val="single" w:sz="4" w:space="0" w:color="auto"/>
            </w:tcBorders>
            <w:vAlign w:val="center"/>
            <w:hideMark/>
          </w:tcPr>
          <w:p w14:paraId="6F13A664" w14:textId="77777777" w:rsidR="00416D67" w:rsidRPr="00416D67" w:rsidRDefault="00416D67" w:rsidP="00416D67">
            <w:pPr>
              <w:rPr>
                <w:color w:val="000000"/>
                <w:sz w:val="18"/>
                <w:szCs w:val="18"/>
              </w:rPr>
            </w:pPr>
            <w:r w:rsidRPr="00416D67">
              <w:rPr>
                <w:color w:val="000000"/>
                <w:sz w:val="18"/>
                <w:szCs w:val="18"/>
              </w:rPr>
              <w:t xml:space="preserve">Višak prihoda prihodi od prodaje nefinancijske imovine </w:t>
            </w:r>
          </w:p>
        </w:tc>
        <w:tc>
          <w:tcPr>
            <w:tcW w:w="1984" w:type="dxa"/>
            <w:tcBorders>
              <w:top w:val="nil"/>
              <w:left w:val="nil"/>
              <w:bottom w:val="single" w:sz="4" w:space="0" w:color="auto"/>
              <w:right w:val="single" w:sz="4" w:space="0" w:color="auto"/>
            </w:tcBorders>
            <w:noWrap/>
            <w:vAlign w:val="center"/>
            <w:hideMark/>
          </w:tcPr>
          <w:p w14:paraId="5FE34B34" w14:textId="77777777" w:rsidR="00416D67" w:rsidRPr="00416D67" w:rsidRDefault="00416D67" w:rsidP="00416D67">
            <w:pPr>
              <w:jc w:val="right"/>
              <w:rPr>
                <w:color w:val="000000"/>
                <w:sz w:val="18"/>
                <w:szCs w:val="18"/>
              </w:rPr>
            </w:pPr>
            <w:r w:rsidRPr="00416D67">
              <w:rPr>
                <w:color w:val="000000"/>
                <w:sz w:val="18"/>
                <w:szCs w:val="18"/>
              </w:rPr>
              <w:t>1.081.761,22</w:t>
            </w:r>
          </w:p>
        </w:tc>
      </w:tr>
      <w:tr w:rsidR="00416D67" w:rsidRPr="00416D67" w14:paraId="498C2F12" w14:textId="77777777" w:rsidTr="00BB1392">
        <w:trPr>
          <w:trHeight w:val="300"/>
        </w:trPr>
        <w:tc>
          <w:tcPr>
            <w:tcW w:w="673" w:type="dxa"/>
            <w:tcBorders>
              <w:top w:val="nil"/>
              <w:left w:val="single" w:sz="4" w:space="0" w:color="auto"/>
              <w:bottom w:val="single" w:sz="4" w:space="0" w:color="auto"/>
              <w:right w:val="single" w:sz="4" w:space="0" w:color="auto"/>
            </w:tcBorders>
            <w:shd w:val="clear" w:color="000000" w:fill="D9D9D9"/>
          </w:tcPr>
          <w:p w14:paraId="114232AD" w14:textId="77777777" w:rsidR="00416D67" w:rsidRPr="00416D67" w:rsidRDefault="00416D67" w:rsidP="00416D67">
            <w:pPr>
              <w:rPr>
                <w:b/>
                <w:bCs/>
                <w:color w:val="000000"/>
                <w:sz w:val="18"/>
                <w:szCs w:val="18"/>
              </w:rPr>
            </w:pPr>
          </w:p>
        </w:tc>
        <w:tc>
          <w:tcPr>
            <w:tcW w:w="6536" w:type="dxa"/>
            <w:tcBorders>
              <w:top w:val="nil"/>
              <w:left w:val="single" w:sz="4" w:space="0" w:color="auto"/>
              <w:bottom w:val="single" w:sz="4" w:space="0" w:color="auto"/>
              <w:right w:val="single" w:sz="4" w:space="0" w:color="auto"/>
            </w:tcBorders>
            <w:shd w:val="clear" w:color="000000" w:fill="D9D9D9"/>
            <w:noWrap/>
            <w:vAlign w:val="center"/>
            <w:hideMark/>
          </w:tcPr>
          <w:p w14:paraId="339EC215" w14:textId="77777777" w:rsidR="00416D67" w:rsidRPr="00416D67" w:rsidRDefault="00416D67" w:rsidP="00416D67">
            <w:pPr>
              <w:rPr>
                <w:b/>
                <w:bCs/>
                <w:color w:val="000000"/>
                <w:sz w:val="18"/>
                <w:szCs w:val="18"/>
              </w:rPr>
            </w:pPr>
            <w:r w:rsidRPr="00416D67">
              <w:rPr>
                <w:b/>
                <w:bCs/>
                <w:color w:val="000000"/>
                <w:sz w:val="18"/>
                <w:szCs w:val="18"/>
              </w:rPr>
              <w:t xml:space="preserve">Proračunski korisnik </w:t>
            </w:r>
          </w:p>
        </w:tc>
        <w:tc>
          <w:tcPr>
            <w:tcW w:w="1984" w:type="dxa"/>
            <w:tcBorders>
              <w:top w:val="nil"/>
              <w:left w:val="nil"/>
              <w:bottom w:val="single" w:sz="4" w:space="0" w:color="auto"/>
              <w:right w:val="single" w:sz="4" w:space="0" w:color="auto"/>
            </w:tcBorders>
            <w:shd w:val="clear" w:color="000000" w:fill="D9D9D9"/>
            <w:noWrap/>
            <w:vAlign w:val="center"/>
            <w:hideMark/>
          </w:tcPr>
          <w:p w14:paraId="6C88720C" w14:textId="77777777" w:rsidR="00416D67" w:rsidRPr="00416D67" w:rsidRDefault="00416D67" w:rsidP="00416D67">
            <w:pPr>
              <w:jc w:val="right"/>
              <w:rPr>
                <w:b/>
                <w:bCs/>
                <w:color w:val="000000"/>
                <w:sz w:val="18"/>
                <w:szCs w:val="18"/>
              </w:rPr>
            </w:pPr>
            <w:r w:rsidRPr="00416D67">
              <w:rPr>
                <w:b/>
                <w:bCs/>
                <w:color w:val="000000"/>
                <w:sz w:val="18"/>
                <w:szCs w:val="18"/>
              </w:rPr>
              <w:t>-296,84</w:t>
            </w:r>
          </w:p>
        </w:tc>
      </w:tr>
      <w:tr w:rsidR="00416D67" w:rsidRPr="00416D67" w14:paraId="1C38F991" w14:textId="77777777" w:rsidTr="00BB1392">
        <w:trPr>
          <w:trHeight w:val="300"/>
        </w:trPr>
        <w:tc>
          <w:tcPr>
            <w:tcW w:w="673" w:type="dxa"/>
            <w:tcBorders>
              <w:top w:val="nil"/>
              <w:left w:val="single" w:sz="4" w:space="0" w:color="auto"/>
              <w:bottom w:val="single" w:sz="4" w:space="0" w:color="auto"/>
              <w:right w:val="single" w:sz="4" w:space="0" w:color="auto"/>
            </w:tcBorders>
          </w:tcPr>
          <w:p w14:paraId="21F690FE" w14:textId="77777777" w:rsidR="00416D67" w:rsidRPr="00416D67" w:rsidRDefault="00416D67" w:rsidP="00416D67">
            <w:pPr>
              <w:rPr>
                <w:color w:val="000000"/>
                <w:sz w:val="18"/>
                <w:szCs w:val="18"/>
              </w:rPr>
            </w:pPr>
            <w:r w:rsidRPr="00416D67">
              <w:rPr>
                <w:color w:val="000000"/>
                <w:sz w:val="18"/>
                <w:szCs w:val="18"/>
              </w:rPr>
              <w:t>4.4.</w:t>
            </w:r>
          </w:p>
        </w:tc>
        <w:tc>
          <w:tcPr>
            <w:tcW w:w="6536" w:type="dxa"/>
            <w:tcBorders>
              <w:top w:val="nil"/>
              <w:left w:val="single" w:sz="4" w:space="0" w:color="auto"/>
              <w:bottom w:val="single" w:sz="4" w:space="0" w:color="auto"/>
              <w:right w:val="single" w:sz="4" w:space="0" w:color="auto"/>
            </w:tcBorders>
            <w:vAlign w:val="center"/>
            <w:hideMark/>
          </w:tcPr>
          <w:p w14:paraId="0B2536BF" w14:textId="77777777" w:rsidR="00416D67" w:rsidRPr="00416D67" w:rsidRDefault="00416D67" w:rsidP="00416D67">
            <w:pPr>
              <w:rPr>
                <w:color w:val="000000"/>
                <w:sz w:val="18"/>
                <w:szCs w:val="18"/>
              </w:rPr>
            </w:pPr>
            <w:r w:rsidRPr="00416D67">
              <w:rPr>
                <w:color w:val="000000"/>
                <w:sz w:val="18"/>
                <w:szCs w:val="18"/>
              </w:rPr>
              <w:t>Manjak prihoda za posebne namjene sufinanciranje boravka roditelji</w:t>
            </w:r>
          </w:p>
        </w:tc>
        <w:tc>
          <w:tcPr>
            <w:tcW w:w="1984" w:type="dxa"/>
            <w:tcBorders>
              <w:top w:val="nil"/>
              <w:left w:val="nil"/>
              <w:bottom w:val="single" w:sz="4" w:space="0" w:color="auto"/>
              <w:right w:val="single" w:sz="4" w:space="0" w:color="auto"/>
            </w:tcBorders>
            <w:noWrap/>
            <w:vAlign w:val="center"/>
            <w:hideMark/>
          </w:tcPr>
          <w:p w14:paraId="2DB1E207" w14:textId="77777777" w:rsidR="00416D67" w:rsidRPr="00416D67" w:rsidRDefault="00416D67" w:rsidP="00416D67">
            <w:pPr>
              <w:jc w:val="right"/>
              <w:rPr>
                <w:color w:val="000000"/>
                <w:sz w:val="18"/>
                <w:szCs w:val="18"/>
              </w:rPr>
            </w:pPr>
            <w:r w:rsidRPr="00416D67">
              <w:rPr>
                <w:color w:val="000000"/>
                <w:sz w:val="18"/>
                <w:szCs w:val="18"/>
              </w:rPr>
              <w:t>-437,81</w:t>
            </w:r>
          </w:p>
        </w:tc>
      </w:tr>
      <w:tr w:rsidR="00416D67" w:rsidRPr="00416D67" w14:paraId="2C187E21" w14:textId="77777777" w:rsidTr="00BB1392">
        <w:trPr>
          <w:trHeight w:val="300"/>
        </w:trPr>
        <w:tc>
          <w:tcPr>
            <w:tcW w:w="673" w:type="dxa"/>
            <w:tcBorders>
              <w:top w:val="nil"/>
              <w:left w:val="single" w:sz="4" w:space="0" w:color="auto"/>
              <w:bottom w:val="single" w:sz="4" w:space="0" w:color="auto"/>
              <w:right w:val="single" w:sz="4" w:space="0" w:color="auto"/>
            </w:tcBorders>
          </w:tcPr>
          <w:p w14:paraId="50CAED0B" w14:textId="77777777" w:rsidR="00416D67" w:rsidRPr="00416D67" w:rsidRDefault="00416D67" w:rsidP="00416D67">
            <w:pPr>
              <w:rPr>
                <w:color w:val="000000"/>
                <w:sz w:val="18"/>
                <w:szCs w:val="18"/>
              </w:rPr>
            </w:pPr>
            <w:r w:rsidRPr="00416D67">
              <w:rPr>
                <w:color w:val="000000"/>
                <w:sz w:val="18"/>
                <w:szCs w:val="18"/>
              </w:rPr>
              <w:t>3.1.</w:t>
            </w:r>
          </w:p>
        </w:tc>
        <w:tc>
          <w:tcPr>
            <w:tcW w:w="6536" w:type="dxa"/>
            <w:tcBorders>
              <w:top w:val="nil"/>
              <w:left w:val="single" w:sz="4" w:space="0" w:color="auto"/>
              <w:bottom w:val="single" w:sz="4" w:space="0" w:color="auto"/>
              <w:right w:val="single" w:sz="4" w:space="0" w:color="auto"/>
            </w:tcBorders>
            <w:vAlign w:val="center"/>
            <w:hideMark/>
          </w:tcPr>
          <w:p w14:paraId="13F48FC6" w14:textId="77777777" w:rsidR="00416D67" w:rsidRPr="00416D67" w:rsidRDefault="00416D67" w:rsidP="00416D67">
            <w:pPr>
              <w:rPr>
                <w:color w:val="000000"/>
                <w:sz w:val="18"/>
                <w:szCs w:val="18"/>
              </w:rPr>
            </w:pPr>
            <w:r w:rsidRPr="00416D67">
              <w:rPr>
                <w:color w:val="000000"/>
                <w:sz w:val="18"/>
                <w:szCs w:val="18"/>
              </w:rPr>
              <w:t>Višak prihoda od usluge pripreme i dostave obroka</w:t>
            </w:r>
          </w:p>
        </w:tc>
        <w:tc>
          <w:tcPr>
            <w:tcW w:w="1984" w:type="dxa"/>
            <w:tcBorders>
              <w:top w:val="nil"/>
              <w:left w:val="nil"/>
              <w:bottom w:val="single" w:sz="4" w:space="0" w:color="auto"/>
              <w:right w:val="single" w:sz="4" w:space="0" w:color="auto"/>
            </w:tcBorders>
            <w:noWrap/>
            <w:vAlign w:val="center"/>
            <w:hideMark/>
          </w:tcPr>
          <w:p w14:paraId="283C4B10" w14:textId="77777777" w:rsidR="00416D67" w:rsidRPr="00416D67" w:rsidRDefault="00416D67" w:rsidP="00416D67">
            <w:pPr>
              <w:jc w:val="right"/>
              <w:rPr>
                <w:color w:val="000000"/>
                <w:sz w:val="18"/>
                <w:szCs w:val="18"/>
              </w:rPr>
            </w:pPr>
            <w:r w:rsidRPr="00416D67">
              <w:rPr>
                <w:color w:val="000000"/>
                <w:sz w:val="18"/>
                <w:szCs w:val="18"/>
              </w:rPr>
              <w:t>140,97</w:t>
            </w:r>
          </w:p>
        </w:tc>
      </w:tr>
    </w:tbl>
    <w:p w14:paraId="42AB7F3F" w14:textId="77777777" w:rsidR="00416D67" w:rsidRPr="00416D67" w:rsidRDefault="00416D67" w:rsidP="00416D67">
      <w:pPr>
        <w:jc w:val="both"/>
        <w:rPr>
          <w:color w:val="000000"/>
        </w:rPr>
      </w:pPr>
    </w:p>
    <w:p w14:paraId="483D63C3" w14:textId="77777777" w:rsidR="00416D67" w:rsidRPr="00416D67" w:rsidRDefault="00416D67" w:rsidP="00416D67">
      <w:pPr>
        <w:jc w:val="both"/>
        <w:rPr>
          <w:color w:val="000000"/>
        </w:rPr>
      </w:pPr>
      <w:r w:rsidRPr="00416D67">
        <w:rPr>
          <w:color w:val="000000"/>
        </w:rPr>
        <w:t xml:space="preserve">       Ukupan višak Općine odnosi se na višak općih prihoda i primitaka (porezni prihodi) u iznosu od 1.623.959,65  EUR (izvor 1.1.), namjenskih prihoda 4.419,18 EUR(izvor 4.3.) te viška prihoda od prodaje nefinancijske imovine 1.081.761,22 EUR (izvor 7.1.)</w:t>
      </w:r>
    </w:p>
    <w:p w14:paraId="7628FB71" w14:textId="77777777" w:rsidR="00416D67" w:rsidRPr="00416D67" w:rsidRDefault="00416D67" w:rsidP="00416D67">
      <w:pPr>
        <w:jc w:val="both"/>
        <w:rPr>
          <w:color w:val="000000"/>
        </w:rPr>
      </w:pPr>
      <w:r w:rsidRPr="00416D67">
        <w:rPr>
          <w:color w:val="000000"/>
        </w:rPr>
        <w:t xml:space="preserve">       Manjak proračunskog korisnika na kraju izvještajnog razdoblja iznosi 296,84 EUR a sastoji se od manjka namjenskih prihoda za sufinanciranje boravka u iznosu od 437,81 EUR (izvor 4.4.) do čega je došlo jer je izostala naplata dospjelih prihoda, te viška prihoda od usluge pripreme i dostave obroka u iznosu od 140,97 EUR (izvor 3.1.)</w:t>
      </w:r>
    </w:p>
    <w:p w14:paraId="1D430275" w14:textId="77777777" w:rsidR="00416D67" w:rsidRPr="00416D67" w:rsidRDefault="00416D67" w:rsidP="00416D67">
      <w:pPr>
        <w:jc w:val="both"/>
        <w:rPr>
          <w:color w:val="000000"/>
        </w:rPr>
      </w:pPr>
    </w:p>
    <w:p w14:paraId="2EC20544" w14:textId="77777777" w:rsidR="00416D67" w:rsidRPr="00416D67" w:rsidRDefault="00416D67" w:rsidP="00416D67">
      <w:pPr>
        <w:ind w:firstLine="707"/>
        <w:jc w:val="both"/>
        <w:rPr>
          <w:color w:val="000000"/>
        </w:rPr>
      </w:pPr>
      <w:r w:rsidRPr="00416D67">
        <w:t>U nastavku se daje obrazloženje ostvarenja Proračuna Općine Marčana za 2025</w:t>
      </w:r>
      <w:r w:rsidRPr="00416D67">
        <w:rPr>
          <w:color w:val="000000"/>
        </w:rPr>
        <w:t xml:space="preserve">. godinu po pojedinim stavkama prihoda/primitaka i rashoda/izdataka proračuna. </w:t>
      </w:r>
    </w:p>
    <w:p w14:paraId="6450D579" w14:textId="77777777" w:rsidR="00416D67" w:rsidRPr="00416D67" w:rsidRDefault="00416D67" w:rsidP="00416D67">
      <w:pPr>
        <w:jc w:val="both"/>
        <w:rPr>
          <w:color w:val="000000"/>
        </w:rPr>
      </w:pPr>
    </w:p>
    <w:p w14:paraId="0C1A5FA6" w14:textId="77777777" w:rsidR="00416D67" w:rsidRPr="00416D67" w:rsidRDefault="00416D67" w:rsidP="00416D67">
      <w:pPr>
        <w:ind w:firstLine="707"/>
        <w:jc w:val="both"/>
        <w:rPr>
          <w:color w:val="000000"/>
        </w:rPr>
      </w:pPr>
    </w:p>
    <w:p w14:paraId="6AD40ADD" w14:textId="77777777" w:rsidR="00416D67" w:rsidRPr="00416D67" w:rsidRDefault="00416D67" w:rsidP="00416D67">
      <w:pPr>
        <w:jc w:val="both"/>
        <w:rPr>
          <w:b/>
          <w:bCs/>
          <w:u w:val="single"/>
        </w:rPr>
      </w:pPr>
      <w:r w:rsidRPr="00416D67">
        <w:rPr>
          <w:u w:val="single"/>
        </w:rPr>
        <w:t xml:space="preserve"> </w:t>
      </w:r>
      <w:r w:rsidRPr="00416D67">
        <w:rPr>
          <w:b/>
          <w:bCs/>
          <w:u w:val="single"/>
        </w:rPr>
        <w:t xml:space="preserve">2.1.3. PRIHODI I PRIMICI </w:t>
      </w:r>
    </w:p>
    <w:p w14:paraId="63B1BCE4" w14:textId="77777777" w:rsidR="00416D67" w:rsidRPr="00416D67" w:rsidRDefault="00416D67" w:rsidP="00416D67">
      <w:pPr>
        <w:ind w:firstLine="707"/>
        <w:jc w:val="both"/>
        <w:rPr>
          <w:color w:val="000000"/>
        </w:rPr>
      </w:pPr>
    </w:p>
    <w:p w14:paraId="34A8535E" w14:textId="77777777" w:rsidR="00416D67" w:rsidRPr="00416D67" w:rsidRDefault="00416D67" w:rsidP="00416D67">
      <w:pPr>
        <w:jc w:val="both"/>
        <w:rPr>
          <w:color w:val="000000"/>
        </w:rPr>
      </w:pPr>
      <w:r w:rsidRPr="00416D67">
        <w:rPr>
          <w:color w:val="000000"/>
        </w:rPr>
        <w:t xml:space="preserve">     U tablici broj 2. daje se pregled ostvarenih prihoda i primitaka Proračuna Općine Marčana u 2025. godini s usporednim pokazateljima ostvarenja prihoda i primitaka u prethodnoj 2024. godini. </w:t>
      </w:r>
    </w:p>
    <w:p w14:paraId="3892FD23" w14:textId="77777777" w:rsidR="00416D67" w:rsidRPr="00416D67" w:rsidRDefault="00416D67" w:rsidP="00416D67">
      <w:pPr>
        <w:rPr>
          <w:color w:val="000000"/>
        </w:rPr>
      </w:pPr>
    </w:p>
    <w:p w14:paraId="7A060632" w14:textId="77777777" w:rsidR="00416D67" w:rsidRPr="00416D67" w:rsidRDefault="00416D67" w:rsidP="00416D67">
      <w:pPr>
        <w:rPr>
          <w:b/>
          <w:bCs/>
          <w:color w:val="000000"/>
        </w:rPr>
      </w:pPr>
      <w:r w:rsidRPr="00416D67">
        <w:rPr>
          <w:b/>
          <w:bCs/>
          <w:color w:val="000000"/>
        </w:rPr>
        <w:t xml:space="preserve">     Tablica 2. Ostvarenje prihoda/primitaka Proračuna Općine Marčana u 2025. godini s usporednim</w:t>
      </w:r>
      <w:r w:rsidRPr="00416D67">
        <w:rPr>
          <w:color w:val="000000"/>
        </w:rPr>
        <w:t xml:space="preserve"> </w:t>
      </w:r>
      <w:r w:rsidRPr="00416D67">
        <w:rPr>
          <w:b/>
          <w:bCs/>
          <w:color w:val="000000"/>
        </w:rPr>
        <w:t>pokazateljima ostvarenja prihoda i primitaka u  2024. godini</w:t>
      </w:r>
    </w:p>
    <w:tbl>
      <w:tblPr>
        <w:tblW w:w="9780" w:type="dxa"/>
        <w:tblInd w:w="93" w:type="dxa"/>
        <w:tblLook w:val="04A0" w:firstRow="1" w:lastRow="0" w:firstColumn="1" w:lastColumn="0" w:noHBand="0" w:noVBand="1"/>
      </w:tblPr>
      <w:tblGrid>
        <w:gridCol w:w="460"/>
        <w:gridCol w:w="3160"/>
        <w:gridCol w:w="1080"/>
        <w:gridCol w:w="1080"/>
        <w:gridCol w:w="1080"/>
        <w:gridCol w:w="987"/>
        <w:gridCol w:w="976"/>
        <w:gridCol w:w="1060"/>
      </w:tblGrid>
      <w:tr w:rsidR="00416D67" w:rsidRPr="00416D67" w14:paraId="5CCEEC7C" w14:textId="77777777" w:rsidTr="00BB1392">
        <w:trPr>
          <w:trHeight w:val="1245"/>
        </w:trPr>
        <w:tc>
          <w:tcPr>
            <w:tcW w:w="460" w:type="dxa"/>
            <w:tcBorders>
              <w:top w:val="single" w:sz="4" w:space="0" w:color="auto"/>
              <w:left w:val="single" w:sz="4" w:space="0" w:color="auto"/>
              <w:bottom w:val="single" w:sz="4" w:space="0" w:color="auto"/>
              <w:right w:val="single" w:sz="4" w:space="0" w:color="auto"/>
            </w:tcBorders>
            <w:textDirection w:val="btLr"/>
            <w:vAlign w:val="center"/>
            <w:hideMark/>
          </w:tcPr>
          <w:p w14:paraId="5428AE3D" w14:textId="77777777" w:rsidR="00416D67" w:rsidRPr="00416D67" w:rsidRDefault="00416D67" w:rsidP="00416D67">
            <w:pPr>
              <w:jc w:val="center"/>
              <w:rPr>
                <w:color w:val="000000"/>
                <w:sz w:val="14"/>
                <w:szCs w:val="14"/>
              </w:rPr>
            </w:pPr>
            <w:r w:rsidRPr="00416D67">
              <w:rPr>
                <w:color w:val="000000"/>
                <w:sz w:val="14"/>
                <w:szCs w:val="14"/>
              </w:rPr>
              <w:lastRenderedPageBreak/>
              <w:t>BROJ KONTA</w:t>
            </w:r>
          </w:p>
        </w:tc>
        <w:tc>
          <w:tcPr>
            <w:tcW w:w="3160" w:type="dxa"/>
            <w:tcBorders>
              <w:top w:val="single" w:sz="4" w:space="0" w:color="auto"/>
              <w:left w:val="nil"/>
              <w:bottom w:val="single" w:sz="4" w:space="0" w:color="auto"/>
              <w:right w:val="single" w:sz="4" w:space="0" w:color="auto"/>
            </w:tcBorders>
            <w:vAlign w:val="center"/>
            <w:hideMark/>
          </w:tcPr>
          <w:p w14:paraId="37B14097" w14:textId="77777777" w:rsidR="00416D67" w:rsidRPr="00416D67" w:rsidRDefault="00416D67" w:rsidP="00416D67">
            <w:pPr>
              <w:jc w:val="center"/>
              <w:rPr>
                <w:color w:val="000000"/>
                <w:sz w:val="14"/>
                <w:szCs w:val="14"/>
              </w:rPr>
            </w:pPr>
            <w:r w:rsidRPr="00416D67">
              <w:rPr>
                <w:color w:val="000000"/>
                <w:sz w:val="14"/>
                <w:szCs w:val="14"/>
              </w:rPr>
              <w:t>VRSTA PRIHODA/ PRIMTIKA</w:t>
            </w:r>
          </w:p>
        </w:tc>
        <w:tc>
          <w:tcPr>
            <w:tcW w:w="1060" w:type="dxa"/>
            <w:tcBorders>
              <w:top w:val="single" w:sz="4" w:space="0" w:color="auto"/>
              <w:left w:val="nil"/>
              <w:bottom w:val="single" w:sz="4" w:space="0" w:color="auto"/>
              <w:right w:val="single" w:sz="4" w:space="0" w:color="auto"/>
            </w:tcBorders>
            <w:vAlign w:val="center"/>
            <w:hideMark/>
          </w:tcPr>
          <w:p w14:paraId="26079FF2" w14:textId="77777777" w:rsidR="00416D67" w:rsidRPr="00416D67" w:rsidRDefault="00416D67" w:rsidP="00416D67">
            <w:pPr>
              <w:jc w:val="center"/>
              <w:rPr>
                <w:color w:val="000000"/>
                <w:sz w:val="14"/>
                <w:szCs w:val="14"/>
              </w:rPr>
            </w:pPr>
            <w:r w:rsidRPr="00416D67">
              <w:rPr>
                <w:color w:val="000000"/>
                <w:sz w:val="14"/>
                <w:szCs w:val="14"/>
              </w:rPr>
              <w:t>IZVRŠENJE PRORAČUNA 2024. GODINA</w:t>
            </w:r>
          </w:p>
        </w:tc>
        <w:tc>
          <w:tcPr>
            <w:tcW w:w="1060" w:type="dxa"/>
            <w:tcBorders>
              <w:top w:val="single" w:sz="4" w:space="0" w:color="auto"/>
              <w:left w:val="nil"/>
              <w:bottom w:val="single" w:sz="4" w:space="0" w:color="auto"/>
              <w:right w:val="single" w:sz="4" w:space="0" w:color="auto"/>
            </w:tcBorders>
            <w:vAlign w:val="center"/>
            <w:hideMark/>
          </w:tcPr>
          <w:p w14:paraId="0D8FDE82" w14:textId="77777777" w:rsidR="00416D67" w:rsidRPr="00416D67" w:rsidRDefault="00416D67" w:rsidP="00416D67">
            <w:pPr>
              <w:jc w:val="center"/>
              <w:rPr>
                <w:color w:val="000000"/>
                <w:sz w:val="14"/>
                <w:szCs w:val="14"/>
              </w:rPr>
            </w:pPr>
            <w:r w:rsidRPr="00416D67">
              <w:rPr>
                <w:color w:val="000000"/>
                <w:sz w:val="14"/>
                <w:szCs w:val="14"/>
              </w:rPr>
              <w:t>TEKUĆI PLAN PRORAČUNA 2025. GODINA</w:t>
            </w:r>
          </w:p>
        </w:tc>
        <w:tc>
          <w:tcPr>
            <w:tcW w:w="1060" w:type="dxa"/>
            <w:tcBorders>
              <w:top w:val="single" w:sz="4" w:space="0" w:color="auto"/>
              <w:left w:val="nil"/>
              <w:bottom w:val="single" w:sz="4" w:space="0" w:color="auto"/>
              <w:right w:val="single" w:sz="4" w:space="0" w:color="auto"/>
            </w:tcBorders>
            <w:vAlign w:val="center"/>
            <w:hideMark/>
          </w:tcPr>
          <w:p w14:paraId="6357E1AA" w14:textId="77777777" w:rsidR="00416D67" w:rsidRPr="00416D67" w:rsidRDefault="00416D67" w:rsidP="00416D67">
            <w:pPr>
              <w:jc w:val="center"/>
              <w:rPr>
                <w:color w:val="000000"/>
                <w:sz w:val="14"/>
                <w:szCs w:val="14"/>
              </w:rPr>
            </w:pPr>
            <w:r w:rsidRPr="00416D67">
              <w:rPr>
                <w:color w:val="000000"/>
                <w:sz w:val="14"/>
                <w:szCs w:val="14"/>
              </w:rPr>
              <w:t>IZVRŠENJE PRORAČUNA 2025. GODINA</w:t>
            </w:r>
          </w:p>
        </w:tc>
        <w:tc>
          <w:tcPr>
            <w:tcW w:w="960" w:type="dxa"/>
            <w:tcBorders>
              <w:top w:val="single" w:sz="4" w:space="0" w:color="auto"/>
              <w:left w:val="nil"/>
              <w:bottom w:val="single" w:sz="4" w:space="0" w:color="auto"/>
              <w:right w:val="single" w:sz="4" w:space="0" w:color="auto"/>
            </w:tcBorders>
            <w:vAlign w:val="center"/>
            <w:hideMark/>
          </w:tcPr>
          <w:p w14:paraId="3D7918B1" w14:textId="77777777" w:rsidR="00416D67" w:rsidRPr="00416D67" w:rsidRDefault="00416D67" w:rsidP="00416D67">
            <w:pPr>
              <w:jc w:val="center"/>
              <w:rPr>
                <w:color w:val="000000"/>
                <w:sz w:val="14"/>
                <w:szCs w:val="14"/>
              </w:rPr>
            </w:pPr>
            <w:r w:rsidRPr="00416D67">
              <w:rPr>
                <w:color w:val="000000"/>
                <w:sz w:val="14"/>
                <w:szCs w:val="14"/>
              </w:rPr>
              <w:t>INDEKS OSTV/PLAN 2025.</w:t>
            </w:r>
          </w:p>
        </w:tc>
        <w:tc>
          <w:tcPr>
            <w:tcW w:w="960" w:type="dxa"/>
            <w:tcBorders>
              <w:top w:val="single" w:sz="4" w:space="0" w:color="auto"/>
              <w:left w:val="nil"/>
              <w:bottom w:val="single" w:sz="4" w:space="0" w:color="auto"/>
              <w:right w:val="single" w:sz="4" w:space="0" w:color="auto"/>
            </w:tcBorders>
            <w:vAlign w:val="center"/>
            <w:hideMark/>
          </w:tcPr>
          <w:p w14:paraId="69B50149" w14:textId="77777777" w:rsidR="00416D67" w:rsidRPr="00416D67" w:rsidRDefault="00416D67" w:rsidP="00416D67">
            <w:pPr>
              <w:jc w:val="center"/>
              <w:rPr>
                <w:color w:val="000000"/>
                <w:sz w:val="14"/>
                <w:szCs w:val="14"/>
              </w:rPr>
            </w:pPr>
            <w:r w:rsidRPr="00416D67">
              <w:rPr>
                <w:color w:val="000000"/>
                <w:sz w:val="14"/>
                <w:szCs w:val="14"/>
              </w:rPr>
              <w:t>INDEKS OSTV 2025/2024.</w:t>
            </w:r>
          </w:p>
        </w:tc>
        <w:tc>
          <w:tcPr>
            <w:tcW w:w="1060" w:type="dxa"/>
            <w:tcBorders>
              <w:top w:val="single" w:sz="4" w:space="0" w:color="auto"/>
              <w:left w:val="nil"/>
              <w:bottom w:val="single" w:sz="4" w:space="0" w:color="auto"/>
              <w:right w:val="single" w:sz="4" w:space="0" w:color="auto"/>
            </w:tcBorders>
            <w:vAlign w:val="center"/>
            <w:hideMark/>
          </w:tcPr>
          <w:p w14:paraId="5FFF3631" w14:textId="77777777" w:rsidR="00416D67" w:rsidRPr="00416D67" w:rsidRDefault="00416D67" w:rsidP="00416D67">
            <w:pPr>
              <w:jc w:val="center"/>
              <w:rPr>
                <w:color w:val="000000"/>
                <w:sz w:val="14"/>
                <w:szCs w:val="14"/>
              </w:rPr>
            </w:pPr>
            <w:r w:rsidRPr="00416D67">
              <w:rPr>
                <w:color w:val="000000"/>
                <w:sz w:val="14"/>
                <w:szCs w:val="14"/>
              </w:rPr>
              <w:t>UDIO OSTV.   2025. %</w:t>
            </w:r>
          </w:p>
        </w:tc>
      </w:tr>
      <w:tr w:rsidR="00416D67" w:rsidRPr="00416D67" w14:paraId="39784F2A" w14:textId="77777777" w:rsidTr="00BB1392">
        <w:trPr>
          <w:trHeight w:val="300"/>
        </w:trPr>
        <w:tc>
          <w:tcPr>
            <w:tcW w:w="3620" w:type="dxa"/>
            <w:gridSpan w:val="2"/>
            <w:tcBorders>
              <w:top w:val="single" w:sz="4" w:space="0" w:color="auto"/>
              <w:left w:val="single" w:sz="4" w:space="0" w:color="auto"/>
              <w:bottom w:val="single" w:sz="4" w:space="0" w:color="auto"/>
              <w:right w:val="single" w:sz="4" w:space="0" w:color="auto"/>
            </w:tcBorders>
            <w:vAlign w:val="center"/>
            <w:hideMark/>
          </w:tcPr>
          <w:p w14:paraId="09534677" w14:textId="77777777" w:rsidR="00416D67" w:rsidRPr="00416D67" w:rsidRDefault="00416D67" w:rsidP="00416D67">
            <w:pPr>
              <w:jc w:val="center"/>
              <w:rPr>
                <w:i/>
                <w:iCs/>
                <w:color w:val="000000"/>
                <w:sz w:val="14"/>
                <w:szCs w:val="14"/>
              </w:rPr>
            </w:pPr>
            <w:r w:rsidRPr="00416D67">
              <w:rPr>
                <w:i/>
                <w:iCs/>
                <w:color w:val="000000"/>
                <w:sz w:val="14"/>
                <w:szCs w:val="14"/>
              </w:rPr>
              <w:t>1</w:t>
            </w:r>
          </w:p>
        </w:tc>
        <w:tc>
          <w:tcPr>
            <w:tcW w:w="1060" w:type="dxa"/>
            <w:tcBorders>
              <w:top w:val="nil"/>
              <w:left w:val="nil"/>
              <w:bottom w:val="single" w:sz="4" w:space="0" w:color="auto"/>
              <w:right w:val="single" w:sz="4" w:space="0" w:color="auto"/>
            </w:tcBorders>
            <w:vAlign w:val="center"/>
            <w:hideMark/>
          </w:tcPr>
          <w:p w14:paraId="5AC2E88B" w14:textId="77777777" w:rsidR="00416D67" w:rsidRPr="00416D67" w:rsidRDefault="00416D67" w:rsidP="00416D67">
            <w:pPr>
              <w:jc w:val="center"/>
              <w:rPr>
                <w:i/>
                <w:iCs/>
                <w:color w:val="000000"/>
                <w:sz w:val="14"/>
                <w:szCs w:val="14"/>
              </w:rPr>
            </w:pPr>
            <w:r w:rsidRPr="00416D67">
              <w:rPr>
                <w:i/>
                <w:iCs/>
                <w:color w:val="000000"/>
                <w:sz w:val="14"/>
                <w:szCs w:val="14"/>
              </w:rPr>
              <w:t>2</w:t>
            </w:r>
          </w:p>
        </w:tc>
        <w:tc>
          <w:tcPr>
            <w:tcW w:w="1060" w:type="dxa"/>
            <w:tcBorders>
              <w:top w:val="nil"/>
              <w:left w:val="nil"/>
              <w:bottom w:val="single" w:sz="4" w:space="0" w:color="auto"/>
              <w:right w:val="single" w:sz="4" w:space="0" w:color="auto"/>
            </w:tcBorders>
            <w:vAlign w:val="center"/>
            <w:hideMark/>
          </w:tcPr>
          <w:p w14:paraId="026007DF" w14:textId="77777777" w:rsidR="00416D67" w:rsidRPr="00416D67" w:rsidRDefault="00416D67" w:rsidP="00416D67">
            <w:pPr>
              <w:jc w:val="center"/>
              <w:rPr>
                <w:i/>
                <w:iCs/>
                <w:color w:val="000000"/>
                <w:sz w:val="14"/>
                <w:szCs w:val="14"/>
              </w:rPr>
            </w:pPr>
            <w:r w:rsidRPr="00416D67">
              <w:rPr>
                <w:i/>
                <w:iCs/>
                <w:color w:val="000000"/>
                <w:sz w:val="14"/>
                <w:szCs w:val="14"/>
              </w:rPr>
              <w:t>3</w:t>
            </w:r>
          </w:p>
        </w:tc>
        <w:tc>
          <w:tcPr>
            <w:tcW w:w="1060" w:type="dxa"/>
            <w:tcBorders>
              <w:top w:val="nil"/>
              <w:left w:val="nil"/>
              <w:bottom w:val="single" w:sz="4" w:space="0" w:color="auto"/>
              <w:right w:val="single" w:sz="4" w:space="0" w:color="auto"/>
            </w:tcBorders>
            <w:vAlign w:val="center"/>
            <w:hideMark/>
          </w:tcPr>
          <w:p w14:paraId="391AB4A7" w14:textId="77777777" w:rsidR="00416D67" w:rsidRPr="00416D67" w:rsidRDefault="00416D67" w:rsidP="00416D67">
            <w:pPr>
              <w:jc w:val="center"/>
              <w:rPr>
                <w:i/>
                <w:iCs/>
                <w:color w:val="000000"/>
                <w:sz w:val="14"/>
                <w:szCs w:val="14"/>
              </w:rPr>
            </w:pPr>
            <w:r w:rsidRPr="00416D67">
              <w:rPr>
                <w:i/>
                <w:iCs/>
                <w:color w:val="000000"/>
                <w:sz w:val="14"/>
                <w:szCs w:val="14"/>
              </w:rPr>
              <w:t>4</w:t>
            </w:r>
          </w:p>
        </w:tc>
        <w:tc>
          <w:tcPr>
            <w:tcW w:w="960" w:type="dxa"/>
            <w:tcBorders>
              <w:top w:val="nil"/>
              <w:left w:val="nil"/>
              <w:bottom w:val="single" w:sz="4" w:space="0" w:color="auto"/>
              <w:right w:val="single" w:sz="4" w:space="0" w:color="auto"/>
            </w:tcBorders>
            <w:vAlign w:val="center"/>
            <w:hideMark/>
          </w:tcPr>
          <w:p w14:paraId="50913ED0" w14:textId="77777777" w:rsidR="00416D67" w:rsidRPr="00416D67" w:rsidRDefault="00416D67" w:rsidP="00416D67">
            <w:pPr>
              <w:jc w:val="center"/>
              <w:rPr>
                <w:i/>
                <w:iCs/>
                <w:color w:val="000000"/>
                <w:sz w:val="14"/>
                <w:szCs w:val="14"/>
              </w:rPr>
            </w:pPr>
            <w:r w:rsidRPr="00416D67">
              <w:rPr>
                <w:i/>
                <w:iCs/>
                <w:color w:val="000000"/>
                <w:sz w:val="14"/>
                <w:szCs w:val="14"/>
              </w:rPr>
              <w:t>5 (4/3)</w:t>
            </w:r>
          </w:p>
        </w:tc>
        <w:tc>
          <w:tcPr>
            <w:tcW w:w="960" w:type="dxa"/>
            <w:tcBorders>
              <w:top w:val="nil"/>
              <w:left w:val="nil"/>
              <w:bottom w:val="single" w:sz="4" w:space="0" w:color="auto"/>
              <w:right w:val="single" w:sz="4" w:space="0" w:color="auto"/>
            </w:tcBorders>
            <w:vAlign w:val="center"/>
            <w:hideMark/>
          </w:tcPr>
          <w:p w14:paraId="6F23A1BA" w14:textId="77777777" w:rsidR="00416D67" w:rsidRPr="00416D67" w:rsidRDefault="00416D67" w:rsidP="00416D67">
            <w:pPr>
              <w:jc w:val="center"/>
              <w:rPr>
                <w:i/>
                <w:iCs/>
                <w:color w:val="000000"/>
                <w:sz w:val="14"/>
                <w:szCs w:val="14"/>
              </w:rPr>
            </w:pPr>
            <w:r w:rsidRPr="00416D67">
              <w:rPr>
                <w:i/>
                <w:iCs/>
                <w:color w:val="000000"/>
                <w:sz w:val="14"/>
                <w:szCs w:val="14"/>
              </w:rPr>
              <w:t>6 (4/2)</w:t>
            </w:r>
          </w:p>
        </w:tc>
        <w:tc>
          <w:tcPr>
            <w:tcW w:w="1060" w:type="dxa"/>
            <w:tcBorders>
              <w:top w:val="nil"/>
              <w:left w:val="nil"/>
              <w:bottom w:val="single" w:sz="4" w:space="0" w:color="auto"/>
              <w:right w:val="single" w:sz="4" w:space="0" w:color="auto"/>
            </w:tcBorders>
            <w:vAlign w:val="center"/>
            <w:hideMark/>
          </w:tcPr>
          <w:p w14:paraId="4500598D" w14:textId="77777777" w:rsidR="00416D67" w:rsidRPr="00416D67" w:rsidRDefault="00416D67" w:rsidP="00416D67">
            <w:pPr>
              <w:jc w:val="center"/>
              <w:rPr>
                <w:i/>
                <w:iCs/>
                <w:color w:val="000000"/>
                <w:sz w:val="14"/>
                <w:szCs w:val="14"/>
              </w:rPr>
            </w:pPr>
            <w:r w:rsidRPr="00416D67">
              <w:rPr>
                <w:i/>
                <w:iCs/>
                <w:color w:val="000000"/>
                <w:sz w:val="14"/>
                <w:szCs w:val="14"/>
              </w:rPr>
              <w:t>7</w:t>
            </w:r>
          </w:p>
        </w:tc>
      </w:tr>
      <w:tr w:rsidR="00416D67" w:rsidRPr="00416D67" w14:paraId="3777EFEB" w14:textId="77777777" w:rsidTr="00BB1392">
        <w:trPr>
          <w:trHeight w:val="300"/>
        </w:trPr>
        <w:tc>
          <w:tcPr>
            <w:tcW w:w="362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781C909" w14:textId="77777777" w:rsidR="00416D67" w:rsidRPr="00416D67" w:rsidRDefault="00416D67" w:rsidP="00416D67">
            <w:pPr>
              <w:rPr>
                <w:b/>
                <w:bCs/>
                <w:color w:val="000000"/>
                <w:sz w:val="16"/>
                <w:szCs w:val="16"/>
              </w:rPr>
            </w:pPr>
            <w:r w:rsidRPr="00416D67">
              <w:rPr>
                <w:b/>
                <w:bCs/>
                <w:color w:val="000000"/>
                <w:sz w:val="16"/>
                <w:szCs w:val="16"/>
              </w:rPr>
              <w:t>UKUPNO PRIHODI / PRIMICI</w:t>
            </w:r>
          </w:p>
        </w:tc>
        <w:tc>
          <w:tcPr>
            <w:tcW w:w="1060" w:type="dxa"/>
            <w:tcBorders>
              <w:top w:val="nil"/>
              <w:left w:val="nil"/>
              <w:bottom w:val="single" w:sz="4" w:space="0" w:color="auto"/>
              <w:right w:val="single" w:sz="4" w:space="0" w:color="auto"/>
            </w:tcBorders>
            <w:shd w:val="clear" w:color="000000" w:fill="D9D9D9"/>
            <w:noWrap/>
            <w:vAlign w:val="center"/>
            <w:hideMark/>
          </w:tcPr>
          <w:p w14:paraId="290A42C0" w14:textId="77777777" w:rsidR="00416D67" w:rsidRPr="00416D67" w:rsidRDefault="00416D67" w:rsidP="00416D67">
            <w:pPr>
              <w:jc w:val="right"/>
              <w:rPr>
                <w:b/>
                <w:bCs/>
                <w:color w:val="000000"/>
                <w:sz w:val="16"/>
                <w:szCs w:val="16"/>
              </w:rPr>
            </w:pPr>
            <w:r w:rsidRPr="00416D67">
              <w:rPr>
                <w:b/>
                <w:bCs/>
                <w:color w:val="000000"/>
                <w:sz w:val="16"/>
                <w:szCs w:val="16"/>
              </w:rPr>
              <w:t>5.816.430,37</w:t>
            </w:r>
          </w:p>
        </w:tc>
        <w:tc>
          <w:tcPr>
            <w:tcW w:w="1060" w:type="dxa"/>
            <w:tcBorders>
              <w:top w:val="nil"/>
              <w:left w:val="nil"/>
              <w:bottom w:val="single" w:sz="4" w:space="0" w:color="auto"/>
              <w:right w:val="single" w:sz="4" w:space="0" w:color="auto"/>
            </w:tcBorders>
            <w:shd w:val="clear" w:color="000000" w:fill="D9D9D9"/>
            <w:noWrap/>
            <w:vAlign w:val="center"/>
            <w:hideMark/>
          </w:tcPr>
          <w:p w14:paraId="09AF897C" w14:textId="77777777" w:rsidR="00416D67" w:rsidRPr="00416D67" w:rsidRDefault="00416D67" w:rsidP="00416D67">
            <w:pPr>
              <w:jc w:val="right"/>
              <w:rPr>
                <w:b/>
                <w:bCs/>
                <w:color w:val="000000"/>
                <w:sz w:val="16"/>
                <w:szCs w:val="16"/>
              </w:rPr>
            </w:pPr>
            <w:r w:rsidRPr="00416D67">
              <w:rPr>
                <w:b/>
                <w:bCs/>
                <w:color w:val="000000"/>
                <w:sz w:val="16"/>
                <w:szCs w:val="16"/>
              </w:rPr>
              <w:t>7.416.186,18</w:t>
            </w:r>
          </w:p>
        </w:tc>
        <w:tc>
          <w:tcPr>
            <w:tcW w:w="1060" w:type="dxa"/>
            <w:tcBorders>
              <w:top w:val="nil"/>
              <w:left w:val="nil"/>
              <w:bottom w:val="single" w:sz="4" w:space="0" w:color="auto"/>
              <w:right w:val="single" w:sz="4" w:space="0" w:color="auto"/>
            </w:tcBorders>
            <w:shd w:val="clear" w:color="000000" w:fill="D9D9D9"/>
            <w:noWrap/>
            <w:vAlign w:val="center"/>
            <w:hideMark/>
          </w:tcPr>
          <w:p w14:paraId="2E3A0355" w14:textId="77777777" w:rsidR="00416D67" w:rsidRPr="00416D67" w:rsidRDefault="00416D67" w:rsidP="00416D67">
            <w:pPr>
              <w:jc w:val="right"/>
              <w:rPr>
                <w:b/>
                <w:bCs/>
                <w:color w:val="000000"/>
                <w:sz w:val="16"/>
                <w:szCs w:val="16"/>
              </w:rPr>
            </w:pPr>
            <w:r w:rsidRPr="00416D67">
              <w:rPr>
                <w:b/>
                <w:bCs/>
                <w:color w:val="000000"/>
                <w:sz w:val="16"/>
                <w:szCs w:val="16"/>
              </w:rPr>
              <w:t>7.552.638,82</w:t>
            </w:r>
          </w:p>
        </w:tc>
        <w:tc>
          <w:tcPr>
            <w:tcW w:w="960" w:type="dxa"/>
            <w:tcBorders>
              <w:top w:val="nil"/>
              <w:left w:val="nil"/>
              <w:bottom w:val="single" w:sz="4" w:space="0" w:color="auto"/>
              <w:right w:val="single" w:sz="4" w:space="0" w:color="auto"/>
            </w:tcBorders>
            <w:shd w:val="clear" w:color="000000" w:fill="D9D9D9"/>
            <w:noWrap/>
            <w:vAlign w:val="center"/>
            <w:hideMark/>
          </w:tcPr>
          <w:p w14:paraId="029EB0F2" w14:textId="77777777" w:rsidR="00416D67" w:rsidRPr="00416D67" w:rsidRDefault="00416D67" w:rsidP="00416D67">
            <w:pPr>
              <w:jc w:val="right"/>
              <w:rPr>
                <w:b/>
                <w:bCs/>
                <w:color w:val="000000"/>
                <w:sz w:val="16"/>
                <w:szCs w:val="16"/>
              </w:rPr>
            </w:pPr>
            <w:r w:rsidRPr="00416D67">
              <w:rPr>
                <w:b/>
                <w:bCs/>
                <w:color w:val="000000"/>
                <w:sz w:val="16"/>
                <w:szCs w:val="16"/>
              </w:rPr>
              <w:t>101,84%</w:t>
            </w:r>
          </w:p>
        </w:tc>
        <w:tc>
          <w:tcPr>
            <w:tcW w:w="960" w:type="dxa"/>
            <w:tcBorders>
              <w:top w:val="nil"/>
              <w:left w:val="nil"/>
              <w:bottom w:val="single" w:sz="4" w:space="0" w:color="auto"/>
              <w:right w:val="single" w:sz="4" w:space="0" w:color="auto"/>
            </w:tcBorders>
            <w:shd w:val="clear" w:color="000000" w:fill="D9D9D9"/>
            <w:noWrap/>
            <w:vAlign w:val="center"/>
            <w:hideMark/>
          </w:tcPr>
          <w:p w14:paraId="1CF6D7F5" w14:textId="77777777" w:rsidR="00416D67" w:rsidRPr="00416D67" w:rsidRDefault="00416D67" w:rsidP="00416D67">
            <w:pPr>
              <w:jc w:val="right"/>
              <w:rPr>
                <w:b/>
                <w:bCs/>
                <w:color w:val="000000"/>
                <w:sz w:val="16"/>
                <w:szCs w:val="16"/>
              </w:rPr>
            </w:pPr>
            <w:r w:rsidRPr="00416D67">
              <w:rPr>
                <w:b/>
                <w:bCs/>
                <w:color w:val="000000"/>
                <w:sz w:val="16"/>
                <w:szCs w:val="16"/>
              </w:rPr>
              <w:t>129,85%</w:t>
            </w:r>
          </w:p>
        </w:tc>
        <w:tc>
          <w:tcPr>
            <w:tcW w:w="1060" w:type="dxa"/>
            <w:tcBorders>
              <w:top w:val="nil"/>
              <w:left w:val="nil"/>
              <w:bottom w:val="single" w:sz="4" w:space="0" w:color="auto"/>
              <w:right w:val="single" w:sz="4" w:space="0" w:color="auto"/>
            </w:tcBorders>
            <w:shd w:val="clear" w:color="000000" w:fill="D9D9D9"/>
            <w:noWrap/>
            <w:vAlign w:val="center"/>
            <w:hideMark/>
          </w:tcPr>
          <w:p w14:paraId="44C793A5" w14:textId="77777777" w:rsidR="00416D67" w:rsidRPr="00416D67" w:rsidRDefault="00416D67" w:rsidP="00416D67">
            <w:pPr>
              <w:jc w:val="right"/>
              <w:rPr>
                <w:b/>
                <w:bCs/>
                <w:color w:val="000000"/>
                <w:sz w:val="16"/>
                <w:szCs w:val="16"/>
              </w:rPr>
            </w:pPr>
            <w:r w:rsidRPr="00416D67">
              <w:rPr>
                <w:b/>
                <w:bCs/>
                <w:color w:val="000000"/>
                <w:sz w:val="16"/>
                <w:szCs w:val="16"/>
              </w:rPr>
              <w:t>100,00%</w:t>
            </w:r>
          </w:p>
        </w:tc>
      </w:tr>
      <w:tr w:rsidR="00416D67" w:rsidRPr="00416D67" w14:paraId="1900079A" w14:textId="77777777" w:rsidTr="00BB1392">
        <w:trPr>
          <w:trHeight w:val="300"/>
        </w:trPr>
        <w:tc>
          <w:tcPr>
            <w:tcW w:w="460" w:type="dxa"/>
            <w:tcBorders>
              <w:top w:val="nil"/>
              <w:left w:val="single" w:sz="4" w:space="0" w:color="auto"/>
              <w:bottom w:val="single" w:sz="4" w:space="0" w:color="auto"/>
              <w:right w:val="single" w:sz="4" w:space="0" w:color="auto"/>
            </w:tcBorders>
            <w:vAlign w:val="center"/>
            <w:hideMark/>
          </w:tcPr>
          <w:p w14:paraId="0F3BCF15" w14:textId="77777777" w:rsidR="00416D67" w:rsidRPr="00416D67" w:rsidRDefault="00416D67" w:rsidP="00416D67">
            <w:pPr>
              <w:rPr>
                <w:b/>
                <w:bCs/>
                <w:color w:val="000000"/>
                <w:sz w:val="16"/>
                <w:szCs w:val="16"/>
              </w:rPr>
            </w:pPr>
            <w:r w:rsidRPr="00416D67">
              <w:rPr>
                <w:b/>
                <w:bCs/>
                <w:color w:val="000000"/>
                <w:sz w:val="16"/>
                <w:szCs w:val="16"/>
              </w:rPr>
              <w:t>6</w:t>
            </w:r>
          </w:p>
        </w:tc>
        <w:tc>
          <w:tcPr>
            <w:tcW w:w="3160" w:type="dxa"/>
            <w:tcBorders>
              <w:top w:val="nil"/>
              <w:left w:val="nil"/>
              <w:bottom w:val="single" w:sz="4" w:space="0" w:color="auto"/>
              <w:right w:val="single" w:sz="4" w:space="0" w:color="auto"/>
            </w:tcBorders>
            <w:vAlign w:val="center"/>
            <w:hideMark/>
          </w:tcPr>
          <w:p w14:paraId="048421C3" w14:textId="77777777" w:rsidR="00416D67" w:rsidRPr="00416D67" w:rsidRDefault="00416D67" w:rsidP="00416D67">
            <w:pPr>
              <w:rPr>
                <w:b/>
                <w:bCs/>
                <w:color w:val="000000"/>
                <w:sz w:val="16"/>
                <w:szCs w:val="16"/>
              </w:rPr>
            </w:pPr>
            <w:r w:rsidRPr="00416D67">
              <w:rPr>
                <w:b/>
                <w:bCs/>
                <w:color w:val="000000"/>
                <w:sz w:val="16"/>
                <w:szCs w:val="16"/>
              </w:rPr>
              <w:t>Prihodi poslovanja</w:t>
            </w:r>
          </w:p>
        </w:tc>
        <w:tc>
          <w:tcPr>
            <w:tcW w:w="1060" w:type="dxa"/>
            <w:tcBorders>
              <w:top w:val="nil"/>
              <w:left w:val="nil"/>
              <w:bottom w:val="single" w:sz="4" w:space="0" w:color="auto"/>
              <w:right w:val="single" w:sz="4" w:space="0" w:color="auto"/>
            </w:tcBorders>
            <w:vAlign w:val="center"/>
            <w:hideMark/>
          </w:tcPr>
          <w:p w14:paraId="5C0FF41B" w14:textId="77777777" w:rsidR="00416D67" w:rsidRPr="00416D67" w:rsidRDefault="00416D67" w:rsidP="00416D67">
            <w:pPr>
              <w:jc w:val="right"/>
              <w:rPr>
                <w:b/>
                <w:bCs/>
                <w:color w:val="000000"/>
                <w:sz w:val="16"/>
                <w:szCs w:val="16"/>
              </w:rPr>
            </w:pPr>
            <w:r w:rsidRPr="00416D67">
              <w:rPr>
                <w:b/>
                <w:bCs/>
                <w:color w:val="000000"/>
                <w:sz w:val="16"/>
                <w:szCs w:val="16"/>
              </w:rPr>
              <w:t>5.807.544,36</w:t>
            </w:r>
          </w:p>
        </w:tc>
        <w:tc>
          <w:tcPr>
            <w:tcW w:w="1060" w:type="dxa"/>
            <w:tcBorders>
              <w:top w:val="nil"/>
              <w:left w:val="nil"/>
              <w:bottom w:val="single" w:sz="4" w:space="0" w:color="auto"/>
              <w:right w:val="single" w:sz="4" w:space="0" w:color="auto"/>
            </w:tcBorders>
            <w:vAlign w:val="center"/>
            <w:hideMark/>
          </w:tcPr>
          <w:p w14:paraId="6B148779" w14:textId="77777777" w:rsidR="00416D67" w:rsidRPr="00416D67" w:rsidRDefault="00416D67" w:rsidP="00416D67">
            <w:pPr>
              <w:jc w:val="right"/>
              <w:rPr>
                <w:b/>
                <w:bCs/>
                <w:color w:val="000000"/>
                <w:sz w:val="16"/>
                <w:szCs w:val="16"/>
              </w:rPr>
            </w:pPr>
            <w:r w:rsidRPr="00416D67">
              <w:rPr>
                <w:b/>
                <w:bCs/>
                <w:color w:val="000000"/>
                <w:sz w:val="16"/>
                <w:szCs w:val="16"/>
              </w:rPr>
              <w:t>5.662.816,18</w:t>
            </w:r>
          </w:p>
        </w:tc>
        <w:tc>
          <w:tcPr>
            <w:tcW w:w="1060" w:type="dxa"/>
            <w:tcBorders>
              <w:top w:val="nil"/>
              <w:left w:val="nil"/>
              <w:bottom w:val="single" w:sz="4" w:space="0" w:color="auto"/>
              <w:right w:val="single" w:sz="4" w:space="0" w:color="auto"/>
            </w:tcBorders>
            <w:vAlign w:val="center"/>
            <w:hideMark/>
          </w:tcPr>
          <w:p w14:paraId="0D9E1ABB" w14:textId="77777777" w:rsidR="00416D67" w:rsidRPr="00416D67" w:rsidRDefault="00416D67" w:rsidP="00416D67">
            <w:pPr>
              <w:jc w:val="right"/>
              <w:rPr>
                <w:b/>
                <w:bCs/>
                <w:color w:val="000000"/>
                <w:sz w:val="16"/>
                <w:szCs w:val="16"/>
              </w:rPr>
            </w:pPr>
            <w:r w:rsidRPr="00416D67">
              <w:rPr>
                <w:b/>
                <w:bCs/>
                <w:color w:val="000000"/>
                <w:sz w:val="16"/>
                <w:szCs w:val="16"/>
              </w:rPr>
              <w:t>5.877.215,42</w:t>
            </w:r>
          </w:p>
        </w:tc>
        <w:tc>
          <w:tcPr>
            <w:tcW w:w="960" w:type="dxa"/>
            <w:tcBorders>
              <w:top w:val="nil"/>
              <w:left w:val="nil"/>
              <w:bottom w:val="single" w:sz="4" w:space="0" w:color="auto"/>
              <w:right w:val="single" w:sz="4" w:space="0" w:color="auto"/>
            </w:tcBorders>
            <w:vAlign w:val="center"/>
            <w:hideMark/>
          </w:tcPr>
          <w:p w14:paraId="05742F76" w14:textId="77777777" w:rsidR="00416D67" w:rsidRPr="00416D67" w:rsidRDefault="00416D67" w:rsidP="00416D67">
            <w:pPr>
              <w:jc w:val="right"/>
              <w:rPr>
                <w:b/>
                <w:bCs/>
                <w:color w:val="000000"/>
                <w:sz w:val="16"/>
                <w:szCs w:val="16"/>
              </w:rPr>
            </w:pPr>
            <w:r w:rsidRPr="00416D67">
              <w:rPr>
                <w:b/>
                <w:bCs/>
                <w:color w:val="000000"/>
                <w:sz w:val="16"/>
                <w:szCs w:val="16"/>
              </w:rPr>
              <w:t>103,79%</w:t>
            </w:r>
          </w:p>
        </w:tc>
        <w:tc>
          <w:tcPr>
            <w:tcW w:w="960" w:type="dxa"/>
            <w:tcBorders>
              <w:top w:val="nil"/>
              <w:left w:val="nil"/>
              <w:bottom w:val="single" w:sz="4" w:space="0" w:color="auto"/>
              <w:right w:val="single" w:sz="4" w:space="0" w:color="auto"/>
            </w:tcBorders>
            <w:vAlign w:val="center"/>
            <w:hideMark/>
          </w:tcPr>
          <w:p w14:paraId="554D65D5" w14:textId="77777777" w:rsidR="00416D67" w:rsidRPr="00416D67" w:rsidRDefault="00416D67" w:rsidP="00416D67">
            <w:pPr>
              <w:jc w:val="right"/>
              <w:rPr>
                <w:b/>
                <w:bCs/>
                <w:color w:val="000000"/>
                <w:sz w:val="16"/>
                <w:szCs w:val="16"/>
              </w:rPr>
            </w:pPr>
            <w:r w:rsidRPr="00416D67">
              <w:rPr>
                <w:b/>
                <w:bCs/>
                <w:color w:val="000000"/>
                <w:sz w:val="16"/>
                <w:szCs w:val="16"/>
              </w:rPr>
              <w:t>101,20%</w:t>
            </w:r>
          </w:p>
        </w:tc>
        <w:tc>
          <w:tcPr>
            <w:tcW w:w="1060" w:type="dxa"/>
            <w:tcBorders>
              <w:top w:val="nil"/>
              <w:left w:val="nil"/>
              <w:bottom w:val="single" w:sz="4" w:space="0" w:color="auto"/>
              <w:right w:val="single" w:sz="4" w:space="0" w:color="auto"/>
            </w:tcBorders>
            <w:vAlign w:val="center"/>
            <w:hideMark/>
          </w:tcPr>
          <w:p w14:paraId="15487D6A" w14:textId="77777777" w:rsidR="00416D67" w:rsidRPr="00416D67" w:rsidRDefault="00416D67" w:rsidP="00416D67">
            <w:pPr>
              <w:rPr>
                <w:b/>
                <w:bCs/>
                <w:color w:val="000000"/>
                <w:sz w:val="16"/>
                <w:szCs w:val="16"/>
              </w:rPr>
            </w:pPr>
            <w:r w:rsidRPr="00416D67">
              <w:rPr>
                <w:b/>
                <w:bCs/>
                <w:color w:val="000000"/>
                <w:sz w:val="16"/>
                <w:szCs w:val="16"/>
              </w:rPr>
              <w:t> </w:t>
            </w:r>
          </w:p>
        </w:tc>
      </w:tr>
      <w:tr w:rsidR="00416D67" w:rsidRPr="00416D67" w14:paraId="342999BE" w14:textId="77777777" w:rsidTr="00BB1392">
        <w:trPr>
          <w:trHeight w:val="300"/>
        </w:trPr>
        <w:tc>
          <w:tcPr>
            <w:tcW w:w="460" w:type="dxa"/>
            <w:tcBorders>
              <w:top w:val="nil"/>
              <w:left w:val="single" w:sz="4" w:space="0" w:color="auto"/>
              <w:bottom w:val="single" w:sz="4" w:space="0" w:color="auto"/>
              <w:right w:val="single" w:sz="4" w:space="0" w:color="auto"/>
            </w:tcBorders>
            <w:vAlign w:val="center"/>
            <w:hideMark/>
          </w:tcPr>
          <w:p w14:paraId="31306C59" w14:textId="77777777" w:rsidR="00416D67" w:rsidRPr="00416D67" w:rsidRDefault="00416D67" w:rsidP="00416D67">
            <w:pPr>
              <w:rPr>
                <w:color w:val="000000"/>
                <w:sz w:val="16"/>
                <w:szCs w:val="16"/>
              </w:rPr>
            </w:pPr>
            <w:r w:rsidRPr="00416D67">
              <w:rPr>
                <w:color w:val="000000"/>
                <w:sz w:val="16"/>
                <w:szCs w:val="16"/>
              </w:rPr>
              <w:t>61</w:t>
            </w:r>
          </w:p>
        </w:tc>
        <w:tc>
          <w:tcPr>
            <w:tcW w:w="3160" w:type="dxa"/>
            <w:tcBorders>
              <w:top w:val="nil"/>
              <w:left w:val="nil"/>
              <w:bottom w:val="single" w:sz="4" w:space="0" w:color="auto"/>
              <w:right w:val="single" w:sz="4" w:space="0" w:color="auto"/>
            </w:tcBorders>
            <w:vAlign w:val="center"/>
            <w:hideMark/>
          </w:tcPr>
          <w:p w14:paraId="29B95E29" w14:textId="77777777" w:rsidR="00416D67" w:rsidRPr="00416D67" w:rsidRDefault="00416D67" w:rsidP="00416D67">
            <w:pPr>
              <w:rPr>
                <w:color w:val="000000"/>
                <w:sz w:val="16"/>
                <w:szCs w:val="16"/>
              </w:rPr>
            </w:pPr>
            <w:r w:rsidRPr="00416D67">
              <w:rPr>
                <w:color w:val="000000"/>
                <w:sz w:val="16"/>
                <w:szCs w:val="16"/>
              </w:rPr>
              <w:t>Prihodi od poreza</w:t>
            </w:r>
          </w:p>
        </w:tc>
        <w:tc>
          <w:tcPr>
            <w:tcW w:w="1060" w:type="dxa"/>
            <w:tcBorders>
              <w:top w:val="nil"/>
              <w:left w:val="nil"/>
              <w:bottom w:val="single" w:sz="4" w:space="0" w:color="auto"/>
              <w:right w:val="single" w:sz="4" w:space="0" w:color="auto"/>
            </w:tcBorders>
            <w:vAlign w:val="center"/>
            <w:hideMark/>
          </w:tcPr>
          <w:p w14:paraId="475E1DD7" w14:textId="77777777" w:rsidR="00416D67" w:rsidRPr="00416D67" w:rsidRDefault="00416D67" w:rsidP="00416D67">
            <w:pPr>
              <w:jc w:val="right"/>
              <w:rPr>
                <w:color w:val="000000"/>
                <w:sz w:val="16"/>
                <w:szCs w:val="16"/>
              </w:rPr>
            </w:pPr>
            <w:r w:rsidRPr="00416D67">
              <w:rPr>
                <w:color w:val="000000"/>
                <w:sz w:val="16"/>
                <w:szCs w:val="16"/>
              </w:rPr>
              <w:t>3.723.457,63</w:t>
            </w:r>
          </w:p>
        </w:tc>
        <w:tc>
          <w:tcPr>
            <w:tcW w:w="1060" w:type="dxa"/>
            <w:tcBorders>
              <w:top w:val="nil"/>
              <w:left w:val="nil"/>
              <w:bottom w:val="single" w:sz="4" w:space="0" w:color="auto"/>
              <w:right w:val="single" w:sz="4" w:space="0" w:color="auto"/>
            </w:tcBorders>
            <w:vAlign w:val="center"/>
            <w:hideMark/>
          </w:tcPr>
          <w:p w14:paraId="00AB9DDF" w14:textId="77777777" w:rsidR="00416D67" w:rsidRPr="00416D67" w:rsidRDefault="00416D67" w:rsidP="00416D67">
            <w:pPr>
              <w:jc w:val="right"/>
              <w:rPr>
                <w:color w:val="000000"/>
                <w:sz w:val="16"/>
                <w:szCs w:val="16"/>
              </w:rPr>
            </w:pPr>
            <w:r w:rsidRPr="00416D67">
              <w:rPr>
                <w:color w:val="000000"/>
                <w:sz w:val="16"/>
                <w:szCs w:val="16"/>
              </w:rPr>
              <w:t>3.815.252,17</w:t>
            </w:r>
          </w:p>
        </w:tc>
        <w:tc>
          <w:tcPr>
            <w:tcW w:w="1060" w:type="dxa"/>
            <w:tcBorders>
              <w:top w:val="nil"/>
              <w:left w:val="nil"/>
              <w:bottom w:val="single" w:sz="4" w:space="0" w:color="auto"/>
              <w:right w:val="single" w:sz="4" w:space="0" w:color="auto"/>
            </w:tcBorders>
            <w:vAlign w:val="center"/>
            <w:hideMark/>
          </w:tcPr>
          <w:p w14:paraId="52D4228B" w14:textId="77777777" w:rsidR="00416D67" w:rsidRPr="00416D67" w:rsidRDefault="00416D67" w:rsidP="00416D67">
            <w:pPr>
              <w:jc w:val="right"/>
              <w:rPr>
                <w:color w:val="000000"/>
                <w:sz w:val="16"/>
                <w:szCs w:val="16"/>
              </w:rPr>
            </w:pPr>
            <w:r w:rsidRPr="00416D67">
              <w:rPr>
                <w:color w:val="000000"/>
                <w:sz w:val="16"/>
                <w:szCs w:val="16"/>
              </w:rPr>
              <w:t>3.989.988,71</w:t>
            </w:r>
          </w:p>
        </w:tc>
        <w:tc>
          <w:tcPr>
            <w:tcW w:w="960" w:type="dxa"/>
            <w:tcBorders>
              <w:top w:val="nil"/>
              <w:left w:val="nil"/>
              <w:bottom w:val="single" w:sz="4" w:space="0" w:color="auto"/>
              <w:right w:val="single" w:sz="4" w:space="0" w:color="auto"/>
            </w:tcBorders>
            <w:vAlign w:val="center"/>
            <w:hideMark/>
          </w:tcPr>
          <w:p w14:paraId="2F3E009F" w14:textId="77777777" w:rsidR="00416D67" w:rsidRPr="00416D67" w:rsidRDefault="00416D67" w:rsidP="00416D67">
            <w:pPr>
              <w:jc w:val="right"/>
              <w:rPr>
                <w:color w:val="000000"/>
                <w:sz w:val="16"/>
                <w:szCs w:val="16"/>
              </w:rPr>
            </w:pPr>
            <w:r w:rsidRPr="00416D67">
              <w:rPr>
                <w:color w:val="000000"/>
                <w:sz w:val="16"/>
                <w:szCs w:val="16"/>
              </w:rPr>
              <w:t>104,58%</w:t>
            </w:r>
          </w:p>
        </w:tc>
        <w:tc>
          <w:tcPr>
            <w:tcW w:w="960" w:type="dxa"/>
            <w:tcBorders>
              <w:top w:val="nil"/>
              <w:left w:val="nil"/>
              <w:bottom w:val="single" w:sz="4" w:space="0" w:color="auto"/>
              <w:right w:val="single" w:sz="4" w:space="0" w:color="auto"/>
            </w:tcBorders>
            <w:vAlign w:val="center"/>
            <w:hideMark/>
          </w:tcPr>
          <w:p w14:paraId="78AA95B2" w14:textId="77777777" w:rsidR="00416D67" w:rsidRPr="00416D67" w:rsidRDefault="00416D67" w:rsidP="00416D67">
            <w:pPr>
              <w:jc w:val="right"/>
              <w:rPr>
                <w:color w:val="000000"/>
                <w:sz w:val="16"/>
                <w:szCs w:val="16"/>
              </w:rPr>
            </w:pPr>
            <w:r w:rsidRPr="00416D67">
              <w:rPr>
                <w:color w:val="000000"/>
                <w:sz w:val="16"/>
                <w:szCs w:val="16"/>
              </w:rPr>
              <w:t>107,16%</w:t>
            </w:r>
          </w:p>
        </w:tc>
        <w:tc>
          <w:tcPr>
            <w:tcW w:w="1060" w:type="dxa"/>
            <w:tcBorders>
              <w:top w:val="nil"/>
              <w:left w:val="nil"/>
              <w:bottom w:val="single" w:sz="4" w:space="0" w:color="auto"/>
              <w:right w:val="single" w:sz="4" w:space="0" w:color="auto"/>
            </w:tcBorders>
            <w:vAlign w:val="center"/>
            <w:hideMark/>
          </w:tcPr>
          <w:p w14:paraId="433DC7DF" w14:textId="77777777" w:rsidR="00416D67" w:rsidRPr="00416D67" w:rsidRDefault="00416D67" w:rsidP="00416D67">
            <w:pPr>
              <w:jc w:val="right"/>
              <w:rPr>
                <w:color w:val="000000"/>
                <w:sz w:val="16"/>
                <w:szCs w:val="16"/>
              </w:rPr>
            </w:pPr>
            <w:r w:rsidRPr="00416D67">
              <w:rPr>
                <w:color w:val="000000"/>
                <w:sz w:val="16"/>
                <w:szCs w:val="16"/>
              </w:rPr>
              <w:t>52,83%</w:t>
            </w:r>
          </w:p>
        </w:tc>
      </w:tr>
      <w:tr w:rsidR="00416D67" w:rsidRPr="00416D67" w14:paraId="6D0670F3" w14:textId="77777777" w:rsidTr="00BB1392">
        <w:trPr>
          <w:trHeight w:val="450"/>
        </w:trPr>
        <w:tc>
          <w:tcPr>
            <w:tcW w:w="460" w:type="dxa"/>
            <w:tcBorders>
              <w:top w:val="nil"/>
              <w:left w:val="single" w:sz="4" w:space="0" w:color="auto"/>
              <w:bottom w:val="single" w:sz="4" w:space="0" w:color="auto"/>
              <w:right w:val="single" w:sz="4" w:space="0" w:color="auto"/>
            </w:tcBorders>
            <w:vAlign w:val="center"/>
            <w:hideMark/>
          </w:tcPr>
          <w:p w14:paraId="3AFBDECC" w14:textId="77777777" w:rsidR="00416D67" w:rsidRPr="00416D67" w:rsidRDefault="00416D67" w:rsidP="00416D67">
            <w:pPr>
              <w:rPr>
                <w:color w:val="000000"/>
                <w:sz w:val="16"/>
                <w:szCs w:val="16"/>
              </w:rPr>
            </w:pPr>
            <w:r w:rsidRPr="00416D67">
              <w:rPr>
                <w:color w:val="000000"/>
                <w:sz w:val="16"/>
                <w:szCs w:val="16"/>
              </w:rPr>
              <w:t>63</w:t>
            </w:r>
          </w:p>
        </w:tc>
        <w:tc>
          <w:tcPr>
            <w:tcW w:w="3160" w:type="dxa"/>
            <w:tcBorders>
              <w:top w:val="nil"/>
              <w:left w:val="nil"/>
              <w:bottom w:val="single" w:sz="4" w:space="0" w:color="auto"/>
              <w:right w:val="single" w:sz="4" w:space="0" w:color="auto"/>
            </w:tcBorders>
            <w:vAlign w:val="center"/>
            <w:hideMark/>
          </w:tcPr>
          <w:p w14:paraId="6B9F0A9A" w14:textId="77777777" w:rsidR="00416D67" w:rsidRPr="00416D67" w:rsidRDefault="00416D67" w:rsidP="00416D67">
            <w:pPr>
              <w:rPr>
                <w:color w:val="000000"/>
                <w:sz w:val="16"/>
                <w:szCs w:val="16"/>
              </w:rPr>
            </w:pPr>
            <w:r w:rsidRPr="00416D67">
              <w:rPr>
                <w:color w:val="000000"/>
                <w:sz w:val="16"/>
                <w:szCs w:val="16"/>
              </w:rPr>
              <w:t>Pomoći iz inozemstva i od subjekata unutar općeg proračuna</w:t>
            </w:r>
          </w:p>
        </w:tc>
        <w:tc>
          <w:tcPr>
            <w:tcW w:w="1060" w:type="dxa"/>
            <w:tcBorders>
              <w:top w:val="nil"/>
              <w:left w:val="nil"/>
              <w:bottom w:val="single" w:sz="4" w:space="0" w:color="auto"/>
              <w:right w:val="single" w:sz="4" w:space="0" w:color="auto"/>
            </w:tcBorders>
            <w:vAlign w:val="center"/>
            <w:hideMark/>
          </w:tcPr>
          <w:p w14:paraId="4F66B59F" w14:textId="77777777" w:rsidR="00416D67" w:rsidRPr="00416D67" w:rsidRDefault="00416D67" w:rsidP="00416D67">
            <w:pPr>
              <w:jc w:val="right"/>
              <w:rPr>
                <w:color w:val="000000"/>
                <w:sz w:val="16"/>
                <w:szCs w:val="16"/>
              </w:rPr>
            </w:pPr>
            <w:r w:rsidRPr="00416D67">
              <w:rPr>
                <w:color w:val="000000"/>
                <w:sz w:val="16"/>
                <w:szCs w:val="16"/>
              </w:rPr>
              <w:t>601.797,97</w:t>
            </w:r>
          </w:p>
        </w:tc>
        <w:tc>
          <w:tcPr>
            <w:tcW w:w="1060" w:type="dxa"/>
            <w:tcBorders>
              <w:top w:val="nil"/>
              <w:left w:val="nil"/>
              <w:bottom w:val="single" w:sz="4" w:space="0" w:color="auto"/>
              <w:right w:val="single" w:sz="4" w:space="0" w:color="auto"/>
            </w:tcBorders>
            <w:vAlign w:val="center"/>
            <w:hideMark/>
          </w:tcPr>
          <w:p w14:paraId="32528262" w14:textId="77777777" w:rsidR="00416D67" w:rsidRPr="00416D67" w:rsidRDefault="00416D67" w:rsidP="00416D67">
            <w:pPr>
              <w:jc w:val="right"/>
              <w:rPr>
                <w:color w:val="000000"/>
                <w:sz w:val="16"/>
                <w:szCs w:val="16"/>
              </w:rPr>
            </w:pPr>
            <w:r w:rsidRPr="00416D67">
              <w:rPr>
                <w:color w:val="000000"/>
                <w:sz w:val="16"/>
                <w:szCs w:val="16"/>
              </w:rPr>
              <w:t>296.197,70</w:t>
            </w:r>
          </w:p>
        </w:tc>
        <w:tc>
          <w:tcPr>
            <w:tcW w:w="1060" w:type="dxa"/>
            <w:tcBorders>
              <w:top w:val="nil"/>
              <w:left w:val="nil"/>
              <w:bottom w:val="single" w:sz="4" w:space="0" w:color="auto"/>
              <w:right w:val="single" w:sz="4" w:space="0" w:color="auto"/>
            </w:tcBorders>
            <w:vAlign w:val="center"/>
            <w:hideMark/>
          </w:tcPr>
          <w:p w14:paraId="2260B97A" w14:textId="77777777" w:rsidR="00416D67" w:rsidRPr="00416D67" w:rsidRDefault="00416D67" w:rsidP="00416D67">
            <w:pPr>
              <w:jc w:val="right"/>
              <w:rPr>
                <w:color w:val="000000"/>
                <w:sz w:val="16"/>
                <w:szCs w:val="16"/>
              </w:rPr>
            </w:pPr>
            <w:r w:rsidRPr="00416D67">
              <w:rPr>
                <w:color w:val="000000"/>
                <w:sz w:val="16"/>
                <w:szCs w:val="16"/>
              </w:rPr>
              <w:t>335.580,34</w:t>
            </w:r>
          </w:p>
        </w:tc>
        <w:tc>
          <w:tcPr>
            <w:tcW w:w="960" w:type="dxa"/>
            <w:tcBorders>
              <w:top w:val="nil"/>
              <w:left w:val="nil"/>
              <w:bottom w:val="single" w:sz="4" w:space="0" w:color="auto"/>
              <w:right w:val="single" w:sz="4" w:space="0" w:color="auto"/>
            </w:tcBorders>
            <w:vAlign w:val="center"/>
            <w:hideMark/>
          </w:tcPr>
          <w:p w14:paraId="73B848EC" w14:textId="77777777" w:rsidR="00416D67" w:rsidRPr="00416D67" w:rsidRDefault="00416D67" w:rsidP="00416D67">
            <w:pPr>
              <w:jc w:val="right"/>
              <w:rPr>
                <w:color w:val="000000"/>
                <w:sz w:val="16"/>
                <w:szCs w:val="16"/>
              </w:rPr>
            </w:pPr>
            <w:r w:rsidRPr="00416D67">
              <w:rPr>
                <w:color w:val="000000"/>
                <w:sz w:val="16"/>
                <w:szCs w:val="16"/>
              </w:rPr>
              <w:t>113,30%</w:t>
            </w:r>
          </w:p>
        </w:tc>
        <w:tc>
          <w:tcPr>
            <w:tcW w:w="960" w:type="dxa"/>
            <w:tcBorders>
              <w:top w:val="nil"/>
              <w:left w:val="nil"/>
              <w:bottom w:val="single" w:sz="4" w:space="0" w:color="auto"/>
              <w:right w:val="single" w:sz="4" w:space="0" w:color="auto"/>
            </w:tcBorders>
            <w:vAlign w:val="center"/>
            <w:hideMark/>
          </w:tcPr>
          <w:p w14:paraId="7FD26A22" w14:textId="77777777" w:rsidR="00416D67" w:rsidRPr="00416D67" w:rsidRDefault="00416D67" w:rsidP="00416D67">
            <w:pPr>
              <w:jc w:val="right"/>
              <w:rPr>
                <w:color w:val="000000"/>
                <w:sz w:val="16"/>
                <w:szCs w:val="16"/>
              </w:rPr>
            </w:pPr>
            <w:r w:rsidRPr="00416D67">
              <w:rPr>
                <w:color w:val="000000"/>
                <w:sz w:val="16"/>
                <w:szCs w:val="16"/>
              </w:rPr>
              <w:t>55,76%</w:t>
            </w:r>
          </w:p>
        </w:tc>
        <w:tc>
          <w:tcPr>
            <w:tcW w:w="1060" w:type="dxa"/>
            <w:tcBorders>
              <w:top w:val="nil"/>
              <w:left w:val="nil"/>
              <w:bottom w:val="single" w:sz="4" w:space="0" w:color="auto"/>
              <w:right w:val="single" w:sz="4" w:space="0" w:color="auto"/>
            </w:tcBorders>
            <w:vAlign w:val="center"/>
            <w:hideMark/>
          </w:tcPr>
          <w:p w14:paraId="463EA9D7" w14:textId="77777777" w:rsidR="00416D67" w:rsidRPr="00416D67" w:rsidRDefault="00416D67" w:rsidP="00416D67">
            <w:pPr>
              <w:jc w:val="right"/>
              <w:rPr>
                <w:color w:val="000000"/>
                <w:sz w:val="16"/>
                <w:szCs w:val="16"/>
              </w:rPr>
            </w:pPr>
            <w:r w:rsidRPr="00416D67">
              <w:rPr>
                <w:color w:val="000000"/>
                <w:sz w:val="16"/>
                <w:szCs w:val="16"/>
              </w:rPr>
              <w:t>4,44%</w:t>
            </w:r>
          </w:p>
        </w:tc>
      </w:tr>
      <w:tr w:rsidR="00416D67" w:rsidRPr="00416D67" w14:paraId="563B8CA7" w14:textId="77777777" w:rsidTr="00BB1392">
        <w:trPr>
          <w:trHeight w:val="300"/>
        </w:trPr>
        <w:tc>
          <w:tcPr>
            <w:tcW w:w="460" w:type="dxa"/>
            <w:tcBorders>
              <w:top w:val="nil"/>
              <w:left w:val="single" w:sz="4" w:space="0" w:color="auto"/>
              <w:bottom w:val="single" w:sz="4" w:space="0" w:color="auto"/>
              <w:right w:val="single" w:sz="4" w:space="0" w:color="auto"/>
            </w:tcBorders>
            <w:vAlign w:val="center"/>
            <w:hideMark/>
          </w:tcPr>
          <w:p w14:paraId="2B27FDEF" w14:textId="77777777" w:rsidR="00416D67" w:rsidRPr="00416D67" w:rsidRDefault="00416D67" w:rsidP="00416D67">
            <w:pPr>
              <w:rPr>
                <w:color w:val="000000"/>
                <w:sz w:val="16"/>
                <w:szCs w:val="16"/>
              </w:rPr>
            </w:pPr>
            <w:r w:rsidRPr="00416D67">
              <w:rPr>
                <w:color w:val="000000"/>
                <w:sz w:val="16"/>
                <w:szCs w:val="16"/>
              </w:rPr>
              <w:t>64</w:t>
            </w:r>
          </w:p>
        </w:tc>
        <w:tc>
          <w:tcPr>
            <w:tcW w:w="3160" w:type="dxa"/>
            <w:tcBorders>
              <w:top w:val="nil"/>
              <w:left w:val="nil"/>
              <w:bottom w:val="single" w:sz="4" w:space="0" w:color="auto"/>
              <w:right w:val="single" w:sz="4" w:space="0" w:color="auto"/>
            </w:tcBorders>
            <w:vAlign w:val="center"/>
            <w:hideMark/>
          </w:tcPr>
          <w:p w14:paraId="384583C7" w14:textId="77777777" w:rsidR="00416D67" w:rsidRPr="00416D67" w:rsidRDefault="00416D67" w:rsidP="00416D67">
            <w:pPr>
              <w:rPr>
                <w:color w:val="000000"/>
                <w:sz w:val="16"/>
                <w:szCs w:val="16"/>
              </w:rPr>
            </w:pPr>
            <w:r w:rsidRPr="00416D67">
              <w:rPr>
                <w:color w:val="000000"/>
                <w:sz w:val="16"/>
                <w:szCs w:val="16"/>
              </w:rPr>
              <w:t>Prihodi od imovine</w:t>
            </w:r>
          </w:p>
        </w:tc>
        <w:tc>
          <w:tcPr>
            <w:tcW w:w="1060" w:type="dxa"/>
            <w:tcBorders>
              <w:top w:val="nil"/>
              <w:left w:val="nil"/>
              <w:bottom w:val="single" w:sz="4" w:space="0" w:color="auto"/>
              <w:right w:val="single" w:sz="4" w:space="0" w:color="auto"/>
            </w:tcBorders>
            <w:vAlign w:val="center"/>
            <w:hideMark/>
          </w:tcPr>
          <w:p w14:paraId="5DDD4DD8" w14:textId="77777777" w:rsidR="00416D67" w:rsidRPr="00416D67" w:rsidRDefault="00416D67" w:rsidP="00416D67">
            <w:pPr>
              <w:jc w:val="right"/>
              <w:rPr>
                <w:color w:val="000000"/>
                <w:sz w:val="16"/>
                <w:szCs w:val="16"/>
              </w:rPr>
            </w:pPr>
            <w:r w:rsidRPr="00416D67">
              <w:rPr>
                <w:color w:val="000000"/>
                <w:sz w:val="16"/>
                <w:szCs w:val="16"/>
              </w:rPr>
              <w:t>181.561,60</w:t>
            </w:r>
          </w:p>
        </w:tc>
        <w:tc>
          <w:tcPr>
            <w:tcW w:w="1060" w:type="dxa"/>
            <w:tcBorders>
              <w:top w:val="nil"/>
              <w:left w:val="nil"/>
              <w:bottom w:val="single" w:sz="4" w:space="0" w:color="auto"/>
              <w:right w:val="single" w:sz="4" w:space="0" w:color="auto"/>
            </w:tcBorders>
            <w:vAlign w:val="center"/>
            <w:hideMark/>
          </w:tcPr>
          <w:p w14:paraId="0E004E88" w14:textId="77777777" w:rsidR="00416D67" w:rsidRPr="00416D67" w:rsidRDefault="00416D67" w:rsidP="00416D67">
            <w:pPr>
              <w:jc w:val="right"/>
              <w:rPr>
                <w:color w:val="000000"/>
                <w:sz w:val="16"/>
                <w:szCs w:val="16"/>
              </w:rPr>
            </w:pPr>
            <w:r w:rsidRPr="00416D67">
              <w:rPr>
                <w:color w:val="000000"/>
                <w:sz w:val="16"/>
                <w:szCs w:val="16"/>
              </w:rPr>
              <w:t>217.493,08</w:t>
            </w:r>
          </w:p>
        </w:tc>
        <w:tc>
          <w:tcPr>
            <w:tcW w:w="1060" w:type="dxa"/>
            <w:tcBorders>
              <w:top w:val="nil"/>
              <w:left w:val="nil"/>
              <w:bottom w:val="single" w:sz="4" w:space="0" w:color="auto"/>
              <w:right w:val="single" w:sz="4" w:space="0" w:color="auto"/>
            </w:tcBorders>
            <w:vAlign w:val="center"/>
            <w:hideMark/>
          </w:tcPr>
          <w:p w14:paraId="3CD182EF" w14:textId="77777777" w:rsidR="00416D67" w:rsidRPr="00416D67" w:rsidRDefault="00416D67" w:rsidP="00416D67">
            <w:pPr>
              <w:jc w:val="right"/>
              <w:rPr>
                <w:color w:val="000000"/>
                <w:sz w:val="16"/>
                <w:szCs w:val="16"/>
              </w:rPr>
            </w:pPr>
            <w:r w:rsidRPr="00416D67">
              <w:rPr>
                <w:color w:val="000000"/>
                <w:sz w:val="16"/>
                <w:szCs w:val="16"/>
              </w:rPr>
              <w:t>216.476,48</w:t>
            </w:r>
          </w:p>
        </w:tc>
        <w:tc>
          <w:tcPr>
            <w:tcW w:w="960" w:type="dxa"/>
            <w:tcBorders>
              <w:top w:val="nil"/>
              <w:left w:val="nil"/>
              <w:bottom w:val="single" w:sz="4" w:space="0" w:color="auto"/>
              <w:right w:val="single" w:sz="4" w:space="0" w:color="auto"/>
            </w:tcBorders>
            <w:vAlign w:val="center"/>
            <w:hideMark/>
          </w:tcPr>
          <w:p w14:paraId="4C98E842" w14:textId="77777777" w:rsidR="00416D67" w:rsidRPr="00416D67" w:rsidRDefault="00416D67" w:rsidP="00416D67">
            <w:pPr>
              <w:jc w:val="right"/>
              <w:rPr>
                <w:color w:val="000000"/>
                <w:sz w:val="16"/>
                <w:szCs w:val="16"/>
              </w:rPr>
            </w:pPr>
            <w:r w:rsidRPr="00416D67">
              <w:rPr>
                <w:color w:val="000000"/>
                <w:sz w:val="16"/>
                <w:szCs w:val="16"/>
              </w:rPr>
              <w:t>99,53%</w:t>
            </w:r>
          </w:p>
        </w:tc>
        <w:tc>
          <w:tcPr>
            <w:tcW w:w="960" w:type="dxa"/>
            <w:tcBorders>
              <w:top w:val="nil"/>
              <w:left w:val="nil"/>
              <w:bottom w:val="single" w:sz="4" w:space="0" w:color="auto"/>
              <w:right w:val="single" w:sz="4" w:space="0" w:color="auto"/>
            </w:tcBorders>
            <w:vAlign w:val="center"/>
            <w:hideMark/>
          </w:tcPr>
          <w:p w14:paraId="21131939" w14:textId="77777777" w:rsidR="00416D67" w:rsidRPr="00416D67" w:rsidRDefault="00416D67" w:rsidP="00416D67">
            <w:pPr>
              <w:jc w:val="right"/>
              <w:rPr>
                <w:color w:val="000000"/>
                <w:sz w:val="16"/>
                <w:szCs w:val="16"/>
              </w:rPr>
            </w:pPr>
            <w:r w:rsidRPr="00416D67">
              <w:rPr>
                <w:color w:val="000000"/>
                <w:sz w:val="16"/>
                <w:szCs w:val="16"/>
              </w:rPr>
              <w:t>119,23%</w:t>
            </w:r>
          </w:p>
        </w:tc>
        <w:tc>
          <w:tcPr>
            <w:tcW w:w="1060" w:type="dxa"/>
            <w:tcBorders>
              <w:top w:val="nil"/>
              <w:left w:val="nil"/>
              <w:bottom w:val="single" w:sz="4" w:space="0" w:color="auto"/>
              <w:right w:val="single" w:sz="4" w:space="0" w:color="auto"/>
            </w:tcBorders>
            <w:vAlign w:val="center"/>
            <w:hideMark/>
          </w:tcPr>
          <w:p w14:paraId="74BB7319" w14:textId="77777777" w:rsidR="00416D67" w:rsidRPr="00416D67" w:rsidRDefault="00416D67" w:rsidP="00416D67">
            <w:pPr>
              <w:jc w:val="right"/>
              <w:rPr>
                <w:color w:val="000000"/>
                <w:sz w:val="16"/>
                <w:szCs w:val="16"/>
              </w:rPr>
            </w:pPr>
            <w:r w:rsidRPr="00416D67">
              <w:rPr>
                <w:color w:val="000000"/>
                <w:sz w:val="16"/>
                <w:szCs w:val="16"/>
              </w:rPr>
              <w:t>2,87%</w:t>
            </w:r>
          </w:p>
        </w:tc>
      </w:tr>
      <w:tr w:rsidR="00416D67" w:rsidRPr="00416D67" w14:paraId="491472EF" w14:textId="77777777" w:rsidTr="00BB1392">
        <w:trPr>
          <w:trHeight w:val="675"/>
        </w:trPr>
        <w:tc>
          <w:tcPr>
            <w:tcW w:w="460" w:type="dxa"/>
            <w:tcBorders>
              <w:top w:val="nil"/>
              <w:left w:val="single" w:sz="4" w:space="0" w:color="auto"/>
              <w:bottom w:val="single" w:sz="4" w:space="0" w:color="auto"/>
              <w:right w:val="single" w:sz="4" w:space="0" w:color="auto"/>
            </w:tcBorders>
            <w:vAlign w:val="center"/>
            <w:hideMark/>
          </w:tcPr>
          <w:p w14:paraId="458FC533" w14:textId="77777777" w:rsidR="00416D67" w:rsidRPr="00416D67" w:rsidRDefault="00416D67" w:rsidP="00416D67">
            <w:pPr>
              <w:rPr>
                <w:color w:val="000000"/>
                <w:sz w:val="16"/>
                <w:szCs w:val="16"/>
              </w:rPr>
            </w:pPr>
            <w:r w:rsidRPr="00416D67">
              <w:rPr>
                <w:color w:val="000000"/>
                <w:sz w:val="16"/>
                <w:szCs w:val="16"/>
              </w:rPr>
              <w:t>65</w:t>
            </w:r>
          </w:p>
        </w:tc>
        <w:tc>
          <w:tcPr>
            <w:tcW w:w="3160" w:type="dxa"/>
            <w:tcBorders>
              <w:top w:val="nil"/>
              <w:left w:val="nil"/>
              <w:bottom w:val="single" w:sz="4" w:space="0" w:color="auto"/>
              <w:right w:val="single" w:sz="4" w:space="0" w:color="auto"/>
            </w:tcBorders>
            <w:vAlign w:val="center"/>
            <w:hideMark/>
          </w:tcPr>
          <w:p w14:paraId="378D09E6" w14:textId="77777777" w:rsidR="00416D67" w:rsidRPr="00416D67" w:rsidRDefault="00416D67" w:rsidP="00416D67">
            <w:pPr>
              <w:rPr>
                <w:color w:val="000000"/>
                <w:sz w:val="16"/>
                <w:szCs w:val="16"/>
              </w:rPr>
            </w:pPr>
            <w:r w:rsidRPr="00416D67">
              <w:rPr>
                <w:color w:val="000000"/>
                <w:sz w:val="16"/>
                <w:szCs w:val="16"/>
              </w:rPr>
              <w:t>Prihodi od upravnih i administrativnih pristojbi, pristojbi po posebnim propisima i naknada</w:t>
            </w:r>
          </w:p>
        </w:tc>
        <w:tc>
          <w:tcPr>
            <w:tcW w:w="1060" w:type="dxa"/>
            <w:tcBorders>
              <w:top w:val="nil"/>
              <w:left w:val="nil"/>
              <w:bottom w:val="single" w:sz="4" w:space="0" w:color="auto"/>
              <w:right w:val="single" w:sz="4" w:space="0" w:color="auto"/>
            </w:tcBorders>
            <w:vAlign w:val="center"/>
            <w:hideMark/>
          </w:tcPr>
          <w:p w14:paraId="38C18443" w14:textId="77777777" w:rsidR="00416D67" w:rsidRPr="00416D67" w:rsidRDefault="00416D67" w:rsidP="00416D67">
            <w:pPr>
              <w:jc w:val="right"/>
              <w:rPr>
                <w:color w:val="000000"/>
                <w:sz w:val="16"/>
                <w:szCs w:val="16"/>
              </w:rPr>
            </w:pPr>
            <w:r w:rsidRPr="00416D67">
              <w:rPr>
                <w:color w:val="000000"/>
                <w:sz w:val="16"/>
                <w:szCs w:val="16"/>
              </w:rPr>
              <w:t>1.253.878,11</w:t>
            </w:r>
          </w:p>
        </w:tc>
        <w:tc>
          <w:tcPr>
            <w:tcW w:w="1060" w:type="dxa"/>
            <w:tcBorders>
              <w:top w:val="nil"/>
              <w:left w:val="nil"/>
              <w:bottom w:val="single" w:sz="4" w:space="0" w:color="auto"/>
              <w:right w:val="single" w:sz="4" w:space="0" w:color="auto"/>
            </w:tcBorders>
            <w:vAlign w:val="center"/>
            <w:hideMark/>
          </w:tcPr>
          <w:p w14:paraId="72FBD1A8" w14:textId="77777777" w:rsidR="00416D67" w:rsidRPr="00416D67" w:rsidRDefault="00416D67" w:rsidP="00416D67">
            <w:pPr>
              <w:jc w:val="right"/>
              <w:rPr>
                <w:color w:val="000000"/>
                <w:sz w:val="16"/>
                <w:szCs w:val="16"/>
              </w:rPr>
            </w:pPr>
            <w:r w:rsidRPr="00416D67">
              <w:rPr>
                <w:color w:val="000000"/>
                <w:sz w:val="16"/>
                <w:szCs w:val="16"/>
              </w:rPr>
              <w:t>1.289.743,03</w:t>
            </w:r>
          </w:p>
        </w:tc>
        <w:tc>
          <w:tcPr>
            <w:tcW w:w="1060" w:type="dxa"/>
            <w:tcBorders>
              <w:top w:val="nil"/>
              <w:left w:val="nil"/>
              <w:bottom w:val="single" w:sz="4" w:space="0" w:color="auto"/>
              <w:right w:val="single" w:sz="4" w:space="0" w:color="auto"/>
            </w:tcBorders>
            <w:vAlign w:val="center"/>
            <w:hideMark/>
          </w:tcPr>
          <w:p w14:paraId="41A719A2" w14:textId="77777777" w:rsidR="00416D67" w:rsidRPr="00416D67" w:rsidRDefault="00416D67" w:rsidP="00416D67">
            <w:pPr>
              <w:jc w:val="right"/>
              <w:rPr>
                <w:color w:val="000000"/>
                <w:sz w:val="16"/>
                <w:szCs w:val="16"/>
              </w:rPr>
            </w:pPr>
            <w:r w:rsidRPr="00416D67">
              <w:rPr>
                <w:color w:val="000000"/>
                <w:sz w:val="16"/>
                <w:szCs w:val="16"/>
              </w:rPr>
              <w:t>1.292.994,97</w:t>
            </w:r>
          </w:p>
        </w:tc>
        <w:tc>
          <w:tcPr>
            <w:tcW w:w="960" w:type="dxa"/>
            <w:tcBorders>
              <w:top w:val="nil"/>
              <w:left w:val="nil"/>
              <w:bottom w:val="single" w:sz="4" w:space="0" w:color="auto"/>
              <w:right w:val="single" w:sz="4" w:space="0" w:color="auto"/>
            </w:tcBorders>
            <w:vAlign w:val="center"/>
            <w:hideMark/>
          </w:tcPr>
          <w:p w14:paraId="428F4294" w14:textId="77777777" w:rsidR="00416D67" w:rsidRPr="00416D67" w:rsidRDefault="00416D67" w:rsidP="00416D67">
            <w:pPr>
              <w:jc w:val="right"/>
              <w:rPr>
                <w:color w:val="000000"/>
                <w:sz w:val="16"/>
                <w:szCs w:val="16"/>
              </w:rPr>
            </w:pPr>
            <w:r w:rsidRPr="00416D67">
              <w:rPr>
                <w:color w:val="000000"/>
                <w:sz w:val="16"/>
                <w:szCs w:val="16"/>
              </w:rPr>
              <w:t>100,25%</w:t>
            </w:r>
          </w:p>
        </w:tc>
        <w:tc>
          <w:tcPr>
            <w:tcW w:w="960" w:type="dxa"/>
            <w:tcBorders>
              <w:top w:val="nil"/>
              <w:left w:val="nil"/>
              <w:bottom w:val="single" w:sz="4" w:space="0" w:color="auto"/>
              <w:right w:val="single" w:sz="4" w:space="0" w:color="auto"/>
            </w:tcBorders>
            <w:vAlign w:val="center"/>
            <w:hideMark/>
          </w:tcPr>
          <w:p w14:paraId="0CFA02BB" w14:textId="77777777" w:rsidR="00416D67" w:rsidRPr="00416D67" w:rsidRDefault="00416D67" w:rsidP="00416D67">
            <w:pPr>
              <w:jc w:val="right"/>
              <w:rPr>
                <w:color w:val="000000"/>
                <w:sz w:val="16"/>
                <w:szCs w:val="16"/>
              </w:rPr>
            </w:pPr>
            <w:r w:rsidRPr="00416D67">
              <w:rPr>
                <w:color w:val="000000"/>
                <w:sz w:val="16"/>
                <w:szCs w:val="16"/>
              </w:rPr>
              <w:t>103,12%</w:t>
            </w:r>
          </w:p>
        </w:tc>
        <w:tc>
          <w:tcPr>
            <w:tcW w:w="1060" w:type="dxa"/>
            <w:tcBorders>
              <w:top w:val="nil"/>
              <w:left w:val="nil"/>
              <w:bottom w:val="single" w:sz="4" w:space="0" w:color="auto"/>
              <w:right w:val="single" w:sz="4" w:space="0" w:color="auto"/>
            </w:tcBorders>
            <w:vAlign w:val="center"/>
            <w:hideMark/>
          </w:tcPr>
          <w:p w14:paraId="6E47870A" w14:textId="77777777" w:rsidR="00416D67" w:rsidRPr="00416D67" w:rsidRDefault="00416D67" w:rsidP="00416D67">
            <w:pPr>
              <w:jc w:val="right"/>
              <w:rPr>
                <w:color w:val="000000"/>
                <w:sz w:val="16"/>
                <w:szCs w:val="16"/>
              </w:rPr>
            </w:pPr>
            <w:r w:rsidRPr="00416D67">
              <w:rPr>
                <w:color w:val="000000"/>
                <w:sz w:val="16"/>
                <w:szCs w:val="16"/>
              </w:rPr>
              <w:t>17,12%</w:t>
            </w:r>
          </w:p>
        </w:tc>
      </w:tr>
      <w:tr w:rsidR="00416D67" w:rsidRPr="00416D67" w14:paraId="1E636384" w14:textId="77777777" w:rsidTr="00BB1392">
        <w:trPr>
          <w:trHeight w:val="450"/>
        </w:trPr>
        <w:tc>
          <w:tcPr>
            <w:tcW w:w="460" w:type="dxa"/>
            <w:tcBorders>
              <w:top w:val="nil"/>
              <w:left w:val="single" w:sz="4" w:space="0" w:color="auto"/>
              <w:bottom w:val="single" w:sz="4" w:space="0" w:color="auto"/>
              <w:right w:val="single" w:sz="4" w:space="0" w:color="auto"/>
            </w:tcBorders>
            <w:vAlign w:val="center"/>
            <w:hideMark/>
          </w:tcPr>
          <w:p w14:paraId="308A0EAC" w14:textId="77777777" w:rsidR="00416D67" w:rsidRPr="00416D67" w:rsidRDefault="00416D67" w:rsidP="00416D67">
            <w:pPr>
              <w:rPr>
                <w:color w:val="000000"/>
                <w:sz w:val="16"/>
                <w:szCs w:val="16"/>
              </w:rPr>
            </w:pPr>
            <w:r w:rsidRPr="00416D67">
              <w:rPr>
                <w:color w:val="000000"/>
                <w:sz w:val="16"/>
                <w:szCs w:val="16"/>
              </w:rPr>
              <w:t>66</w:t>
            </w:r>
          </w:p>
        </w:tc>
        <w:tc>
          <w:tcPr>
            <w:tcW w:w="3160" w:type="dxa"/>
            <w:tcBorders>
              <w:top w:val="nil"/>
              <w:left w:val="nil"/>
              <w:bottom w:val="single" w:sz="4" w:space="0" w:color="auto"/>
              <w:right w:val="single" w:sz="4" w:space="0" w:color="auto"/>
            </w:tcBorders>
            <w:vAlign w:val="center"/>
            <w:hideMark/>
          </w:tcPr>
          <w:p w14:paraId="3B6199C7" w14:textId="77777777" w:rsidR="00416D67" w:rsidRPr="00416D67" w:rsidRDefault="00416D67" w:rsidP="00416D67">
            <w:pPr>
              <w:rPr>
                <w:color w:val="000000"/>
                <w:sz w:val="16"/>
                <w:szCs w:val="16"/>
              </w:rPr>
            </w:pPr>
            <w:r w:rsidRPr="00416D67">
              <w:rPr>
                <w:color w:val="000000"/>
                <w:sz w:val="16"/>
                <w:szCs w:val="16"/>
              </w:rPr>
              <w:t>Prihodi od prodaje proizvoda i robe te pruženih usluga i prihodi od donacija</w:t>
            </w:r>
          </w:p>
        </w:tc>
        <w:tc>
          <w:tcPr>
            <w:tcW w:w="1060" w:type="dxa"/>
            <w:tcBorders>
              <w:top w:val="nil"/>
              <w:left w:val="nil"/>
              <w:bottom w:val="single" w:sz="4" w:space="0" w:color="auto"/>
              <w:right w:val="single" w:sz="4" w:space="0" w:color="auto"/>
            </w:tcBorders>
            <w:vAlign w:val="center"/>
            <w:hideMark/>
          </w:tcPr>
          <w:p w14:paraId="2A553119" w14:textId="77777777" w:rsidR="00416D67" w:rsidRPr="00416D67" w:rsidRDefault="00416D67" w:rsidP="00416D67">
            <w:pPr>
              <w:jc w:val="right"/>
              <w:rPr>
                <w:color w:val="000000"/>
                <w:sz w:val="16"/>
                <w:szCs w:val="16"/>
              </w:rPr>
            </w:pPr>
            <w:r w:rsidRPr="00416D67">
              <w:rPr>
                <w:color w:val="000000"/>
                <w:sz w:val="16"/>
                <w:szCs w:val="16"/>
              </w:rPr>
              <w:t>46.294,05</w:t>
            </w:r>
          </w:p>
        </w:tc>
        <w:tc>
          <w:tcPr>
            <w:tcW w:w="1060" w:type="dxa"/>
            <w:tcBorders>
              <w:top w:val="nil"/>
              <w:left w:val="nil"/>
              <w:bottom w:val="single" w:sz="4" w:space="0" w:color="auto"/>
              <w:right w:val="single" w:sz="4" w:space="0" w:color="auto"/>
            </w:tcBorders>
            <w:vAlign w:val="center"/>
            <w:hideMark/>
          </w:tcPr>
          <w:p w14:paraId="214962B4" w14:textId="77777777" w:rsidR="00416D67" w:rsidRPr="00416D67" w:rsidRDefault="00416D67" w:rsidP="00416D67">
            <w:pPr>
              <w:jc w:val="right"/>
              <w:rPr>
                <w:color w:val="000000"/>
                <w:sz w:val="16"/>
                <w:szCs w:val="16"/>
              </w:rPr>
            </w:pPr>
            <w:r w:rsidRPr="00416D67">
              <w:rPr>
                <w:color w:val="000000"/>
                <w:sz w:val="16"/>
                <w:szCs w:val="16"/>
              </w:rPr>
              <w:t>42.900,20</w:t>
            </w:r>
          </w:p>
        </w:tc>
        <w:tc>
          <w:tcPr>
            <w:tcW w:w="1060" w:type="dxa"/>
            <w:tcBorders>
              <w:top w:val="nil"/>
              <w:left w:val="nil"/>
              <w:bottom w:val="single" w:sz="4" w:space="0" w:color="auto"/>
              <w:right w:val="single" w:sz="4" w:space="0" w:color="auto"/>
            </w:tcBorders>
            <w:vAlign w:val="center"/>
            <w:hideMark/>
          </w:tcPr>
          <w:p w14:paraId="175C45F8" w14:textId="77777777" w:rsidR="00416D67" w:rsidRPr="00416D67" w:rsidRDefault="00416D67" w:rsidP="00416D67">
            <w:pPr>
              <w:jc w:val="right"/>
              <w:rPr>
                <w:color w:val="000000"/>
                <w:sz w:val="16"/>
                <w:szCs w:val="16"/>
              </w:rPr>
            </w:pPr>
            <w:r w:rsidRPr="00416D67">
              <w:rPr>
                <w:color w:val="000000"/>
                <w:sz w:val="16"/>
                <w:szCs w:val="16"/>
              </w:rPr>
              <w:t>40.914,92</w:t>
            </w:r>
          </w:p>
        </w:tc>
        <w:tc>
          <w:tcPr>
            <w:tcW w:w="960" w:type="dxa"/>
            <w:tcBorders>
              <w:top w:val="nil"/>
              <w:left w:val="nil"/>
              <w:bottom w:val="single" w:sz="4" w:space="0" w:color="auto"/>
              <w:right w:val="single" w:sz="4" w:space="0" w:color="auto"/>
            </w:tcBorders>
            <w:vAlign w:val="center"/>
            <w:hideMark/>
          </w:tcPr>
          <w:p w14:paraId="49F505DF" w14:textId="77777777" w:rsidR="00416D67" w:rsidRPr="00416D67" w:rsidRDefault="00416D67" w:rsidP="00416D67">
            <w:pPr>
              <w:jc w:val="right"/>
              <w:rPr>
                <w:color w:val="000000"/>
                <w:sz w:val="16"/>
                <w:szCs w:val="16"/>
              </w:rPr>
            </w:pPr>
            <w:r w:rsidRPr="00416D67">
              <w:rPr>
                <w:color w:val="000000"/>
                <w:sz w:val="16"/>
                <w:szCs w:val="16"/>
              </w:rPr>
              <w:t>95,37%</w:t>
            </w:r>
          </w:p>
        </w:tc>
        <w:tc>
          <w:tcPr>
            <w:tcW w:w="960" w:type="dxa"/>
            <w:tcBorders>
              <w:top w:val="nil"/>
              <w:left w:val="nil"/>
              <w:bottom w:val="single" w:sz="4" w:space="0" w:color="auto"/>
              <w:right w:val="single" w:sz="4" w:space="0" w:color="auto"/>
            </w:tcBorders>
            <w:vAlign w:val="center"/>
            <w:hideMark/>
          </w:tcPr>
          <w:p w14:paraId="57EF207D" w14:textId="77777777" w:rsidR="00416D67" w:rsidRPr="00416D67" w:rsidRDefault="00416D67" w:rsidP="00416D67">
            <w:pPr>
              <w:jc w:val="right"/>
              <w:rPr>
                <w:color w:val="000000"/>
                <w:sz w:val="16"/>
                <w:szCs w:val="16"/>
              </w:rPr>
            </w:pPr>
            <w:r w:rsidRPr="00416D67">
              <w:rPr>
                <w:color w:val="000000"/>
                <w:sz w:val="16"/>
                <w:szCs w:val="16"/>
              </w:rPr>
              <w:t>88,38%</w:t>
            </w:r>
          </w:p>
        </w:tc>
        <w:tc>
          <w:tcPr>
            <w:tcW w:w="1060" w:type="dxa"/>
            <w:tcBorders>
              <w:top w:val="nil"/>
              <w:left w:val="nil"/>
              <w:bottom w:val="single" w:sz="4" w:space="0" w:color="auto"/>
              <w:right w:val="single" w:sz="4" w:space="0" w:color="auto"/>
            </w:tcBorders>
            <w:vAlign w:val="center"/>
            <w:hideMark/>
          </w:tcPr>
          <w:p w14:paraId="0BBE4B82" w14:textId="77777777" w:rsidR="00416D67" w:rsidRPr="00416D67" w:rsidRDefault="00416D67" w:rsidP="00416D67">
            <w:pPr>
              <w:jc w:val="right"/>
              <w:rPr>
                <w:color w:val="000000"/>
                <w:sz w:val="16"/>
                <w:szCs w:val="16"/>
              </w:rPr>
            </w:pPr>
            <w:r w:rsidRPr="00416D67">
              <w:rPr>
                <w:color w:val="000000"/>
                <w:sz w:val="16"/>
                <w:szCs w:val="16"/>
              </w:rPr>
              <w:t>0,54%</w:t>
            </w:r>
          </w:p>
        </w:tc>
      </w:tr>
      <w:tr w:rsidR="00416D67" w:rsidRPr="00416D67" w14:paraId="12C524EA" w14:textId="77777777" w:rsidTr="00BB1392">
        <w:trPr>
          <w:trHeight w:val="300"/>
        </w:trPr>
        <w:tc>
          <w:tcPr>
            <w:tcW w:w="460" w:type="dxa"/>
            <w:tcBorders>
              <w:top w:val="nil"/>
              <w:left w:val="single" w:sz="4" w:space="0" w:color="auto"/>
              <w:bottom w:val="single" w:sz="4" w:space="0" w:color="auto"/>
              <w:right w:val="single" w:sz="4" w:space="0" w:color="auto"/>
            </w:tcBorders>
            <w:vAlign w:val="center"/>
            <w:hideMark/>
          </w:tcPr>
          <w:p w14:paraId="65ED75A6" w14:textId="77777777" w:rsidR="00416D67" w:rsidRPr="00416D67" w:rsidRDefault="00416D67" w:rsidP="00416D67">
            <w:pPr>
              <w:rPr>
                <w:color w:val="000000"/>
                <w:sz w:val="16"/>
                <w:szCs w:val="16"/>
              </w:rPr>
            </w:pPr>
            <w:r w:rsidRPr="00416D67">
              <w:rPr>
                <w:color w:val="000000"/>
                <w:sz w:val="16"/>
                <w:szCs w:val="16"/>
              </w:rPr>
              <w:t>68</w:t>
            </w:r>
          </w:p>
        </w:tc>
        <w:tc>
          <w:tcPr>
            <w:tcW w:w="3160" w:type="dxa"/>
            <w:tcBorders>
              <w:top w:val="nil"/>
              <w:left w:val="nil"/>
              <w:bottom w:val="single" w:sz="4" w:space="0" w:color="auto"/>
              <w:right w:val="single" w:sz="4" w:space="0" w:color="auto"/>
            </w:tcBorders>
            <w:vAlign w:val="center"/>
            <w:hideMark/>
          </w:tcPr>
          <w:p w14:paraId="61C75212" w14:textId="77777777" w:rsidR="00416D67" w:rsidRPr="00416D67" w:rsidRDefault="00416D67" w:rsidP="00416D67">
            <w:pPr>
              <w:rPr>
                <w:color w:val="000000"/>
                <w:sz w:val="16"/>
                <w:szCs w:val="16"/>
              </w:rPr>
            </w:pPr>
            <w:r w:rsidRPr="00416D67">
              <w:rPr>
                <w:color w:val="000000"/>
                <w:sz w:val="16"/>
                <w:szCs w:val="16"/>
              </w:rPr>
              <w:t>Kazne, upravne mjere i ostali prihodi</w:t>
            </w:r>
          </w:p>
        </w:tc>
        <w:tc>
          <w:tcPr>
            <w:tcW w:w="1060" w:type="dxa"/>
            <w:tcBorders>
              <w:top w:val="nil"/>
              <w:left w:val="nil"/>
              <w:bottom w:val="single" w:sz="4" w:space="0" w:color="auto"/>
              <w:right w:val="single" w:sz="4" w:space="0" w:color="auto"/>
            </w:tcBorders>
            <w:vAlign w:val="center"/>
            <w:hideMark/>
          </w:tcPr>
          <w:p w14:paraId="36A4648A" w14:textId="77777777" w:rsidR="00416D67" w:rsidRPr="00416D67" w:rsidRDefault="00416D67" w:rsidP="00416D67">
            <w:pPr>
              <w:jc w:val="right"/>
              <w:rPr>
                <w:color w:val="000000"/>
                <w:sz w:val="16"/>
                <w:szCs w:val="16"/>
              </w:rPr>
            </w:pPr>
            <w:r w:rsidRPr="00416D67">
              <w:rPr>
                <w:color w:val="000000"/>
                <w:sz w:val="16"/>
                <w:szCs w:val="16"/>
              </w:rPr>
              <w:t>555,00</w:t>
            </w:r>
          </w:p>
        </w:tc>
        <w:tc>
          <w:tcPr>
            <w:tcW w:w="1060" w:type="dxa"/>
            <w:tcBorders>
              <w:top w:val="nil"/>
              <w:left w:val="nil"/>
              <w:bottom w:val="single" w:sz="4" w:space="0" w:color="auto"/>
              <w:right w:val="single" w:sz="4" w:space="0" w:color="auto"/>
            </w:tcBorders>
            <w:vAlign w:val="center"/>
            <w:hideMark/>
          </w:tcPr>
          <w:p w14:paraId="5BB1E077" w14:textId="77777777" w:rsidR="00416D67" w:rsidRPr="00416D67" w:rsidRDefault="00416D67" w:rsidP="00416D67">
            <w:pPr>
              <w:jc w:val="right"/>
              <w:rPr>
                <w:color w:val="000000"/>
                <w:sz w:val="16"/>
                <w:szCs w:val="16"/>
              </w:rPr>
            </w:pPr>
            <w:r w:rsidRPr="00416D67">
              <w:rPr>
                <w:color w:val="000000"/>
                <w:sz w:val="16"/>
                <w:szCs w:val="16"/>
              </w:rPr>
              <w:t>1.230,00</w:t>
            </w:r>
          </w:p>
        </w:tc>
        <w:tc>
          <w:tcPr>
            <w:tcW w:w="1060" w:type="dxa"/>
            <w:tcBorders>
              <w:top w:val="nil"/>
              <w:left w:val="nil"/>
              <w:bottom w:val="single" w:sz="4" w:space="0" w:color="auto"/>
              <w:right w:val="single" w:sz="4" w:space="0" w:color="auto"/>
            </w:tcBorders>
            <w:vAlign w:val="center"/>
            <w:hideMark/>
          </w:tcPr>
          <w:p w14:paraId="51FD295E" w14:textId="77777777" w:rsidR="00416D67" w:rsidRPr="00416D67" w:rsidRDefault="00416D67" w:rsidP="00416D67">
            <w:pPr>
              <w:jc w:val="right"/>
              <w:rPr>
                <w:color w:val="000000"/>
                <w:sz w:val="16"/>
                <w:szCs w:val="16"/>
              </w:rPr>
            </w:pPr>
            <w:r w:rsidRPr="00416D67">
              <w:rPr>
                <w:color w:val="000000"/>
                <w:sz w:val="16"/>
                <w:szCs w:val="16"/>
              </w:rPr>
              <w:t>1.260,00</w:t>
            </w:r>
          </w:p>
        </w:tc>
        <w:tc>
          <w:tcPr>
            <w:tcW w:w="960" w:type="dxa"/>
            <w:tcBorders>
              <w:top w:val="nil"/>
              <w:left w:val="nil"/>
              <w:bottom w:val="single" w:sz="4" w:space="0" w:color="auto"/>
              <w:right w:val="single" w:sz="4" w:space="0" w:color="auto"/>
            </w:tcBorders>
            <w:vAlign w:val="center"/>
            <w:hideMark/>
          </w:tcPr>
          <w:p w14:paraId="7828E9D0" w14:textId="77777777" w:rsidR="00416D67" w:rsidRPr="00416D67" w:rsidRDefault="00416D67" w:rsidP="00416D67">
            <w:pPr>
              <w:jc w:val="right"/>
              <w:rPr>
                <w:color w:val="000000"/>
                <w:sz w:val="16"/>
                <w:szCs w:val="16"/>
              </w:rPr>
            </w:pPr>
            <w:r w:rsidRPr="00416D67">
              <w:rPr>
                <w:color w:val="000000"/>
                <w:sz w:val="16"/>
                <w:szCs w:val="16"/>
              </w:rPr>
              <w:t>102,44%</w:t>
            </w:r>
          </w:p>
        </w:tc>
        <w:tc>
          <w:tcPr>
            <w:tcW w:w="960" w:type="dxa"/>
            <w:tcBorders>
              <w:top w:val="nil"/>
              <w:left w:val="nil"/>
              <w:bottom w:val="single" w:sz="4" w:space="0" w:color="auto"/>
              <w:right w:val="single" w:sz="4" w:space="0" w:color="auto"/>
            </w:tcBorders>
            <w:vAlign w:val="center"/>
            <w:hideMark/>
          </w:tcPr>
          <w:p w14:paraId="549EDBA1" w14:textId="77777777" w:rsidR="00416D67" w:rsidRPr="00416D67" w:rsidRDefault="00416D67" w:rsidP="00416D67">
            <w:pPr>
              <w:jc w:val="right"/>
              <w:rPr>
                <w:color w:val="000000"/>
                <w:sz w:val="16"/>
                <w:szCs w:val="16"/>
              </w:rPr>
            </w:pPr>
            <w:r w:rsidRPr="00416D67">
              <w:rPr>
                <w:color w:val="000000"/>
                <w:sz w:val="16"/>
                <w:szCs w:val="16"/>
              </w:rPr>
              <w:t>227,03%</w:t>
            </w:r>
          </w:p>
        </w:tc>
        <w:tc>
          <w:tcPr>
            <w:tcW w:w="1060" w:type="dxa"/>
            <w:tcBorders>
              <w:top w:val="nil"/>
              <w:left w:val="nil"/>
              <w:bottom w:val="single" w:sz="4" w:space="0" w:color="auto"/>
              <w:right w:val="single" w:sz="4" w:space="0" w:color="auto"/>
            </w:tcBorders>
            <w:vAlign w:val="center"/>
            <w:hideMark/>
          </w:tcPr>
          <w:p w14:paraId="6D5C8E1F" w14:textId="77777777" w:rsidR="00416D67" w:rsidRPr="00416D67" w:rsidRDefault="00416D67" w:rsidP="00416D67">
            <w:pPr>
              <w:jc w:val="right"/>
              <w:rPr>
                <w:color w:val="000000"/>
                <w:sz w:val="16"/>
                <w:szCs w:val="16"/>
              </w:rPr>
            </w:pPr>
            <w:r w:rsidRPr="00416D67">
              <w:rPr>
                <w:color w:val="000000"/>
                <w:sz w:val="16"/>
                <w:szCs w:val="16"/>
              </w:rPr>
              <w:t>0,02%</w:t>
            </w:r>
          </w:p>
        </w:tc>
      </w:tr>
      <w:tr w:rsidR="00416D67" w:rsidRPr="00416D67" w14:paraId="21626648" w14:textId="77777777" w:rsidTr="00BB1392">
        <w:trPr>
          <w:trHeight w:val="420"/>
        </w:trPr>
        <w:tc>
          <w:tcPr>
            <w:tcW w:w="460" w:type="dxa"/>
            <w:tcBorders>
              <w:top w:val="nil"/>
              <w:left w:val="single" w:sz="4" w:space="0" w:color="auto"/>
              <w:bottom w:val="single" w:sz="4" w:space="0" w:color="auto"/>
              <w:right w:val="single" w:sz="4" w:space="0" w:color="auto"/>
            </w:tcBorders>
            <w:vAlign w:val="center"/>
            <w:hideMark/>
          </w:tcPr>
          <w:p w14:paraId="3025DCFB" w14:textId="77777777" w:rsidR="00416D67" w:rsidRPr="00416D67" w:rsidRDefault="00416D67" w:rsidP="00416D67">
            <w:pPr>
              <w:rPr>
                <w:b/>
                <w:bCs/>
                <w:color w:val="000000"/>
                <w:sz w:val="16"/>
                <w:szCs w:val="16"/>
              </w:rPr>
            </w:pPr>
            <w:r w:rsidRPr="00416D67">
              <w:rPr>
                <w:b/>
                <w:bCs/>
                <w:color w:val="000000"/>
                <w:sz w:val="16"/>
                <w:szCs w:val="16"/>
              </w:rPr>
              <w:t>7</w:t>
            </w:r>
          </w:p>
        </w:tc>
        <w:tc>
          <w:tcPr>
            <w:tcW w:w="3160" w:type="dxa"/>
            <w:tcBorders>
              <w:top w:val="nil"/>
              <w:left w:val="nil"/>
              <w:bottom w:val="single" w:sz="4" w:space="0" w:color="auto"/>
              <w:right w:val="single" w:sz="4" w:space="0" w:color="auto"/>
            </w:tcBorders>
            <w:vAlign w:val="center"/>
            <w:hideMark/>
          </w:tcPr>
          <w:p w14:paraId="379B56F6" w14:textId="77777777" w:rsidR="00416D67" w:rsidRPr="00416D67" w:rsidRDefault="00416D67" w:rsidP="00416D67">
            <w:pPr>
              <w:rPr>
                <w:b/>
                <w:bCs/>
                <w:color w:val="000000"/>
                <w:sz w:val="16"/>
                <w:szCs w:val="16"/>
              </w:rPr>
            </w:pPr>
            <w:r w:rsidRPr="00416D67">
              <w:rPr>
                <w:b/>
                <w:bCs/>
                <w:color w:val="000000"/>
                <w:sz w:val="16"/>
                <w:szCs w:val="16"/>
              </w:rPr>
              <w:t>Prihodi od prodaje nefinancijske imovine</w:t>
            </w:r>
          </w:p>
        </w:tc>
        <w:tc>
          <w:tcPr>
            <w:tcW w:w="1060" w:type="dxa"/>
            <w:tcBorders>
              <w:top w:val="nil"/>
              <w:left w:val="nil"/>
              <w:bottom w:val="single" w:sz="4" w:space="0" w:color="auto"/>
              <w:right w:val="single" w:sz="4" w:space="0" w:color="auto"/>
            </w:tcBorders>
            <w:vAlign w:val="center"/>
            <w:hideMark/>
          </w:tcPr>
          <w:p w14:paraId="5D63E3AC" w14:textId="77777777" w:rsidR="00416D67" w:rsidRPr="00416D67" w:rsidRDefault="00416D67" w:rsidP="00416D67">
            <w:pPr>
              <w:jc w:val="right"/>
              <w:rPr>
                <w:b/>
                <w:bCs/>
                <w:color w:val="000000"/>
                <w:sz w:val="16"/>
                <w:szCs w:val="16"/>
              </w:rPr>
            </w:pPr>
            <w:r w:rsidRPr="00416D67">
              <w:rPr>
                <w:b/>
                <w:bCs/>
                <w:color w:val="000000"/>
                <w:sz w:val="16"/>
                <w:szCs w:val="16"/>
              </w:rPr>
              <w:t>8.886,01</w:t>
            </w:r>
          </w:p>
        </w:tc>
        <w:tc>
          <w:tcPr>
            <w:tcW w:w="1060" w:type="dxa"/>
            <w:tcBorders>
              <w:top w:val="nil"/>
              <w:left w:val="nil"/>
              <w:bottom w:val="single" w:sz="4" w:space="0" w:color="auto"/>
              <w:right w:val="single" w:sz="4" w:space="0" w:color="auto"/>
            </w:tcBorders>
            <w:vAlign w:val="center"/>
            <w:hideMark/>
          </w:tcPr>
          <w:p w14:paraId="5C222230" w14:textId="77777777" w:rsidR="00416D67" w:rsidRPr="00416D67" w:rsidRDefault="00416D67" w:rsidP="00416D67">
            <w:pPr>
              <w:jc w:val="right"/>
              <w:rPr>
                <w:b/>
                <w:bCs/>
                <w:color w:val="000000"/>
                <w:sz w:val="16"/>
                <w:szCs w:val="16"/>
              </w:rPr>
            </w:pPr>
            <w:r w:rsidRPr="00416D67">
              <w:rPr>
                <w:b/>
                <w:bCs/>
                <w:color w:val="000000"/>
                <w:sz w:val="16"/>
                <w:szCs w:val="16"/>
              </w:rPr>
              <w:t>1.683.370,00</w:t>
            </w:r>
          </w:p>
        </w:tc>
        <w:tc>
          <w:tcPr>
            <w:tcW w:w="1060" w:type="dxa"/>
            <w:tcBorders>
              <w:top w:val="nil"/>
              <w:left w:val="nil"/>
              <w:bottom w:val="single" w:sz="4" w:space="0" w:color="auto"/>
              <w:right w:val="single" w:sz="4" w:space="0" w:color="auto"/>
            </w:tcBorders>
            <w:vAlign w:val="center"/>
            <w:hideMark/>
          </w:tcPr>
          <w:p w14:paraId="24866A13" w14:textId="77777777" w:rsidR="00416D67" w:rsidRPr="00416D67" w:rsidRDefault="00416D67" w:rsidP="00416D67">
            <w:pPr>
              <w:jc w:val="right"/>
              <w:rPr>
                <w:b/>
                <w:bCs/>
                <w:color w:val="000000"/>
                <w:sz w:val="16"/>
                <w:szCs w:val="16"/>
              </w:rPr>
            </w:pPr>
            <w:r w:rsidRPr="00416D67">
              <w:rPr>
                <w:b/>
                <w:bCs/>
                <w:color w:val="000000"/>
                <w:sz w:val="16"/>
                <w:szCs w:val="16"/>
              </w:rPr>
              <w:t>1.632.646,65</w:t>
            </w:r>
          </w:p>
        </w:tc>
        <w:tc>
          <w:tcPr>
            <w:tcW w:w="960" w:type="dxa"/>
            <w:tcBorders>
              <w:top w:val="nil"/>
              <w:left w:val="nil"/>
              <w:bottom w:val="single" w:sz="4" w:space="0" w:color="auto"/>
              <w:right w:val="single" w:sz="4" w:space="0" w:color="auto"/>
            </w:tcBorders>
            <w:vAlign w:val="center"/>
            <w:hideMark/>
          </w:tcPr>
          <w:p w14:paraId="53A01E30" w14:textId="77777777" w:rsidR="00416D67" w:rsidRPr="00416D67" w:rsidRDefault="00416D67" w:rsidP="00416D67">
            <w:pPr>
              <w:jc w:val="right"/>
              <w:rPr>
                <w:b/>
                <w:bCs/>
                <w:color w:val="000000"/>
                <w:sz w:val="16"/>
                <w:szCs w:val="16"/>
              </w:rPr>
            </w:pPr>
            <w:r w:rsidRPr="00416D67">
              <w:rPr>
                <w:b/>
                <w:bCs/>
                <w:color w:val="000000"/>
                <w:sz w:val="16"/>
                <w:szCs w:val="16"/>
              </w:rPr>
              <w:t>96,99%</w:t>
            </w:r>
          </w:p>
        </w:tc>
        <w:tc>
          <w:tcPr>
            <w:tcW w:w="960" w:type="dxa"/>
            <w:tcBorders>
              <w:top w:val="nil"/>
              <w:left w:val="nil"/>
              <w:bottom w:val="single" w:sz="4" w:space="0" w:color="auto"/>
              <w:right w:val="single" w:sz="4" w:space="0" w:color="auto"/>
            </w:tcBorders>
            <w:vAlign w:val="center"/>
            <w:hideMark/>
          </w:tcPr>
          <w:p w14:paraId="40B2F59F" w14:textId="77777777" w:rsidR="00416D67" w:rsidRPr="00416D67" w:rsidRDefault="00416D67" w:rsidP="00416D67">
            <w:pPr>
              <w:jc w:val="right"/>
              <w:rPr>
                <w:b/>
                <w:bCs/>
                <w:color w:val="000000"/>
                <w:sz w:val="16"/>
                <w:szCs w:val="16"/>
              </w:rPr>
            </w:pPr>
            <w:r w:rsidRPr="00416D67">
              <w:rPr>
                <w:b/>
                <w:bCs/>
                <w:color w:val="000000"/>
                <w:sz w:val="16"/>
                <w:szCs w:val="16"/>
              </w:rPr>
              <w:t>18373,23%</w:t>
            </w:r>
          </w:p>
        </w:tc>
        <w:tc>
          <w:tcPr>
            <w:tcW w:w="1060" w:type="dxa"/>
            <w:tcBorders>
              <w:top w:val="nil"/>
              <w:left w:val="nil"/>
              <w:bottom w:val="single" w:sz="4" w:space="0" w:color="auto"/>
              <w:right w:val="single" w:sz="4" w:space="0" w:color="auto"/>
            </w:tcBorders>
            <w:vAlign w:val="center"/>
            <w:hideMark/>
          </w:tcPr>
          <w:p w14:paraId="2C85BAF7" w14:textId="77777777" w:rsidR="00416D67" w:rsidRPr="00416D67" w:rsidRDefault="00416D67" w:rsidP="00416D67">
            <w:pPr>
              <w:rPr>
                <w:b/>
                <w:bCs/>
                <w:color w:val="000000"/>
                <w:sz w:val="16"/>
                <w:szCs w:val="16"/>
              </w:rPr>
            </w:pPr>
            <w:r w:rsidRPr="00416D67">
              <w:rPr>
                <w:b/>
                <w:bCs/>
                <w:color w:val="000000"/>
                <w:sz w:val="16"/>
                <w:szCs w:val="16"/>
              </w:rPr>
              <w:t> </w:t>
            </w:r>
          </w:p>
        </w:tc>
      </w:tr>
      <w:tr w:rsidR="00416D67" w:rsidRPr="00416D67" w14:paraId="09BC7405" w14:textId="77777777" w:rsidTr="00BB1392">
        <w:trPr>
          <w:trHeight w:val="450"/>
        </w:trPr>
        <w:tc>
          <w:tcPr>
            <w:tcW w:w="460" w:type="dxa"/>
            <w:tcBorders>
              <w:top w:val="nil"/>
              <w:left w:val="single" w:sz="4" w:space="0" w:color="auto"/>
              <w:bottom w:val="single" w:sz="4" w:space="0" w:color="auto"/>
              <w:right w:val="single" w:sz="4" w:space="0" w:color="auto"/>
            </w:tcBorders>
            <w:vAlign w:val="center"/>
            <w:hideMark/>
          </w:tcPr>
          <w:p w14:paraId="56FA95BF" w14:textId="77777777" w:rsidR="00416D67" w:rsidRPr="00416D67" w:rsidRDefault="00416D67" w:rsidP="00416D67">
            <w:pPr>
              <w:rPr>
                <w:color w:val="000000"/>
                <w:sz w:val="16"/>
                <w:szCs w:val="16"/>
              </w:rPr>
            </w:pPr>
            <w:r w:rsidRPr="00416D67">
              <w:rPr>
                <w:color w:val="000000"/>
                <w:sz w:val="16"/>
                <w:szCs w:val="16"/>
              </w:rPr>
              <w:t>71</w:t>
            </w:r>
          </w:p>
        </w:tc>
        <w:tc>
          <w:tcPr>
            <w:tcW w:w="3160" w:type="dxa"/>
            <w:tcBorders>
              <w:top w:val="nil"/>
              <w:left w:val="nil"/>
              <w:bottom w:val="single" w:sz="4" w:space="0" w:color="auto"/>
              <w:right w:val="single" w:sz="4" w:space="0" w:color="auto"/>
            </w:tcBorders>
            <w:vAlign w:val="center"/>
            <w:hideMark/>
          </w:tcPr>
          <w:p w14:paraId="664FA610" w14:textId="77777777" w:rsidR="00416D67" w:rsidRPr="00416D67" w:rsidRDefault="00416D67" w:rsidP="00416D67">
            <w:pPr>
              <w:rPr>
                <w:color w:val="000000"/>
                <w:sz w:val="16"/>
                <w:szCs w:val="16"/>
              </w:rPr>
            </w:pPr>
            <w:r w:rsidRPr="00416D67">
              <w:rPr>
                <w:color w:val="000000"/>
                <w:sz w:val="16"/>
                <w:szCs w:val="16"/>
              </w:rPr>
              <w:t xml:space="preserve">Prihodi od prodaje </w:t>
            </w:r>
            <w:proofErr w:type="spellStart"/>
            <w:r w:rsidRPr="00416D67">
              <w:rPr>
                <w:color w:val="000000"/>
                <w:sz w:val="16"/>
                <w:szCs w:val="16"/>
              </w:rPr>
              <w:t>neproizvedene</w:t>
            </w:r>
            <w:proofErr w:type="spellEnd"/>
            <w:r w:rsidRPr="00416D67">
              <w:rPr>
                <w:color w:val="000000"/>
                <w:sz w:val="16"/>
                <w:szCs w:val="16"/>
              </w:rPr>
              <w:t xml:space="preserve"> dugotrajne imovine</w:t>
            </w:r>
          </w:p>
        </w:tc>
        <w:tc>
          <w:tcPr>
            <w:tcW w:w="1060" w:type="dxa"/>
            <w:tcBorders>
              <w:top w:val="nil"/>
              <w:left w:val="nil"/>
              <w:bottom w:val="single" w:sz="4" w:space="0" w:color="auto"/>
              <w:right w:val="single" w:sz="4" w:space="0" w:color="auto"/>
            </w:tcBorders>
            <w:vAlign w:val="center"/>
            <w:hideMark/>
          </w:tcPr>
          <w:p w14:paraId="18A2A050" w14:textId="77777777" w:rsidR="00416D67" w:rsidRPr="00416D67" w:rsidRDefault="00416D67" w:rsidP="00416D67">
            <w:pPr>
              <w:jc w:val="right"/>
              <w:rPr>
                <w:color w:val="000000"/>
                <w:sz w:val="16"/>
                <w:szCs w:val="16"/>
              </w:rPr>
            </w:pPr>
            <w:r w:rsidRPr="00416D67">
              <w:rPr>
                <w:color w:val="000000"/>
                <w:sz w:val="16"/>
                <w:szCs w:val="16"/>
              </w:rPr>
              <w:t>8.886,01</w:t>
            </w:r>
          </w:p>
        </w:tc>
        <w:tc>
          <w:tcPr>
            <w:tcW w:w="1060" w:type="dxa"/>
            <w:tcBorders>
              <w:top w:val="nil"/>
              <w:left w:val="nil"/>
              <w:bottom w:val="single" w:sz="4" w:space="0" w:color="auto"/>
              <w:right w:val="single" w:sz="4" w:space="0" w:color="auto"/>
            </w:tcBorders>
            <w:vAlign w:val="center"/>
            <w:hideMark/>
          </w:tcPr>
          <w:p w14:paraId="31ECD124" w14:textId="77777777" w:rsidR="00416D67" w:rsidRPr="00416D67" w:rsidRDefault="00416D67" w:rsidP="00416D67">
            <w:pPr>
              <w:jc w:val="right"/>
              <w:rPr>
                <w:color w:val="000000"/>
                <w:sz w:val="16"/>
                <w:szCs w:val="16"/>
              </w:rPr>
            </w:pPr>
            <w:r w:rsidRPr="00416D67">
              <w:rPr>
                <w:color w:val="000000"/>
                <w:sz w:val="16"/>
                <w:szCs w:val="16"/>
              </w:rPr>
              <w:t>1.683.370,00</w:t>
            </w:r>
          </w:p>
        </w:tc>
        <w:tc>
          <w:tcPr>
            <w:tcW w:w="1060" w:type="dxa"/>
            <w:tcBorders>
              <w:top w:val="nil"/>
              <w:left w:val="nil"/>
              <w:bottom w:val="single" w:sz="4" w:space="0" w:color="auto"/>
              <w:right w:val="single" w:sz="4" w:space="0" w:color="auto"/>
            </w:tcBorders>
            <w:vAlign w:val="center"/>
            <w:hideMark/>
          </w:tcPr>
          <w:p w14:paraId="65200EC5" w14:textId="77777777" w:rsidR="00416D67" w:rsidRPr="00416D67" w:rsidRDefault="00416D67" w:rsidP="00416D67">
            <w:pPr>
              <w:jc w:val="right"/>
              <w:rPr>
                <w:color w:val="000000"/>
                <w:sz w:val="16"/>
                <w:szCs w:val="16"/>
              </w:rPr>
            </w:pPr>
            <w:r w:rsidRPr="00416D67">
              <w:rPr>
                <w:color w:val="000000"/>
                <w:sz w:val="16"/>
                <w:szCs w:val="16"/>
              </w:rPr>
              <w:t>1.632.646,65</w:t>
            </w:r>
          </w:p>
        </w:tc>
        <w:tc>
          <w:tcPr>
            <w:tcW w:w="960" w:type="dxa"/>
            <w:tcBorders>
              <w:top w:val="nil"/>
              <w:left w:val="nil"/>
              <w:bottom w:val="single" w:sz="4" w:space="0" w:color="auto"/>
              <w:right w:val="single" w:sz="4" w:space="0" w:color="auto"/>
            </w:tcBorders>
            <w:vAlign w:val="center"/>
            <w:hideMark/>
          </w:tcPr>
          <w:p w14:paraId="19E37A5A" w14:textId="77777777" w:rsidR="00416D67" w:rsidRPr="00416D67" w:rsidRDefault="00416D67" w:rsidP="00416D67">
            <w:pPr>
              <w:jc w:val="right"/>
              <w:rPr>
                <w:color w:val="000000"/>
                <w:sz w:val="16"/>
                <w:szCs w:val="16"/>
              </w:rPr>
            </w:pPr>
            <w:r w:rsidRPr="00416D67">
              <w:rPr>
                <w:color w:val="000000"/>
                <w:sz w:val="16"/>
                <w:szCs w:val="16"/>
              </w:rPr>
              <w:t>96,99%</w:t>
            </w:r>
          </w:p>
        </w:tc>
        <w:tc>
          <w:tcPr>
            <w:tcW w:w="960" w:type="dxa"/>
            <w:tcBorders>
              <w:top w:val="nil"/>
              <w:left w:val="nil"/>
              <w:bottom w:val="single" w:sz="4" w:space="0" w:color="auto"/>
              <w:right w:val="single" w:sz="4" w:space="0" w:color="auto"/>
            </w:tcBorders>
            <w:vAlign w:val="center"/>
            <w:hideMark/>
          </w:tcPr>
          <w:p w14:paraId="46D99FEB" w14:textId="77777777" w:rsidR="00416D67" w:rsidRPr="00416D67" w:rsidRDefault="00416D67" w:rsidP="00416D67">
            <w:pPr>
              <w:jc w:val="right"/>
              <w:rPr>
                <w:color w:val="000000"/>
                <w:sz w:val="16"/>
                <w:szCs w:val="16"/>
              </w:rPr>
            </w:pPr>
            <w:r w:rsidRPr="00416D67">
              <w:rPr>
                <w:color w:val="000000"/>
                <w:sz w:val="16"/>
                <w:szCs w:val="16"/>
              </w:rPr>
              <w:t>18373,23%</w:t>
            </w:r>
          </w:p>
        </w:tc>
        <w:tc>
          <w:tcPr>
            <w:tcW w:w="1060" w:type="dxa"/>
            <w:tcBorders>
              <w:top w:val="nil"/>
              <w:left w:val="nil"/>
              <w:bottom w:val="single" w:sz="4" w:space="0" w:color="auto"/>
              <w:right w:val="single" w:sz="4" w:space="0" w:color="auto"/>
            </w:tcBorders>
            <w:vAlign w:val="center"/>
            <w:hideMark/>
          </w:tcPr>
          <w:p w14:paraId="25D8D051" w14:textId="77777777" w:rsidR="00416D67" w:rsidRPr="00416D67" w:rsidRDefault="00416D67" w:rsidP="00416D67">
            <w:pPr>
              <w:jc w:val="right"/>
              <w:rPr>
                <w:color w:val="000000"/>
                <w:sz w:val="16"/>
                <w:szCs w:val="16"/>
              </w:rPr>
            </w:pPr>
            <w:r w:rsidRPr="00416D67">
              <w:rPr>
                <w:color w:val="000000"/>
                <w:sz w:val="16"/>
                <w:szCs w:val="16"/>
              </w:rPr>
              <w:t>21,62%</w:t>
            </w:r>
          </w:p>
        </w:tc>
      </w:tr>
      <w:tr w:rsidR="00416D67" w:rsidRPr="00416D67" w14:paraId="57A382AA" w14:textId="77777777" w:rsidTr="00BB1392">
        <w:trPr>
          <w:trHeight w:val="420"/>
        </w:trPr>
        <w:tc>
          <w:tcPr>
            <w:tcW w:w="460" w:type="dxa"/>
            <w:tcBorders>
              <w:top w:val="nil"/>
              <w:left w:val="single" w:sz="4" w:space="0" w:color="auto"/>
              <w:bottom w:val="single" w:sz="4" w:space="0" w:color="auto"/>
              <w:right w:val="single" w:sz="4" w:space="0" w:color="auto"/>
            </w:tcBorders>
            <w:vAlign w:val="center"/>
            <w:hideMark/>
          </w:tcPr>
          <w:p w14:paraId="1DBB86F6" w14:textId="77777777" w:rsidR="00416D67" w:rsidRPr="00416D67" w:rsidRDefault="00416D67" w:rsidP="00416D67">
            <w:pPr>
              <w:rPr>
                <w:b/>
                <w:bCs/>
                <w:color w:val="000000"/>
                <w:sz w:val="16"/>
                <w:szCs w:val="16"/>
              </w:rPr>
            </w:pPr>
            <w:r w:rsidRPr="00416D67">
              <w:rPr>
                <w:b/>
                <w:bCs/>
                <w:color w:val="000000"/>
                <w:sz w:val="16"/>
                <w:szCs w:val="16"/>
              </w:rPr>
              <w:t>8</w:t>
            </w:r>
          </w:p>
        </w:tc>
        <w:tc>
          <w:tcPr>
            <w:tcW w:w="3160" w:type="dxa"/>
            <w:tcBorders>
              <w:top w:val="nil"/>
              <w:left w:val="nil"/>
              <w:bottom w:val="single" w:sz="4" w:space="0" w:color="auto"/>
              <w:right w:val="single" w:sz="4" w:space="0" w:color="auto"/>
            </w:tcBorders>
            <w:vAlign w:val="center"/>
            <w:hideMark/>
          </w:tcPr>
          <w:p w14:paraId="3E35461D" w14:textId="77777777" w:rsidR="00416D67" w:rsidRPr="00416D67" w:rsidRDefault="00416D67" w:rsidP="00416D67">
            <w:pPr>
              <w:rPr>
                <w:b/>
                <w:bCs/>
                <w:color w:val="000000"/>
                <w:sz w:val="16"/>
                <w:szCs w:val="16"/>
              </w:rPr>
            </w:pPr>
            <w:r w:rsidRPr="00416D67">
              <w:rPr>
                <w:b/>
                <w:bCs/>
                <w:color w:val="000000"/>
                <w:sz w:val="16"/>
                <w:szCs w:val="16"/>
              </w:rPr>
              <w:t>Primici od financijske imovine i zaduživanja</w:t>
            </w:r>
          </w:p>
        </w:tc>
        <w:tc>
          <w:tcPr>
            <w:tcW w:w="1060" w:type="dxa"/>
            <w:tcBorders>
              <w:top w:val="nil"/>
              <w:left w:val="nil"/>
              <w:bottom w:val="single" w:sz="4" w:space="0" w:color="auto"/>
              <w:right w:val="single" w:sz="4" w:space="0" w:color="auto"/>
            </w:tcBorders>
            <w:vAlign w:val="center"/>
            <w:hideMark/>
          </w:tcPr>
          <w:p w14:paraId="1CCF8999" w14:textId="77777777" w:rsidR="00416D67" w:rsidRPr="00416D67" w:rsidRDefault="00416D67" w:rsidP="00416D67">
            <w:pPr>
              <w:jc w:val="right"/>
              <w:rPr>
                <w:b/>
                <w:bCs/>
                <w:color w:val="000000"/>
                <w:sz w:val="16"/>
                <w:szCs w:val="16"/>
              </w:rPr>
            </w:pPr>
            <w:r w:rsidRPr="00416D67">
              <w:rPr>
                <w:b/>
                <w:bCs/>
                <w:color w:val="000000"/>
                <w:sz w:val="16"/>
                <w:szCs w:val="16"/>
              </w:rPr>
              <w:t>0,00</w:t>
            </w:r>
          </w:p>
        </w:tc>
        <w:tc>
          <w:tcPr>
            <w:tcW w:w="1060" w:type="dxa"/>
            <w:tcBorders>
              <w:top w:val="nil"/>
              <w:left w:val="nil"/>
              <w:bottom w:val="single" w:sz="4" w:space="0" w:color="auto"/>
              <w:right w:val="single" w:sz="4" w:space="0" w:color="auto"/>
            </w:tcBorders>
            <w:vAlign w:val="center"/>
            <w:hideMark/>
          </w:tcPr>
          <w:p w14:paraId="60DE7BDC" w14:textId="77777777" w:rsidR="00416D67" w:rsidRPr="00416D67" w:rsidRDefault="00416D67" w:rsidP="00416D67">
            <w:pPr>
              <w:jc w:val="right"/>
              <w:rPr>
                <w:b/>
                <w:bCs/>
                <w:color w:val="000000"/>
                <w:sz w:val="16"/>
                <w:szCs w:val="16"/>
              </w:rPr>
            </w:pPr>
            <w:r w:rsidRPr="00416D67">
              <w:rPr>
                <w:b/>
                <w:bCs/>
                <w:color w:val="000000"/>
                <w:sz w:val="16"/>
                <w:szCs w:val="16"/>
              </w:rPr>
              <w:t>70.000,00</w:t>
            </w:r>
          </w:p>
        </w:tc>
        <w:tc>
          <w:tcPr>
            <w:tcW w:w="1060" w:type="dxa"/>
            <w:tcBorders>
              <w:top w:val="nil"/>
              <w:left w:val="nil"/>
              <w:bottom w:val="single" w:sz="4" w:space="0" w:color="auto"/>
              <w:right w:val="single" w:sz="4" w:space="0" w:color="auto"/>
            </w:tcBorders>
            <w:vAlign w:val="center"/>
            <w:hideMark/>
          </w:tcPr>
          <w:p w14:paraId="5242997D" w14:textId="77777777" w:rsidR="00416D67" w:rsidRPr="00416D67" w:rsidRDefault="00416D67" w:rsidP="00416D67">
            <w:pPr>
              <w:jc w:val="right"/>
              <w:rPr>
                <w:b/>
                <w:bCs/>
                <w:color w:val="000000"/>
                <w:sz w:val="16"/>
                <w:szCs w:val="16"/>
              </w:rPr>
            </w:pPr>
            <w:r w:rsidRPr="00416D67">
              <w:rPr>
                <w:b/>
                <w:bCs/>
                <w:color w:val="000000"/>
                <w:sz w:val="16"/>
                <w:szCs w:val="16"/>
              </w:rPr>
              <w:t>42.776,75</w:t>
            </w:r>
          </w:p>
        </w:tc>
        <w:tc>
          <w:tcPr>
            <w:tcW w:w="960" w:type="dxa"/>
            <w:tcBorders>
              <w:top w:val="nil"/>
              <w:left w:val="nil"/>
              <w:bottom w:val="single" w:sz="4" w:space="0" w:color="auto"/>
              <w:right w:val="single" w:sz="4" w:space="0" w:color="auto"/>
            </w:tcBorders>
            <w:vAlign w:val="center"/>
            <w:hideMark/>
          </w:tcPr>
          <w:p w14:paraId="60071FD5" w14:textId="77777777" w:rsidR="00416D67" w:rsidRPr="00416D67" w:rsidRDefault="00416D67" w:rsidP="00416D67">
            <w:pPr>
              <w:jc w:val="right"/>
              <w:rPr>
                <w:b/>
                <w:bCs/>
                <w:color w:val="000000"/>
                <w:sz w:val="16"/>
                <w:szCs w:val="16"/>
              </w:rPr>
            </w:pPr>
            <w:r w:rsidRPr="00416D67">
              <w:rPr>
                <w:b/>
                <w:bCs/>
                <w:color w:val="000000"/>
                <w:sz w:val="16"/>
                <w:szCs w:val="16"/>
              </w:rPr>
              <w:t>61,11%</w:t>
            </w:r>
          </w:p>
        </w:tc>
        <w:tc>
          <w:tcPr>
            <w:tcW w:w="960" w:type="dxa"/>
            <w:tcBorders>
              <w:top w:val="nil"/>
              <w:left w:val="nil"/>
              <w:bottom w:val="single" w:sz="4" w:space="0" w:color="auto"/>
              <w:right w:val="single" w:sz="4" w:space="0" w:color="auto"/>
            </w:tcBorders>
            <w:vAlign w:val="center"/>
            <w:hideMark/>
          </w:tcPr>
          <w:p w14:paraId="0C5D1CE7" w14:textId="77777777" w:rsidR="00416D67" w:rsidRPr="00416D67" w:rsidRDefault="00416D67" w:rsidP="00416D67">
            <w:pPr>
              <w:jc w:val="right"/>
              <w:rPr>
                <w:b/>
                <w:bCs/>
                <w:color w:val="000000"/>
                <w:sz w:val="16"/>
                <w:szCs w:val="16"/>
              </w:rPr>
            </w:pPr>
            <w:r w:rsidRPr="00416D67">
              <w:rPr>
                <w:b/>
                <w:bCs/>
                <w:color w:val="000000"/>
                <w:sz w:val="16"/>
                <w:szCs w:val="16"/>
              </w:rPr>
              <w:t> </w:t>
            </w:r>
          </w:p>
        </w:tc>
        <w:tc>
          <w:tcPr>
            <w:tcW w:w="1060" w:type="dxa"/>
            <w:tcBorders>
              <w:top w:val="nil"/>
              <w:left w:val="nil"/>
              <w:bottom w:val="single" w:sz="4" w:space="0" w:color="auto"/>
              <w:right w:val="single" w:sz="4" w:space="0" w:color="auto"/>
            </w:tcBorders>
            <w:vAlign w:val="center"/>
            <w:hideMark/>
          </w:tcPr>
          <w:p w14:paraId="6B2A7A52" w14:textId="77777777" w:rsidR="00416D67" w:rsidRPr="00416D67" w:rsidRDefault="00416D67" w:rsidP="00416D67">
            <w:pPr>
              <w:rPr>
                <w:b/>
                <w:bCs/>
                <w:color w:val="000000"/>
                <w:sz w:val="16"/>
                <w:szCs w:val="16"/>
              </w:rPr>
            </w:pPr>
            <w:r w:rsidRPr="00416D67">
              <w:rPr>
                <w:b/>
                <w:bCs/>
                <w:color w:val="000000"/>
                <w:sz w:val="16"/>
                <w:szCs w:val="16"/>
              </w:rPr>
              <w:t> </w:t>
            </w:r>
          </w:p>
        </w:tc>
      </w:tr>
      <w:tr w:rsidR="00416D67" w:rsidRPr="00416D67" w14:paraId="2B74EB8C" w14:textId="77777777" w:rsidTr="00BB1392">
        <w:trPr>
          <w:trHeight w:val="300"/>
        </w:trPr>
        <w:tc>
          <w:tcPr>
            <w:tcW w:w="460" w:type="dxa"/>
            <w:tcBorders>
              <w:top w:val="nil"/>
              <w:left w:val="single" w:sz="4" w:space="0" w:color="auto"/>
              <w:bottom w:val="single" w:sz="4" w:space="0" w:color="auto"/>
              <w:right w:val="single" w:sz="4" w:space="0" w:color="auto"/>
            </w:tcBorders>
            <w:vAlign w:val="center"/>
            <w:hideMark/>
          </w:tcPr>
          <w:p w14:paraId="36D89CBC" w14:textId="77777777" w:rsidR="00416D67" w:rsidRPr="00416D67" w:rsidRDefault="00416D67" w:rsidP="00416D67">
            <w:pPr>
              <w:rPr>
                <w:color w:val="000000"/>
                <w:sz w:val="16"/>
                <w:szCs w:val="16"/>
              </w:rPr>
            </w:pPr>
            <w:r w:rsidRPr="00416D67">
              <w:rPr>
                <w:color w:val="000000"/>
                <w:sz w:val="16"/>
                <w:szCs w:val="16"/>
              </w:rPr>
              <w:t>81</w:t>
            </w:r>
          </w:p>
        </w:tc>
        <w:tc>
          <w:tcPr>
            <w:tcW w:w="3160" w:type="dxa"/>
            <w:tcBorders>
              <w:top w:val="nil"/>
              <w:left w:val="nil"/>
              <w:bottom w:val="single" w:sz="4" w:space="0" w:color="auto"/>
              <w:right w:val="single" w:sz="4" w:space="0" w:color="auto"/>
            </w:tcBorders>
            <w:vAlign w:val="center"/>
            <w:hideMark/>
          </w:tcPr>
          <w:p w14:paraId="2F019E22" w14:textId="77777777" w:rsidR="00416D67" w:rsidRPr="00416D67" w:rsidRDefault="00416D67" w:rsidP="00416D67">
            <w:pPr>
              <w:rPr>
                <w:color w:val="000000"/>
                <w:sz w:val="16"/>
                <w:szCs w:val="16"/>
              </w:rPr>
            </w:pPr>
            <w:r w:rsidRPr="00416D67">
              <w:rPr>
                <w:color w:val="000000"/>
                <w:sz w:val="16"/>
                <w:szCs w:val="16"/>
              </w:rPr>
              <w:t xml:space="preserve">Primljeni povrati glavnica danih zajmova </w:t>
            </w:r>
          </w:p>
        </w:tc>
        <w:tc>
          <w:tcPr>
            <w:tcW w:w="1060" w:type="dxa"/>
            <w:tcBorders>
              <w:top w:val="nil"/>
              <w:left w:val="nil"/>
              <w:bottom w:val="single" w:sz="4" w:space="0" w:color="auto"/>
              <w:right w:val="single" w:sz="4" w:space="0" w:color="auto"/>
            </w:tcBorders>
            <w:vAlign w:val="center"/>
            <w:hideMark/>
          </w:tcPr>
          <w:p w14:paraId="6C1C3CEA" w14:textId="77777777" w:rsidR="00416D67" w:rsidRPr="00416D67" w:rsidRDefault="00416D67" w:rsidP="00416D67">
            <w:pPr>
              <w:jc w:val="right"/>
              <w:rPr>
                <w:color w:val="000000"/>
                <w:sz w:val="16"/>
                <w:szCs w:val="16"/>
              </w:rPr>
            </w:pPr>
            <w:r w:rsidRPr="00416D67">
              <w:rPr>
                <w:color w:val="000000"/>
                <w:sz w:val="16"/>
                <w:szCs w:val="16"/>
              </w:rPr>
              <w:t>0,00</w:t>
            </w:r>
          </w:p>
        </w:tc>
        <w:tc>
          <w:tcPr>
            <w:tcW w:w="1060" w:type="dxa"/>
            <w:tcBorders>
              <w:top w:val="nil"/>
              <w:left w:val="nil"/>
              <w:bottom w:val="single" w:sz="4" w:space="0" w:color="auto"/>
              <w:right w:val="single" w:sz="4" w:space="0" w:color="auto"/>
            </w:tcBorders>
            <w:vAlign w:val="center"/>
            <w:hideMark/>
          </w:tcPr>
          <w:p w14:paraId="1259D08D" w14:textId="77777777" w:rsidR="00416D67" w:rsidRPr="00416D67" w:rsidRDefault="00416D67" w:rsidP="00416D67">
            <w:pPr>
              <w:jc w:val="right"/>
              <w:rPr>
                <w:color w:val="000000"/>
                <w:sz w:val="16"/>
                <w:szCs w:val="16"/>
              </w:rPr>
            </w:pPr>
            <w:r w:rsidRPr="00416D67">
              <w:rPr>
                <w:color w:val="000000"/>
                <w:sz w:val="16"/>
                <w:szCs w:val="16"/>
              </w:rPr>
              <w:t>70.000,00</w:t>
            </w:r>
          </w:p>
        </w:tc>
        <w:tc>
          <w:tcPr>
            <w:tcW w:w="1060" w:type="dxa"/>
            <w:tcBorders>
              <w:top w:val="nil"/>
              <w:left w:val="nil"/>
              <w:bottom w:val="single" w:sz="4" w:space="0" w:color="auto"/>
              <w:right w:val="single" w:sz="4" w:space="0" w:color="auto"/>
            </w:tcBorders>
            <w:vAlign w:val="center"/>
            <w:hideMark/>
          </w:tcPr>
          <w:p w14:paraId="1AA2684C" w14:textId="77777777" w:rsidR="00416D67" w:rsidRPr="00416D67" w:rsidRDefault="00416D67" w:rsidP="00416D67">
            <w:pPr>
              <w:jc w:val="right"/>
              <w:rPr>
                <w:color w:val="000000"/>
                <w:sz w:val="16"/>
                <w:szCs w:val="16"/>
              </w:rPr>
            </w:pPr>
            <w:r w:rsidRPr="00416D67">
              <w:rPr>
                <w:color w:val="000000"/>
                <w:sz w:val="16"/>
                <w:szCs w:val="16"/>
              </w:rPr>
              <w:t>42.776,75</w:t>
            </w:r>
          </w:p>
        </w:tc>
        <w:tc>
          <w:tcPr>
            <w:tcW w:w="960" w:type="dxa"/>
            <w:tcBorders>
              <w:top w:val="nil"/>
              <w:left w:val="nil"/>
              <w:bottom w:val="single" w:sz="4" w:space="0" w:color="auto"/>
              <w:right w:val="single" w:sz="4" w:space="0" w:color="auto"/>
            </w:tcBorders>
            <w:vAlign w:val="center"/>
            <w:hideMark/>
          </w:tcPr>
          <w:p w14:paraId="6387F27D" w14:textId="77777777" w:rsidR="00416D67" w:rsidRPr="00416D67" w:rsidRDefault="00416D67" w:rsidP="00416D67">
            <w:pPr>
              <w:jc w:val="right"/>
              <w:rPr>
                <w:color w:val="000000"/>
                <w:sz w:val="16"/>
                <w:szCs w:val="16"/>
              </w:rPr>
            </w:pPr>
            <w:r w:rsidRPr="00416D67">
              <w:rPr>
                <w:color w:val="000000"/>
                <w:sz w:val="16"/>
                <w:szCs w:val="16"/>
              </w:rPr>
              <w:t>61,11%</w:t>
            </w:r>
          </w:p>
        </w:tc>
        <w:tc>
          <w:tcPr>
            <w:tcW w:w="960" w:type="dxa"/>
            <w:tcBorders>
              <w:top w:val="nil"/>
              <w:left w:val="nil"/>
              <w:bottom w:val="single" w:sz="4" w:space="0" w:color="auto"/>
              <w:right w:val="single" w:sz="4" w:space="0" w:color="auto"/>
            </w:tcBorders>
            <w:vAlign w:val="center"/>
            <w:hideMark/>
          </w:tcPr>
          <w:p w14:paraId="716E9F2A" w14:textId="77777777" w:rsidR="00416D67" w:rsidRPr="00416D67" w:rsidRDefault="00416D67" w:rsidP="00416D67">
            <w:pPr>
              <w:jc w:val="right"/>
              <w:rPr>
                <w:color w:val="000000"/>
                <w:sz w:val="16"/>
                <w:szCs w:val="16"/>
              </w:rPr>
            </w:pPr>
            <w:r w:rsidRPr="00416D67">
              <w:rPr>
                <w:color w:val="000000"/>
                <w:sz w:val="16"/>
                <w:szCs w:val="16"/>
              </w:rPr>
              <w:t> </w:t>
            </w:r>
          </w:p>
        </w:tc>
        <w:tc>
          <w:tcPr>
            <w:tcW w:w="1060" w:type="dxa"/>
            <w:tcBorders>
              <w:top w:val="nil"/>
              <w:left w:val="nil"/>
              <w:bottom w:val="single" w:sz="4" w:space="0" w:color="auto"/>
              <w:right w:val="single" w:sz="4" w:space="0" w:color="auto"/>
            </w:tcBorders>
            <w:vAlign w:val="center"/>
            <w:hideMark/>
          </w:tcPr>
          <w:p w14:paraId="3BDD14D4" w14:textId="77777777" w:rsidR="00416D67" w:rsidRPr="00416D67" w:rsidRDefault="00416D67" w:rsidP="00416D67">
            <w:pPr>
              <w:jc w:val="right"/>
              <w:rPr>
                <w:color w:val="000000"/>
                <w:sz w:val="16"/>
                <w:szCs w:val="16"/>
              </w:rPr>
            </w:pPr>
            <w:r w:rsidRPr="00416D67">
              <w:rPr>
                <w:color w:val="000000"/>
                <w:sz w:val="16"/>
                <w:szCs w:val="16"/>
              </w:rPr>
              <w:t>0,57%</w:t>
            </w:r>
          </w:p>
        </w:tc>
      </w:tr>
    </w:tbl>
    <w:p w14:paraId="3F7D2E3B" w14:textId="77777777" w:rsidR="00416D67" w:rsidRPr="00416D67" w:rsidRDefault="00416D67" w:rsidP="00416D67">
      <w:pPr>
        <w:rPr>
          <w:b/>
          <w:bCs/>
          <w:color w:val="000000"/>
        </w:rPr>
      </w:pPr>
    </w:p>
    <w:p w14:paraId="40635524" w14:textId="77777777" w:rsidR="00416D67" w:rsidRPr="00416D67" w:rsidRDefault="00416D67" w:rsidP="00416D67">
      <w:pPr>
        <w:ind w:firstLine="707"/>
        <w:jc w:val="both"/>
        <w:rPr>
          <w:color w:val="000000"/>
        </w:rPr>
      </w:pPr>
      <w:r w:rsidRPr="00416D67">
        <w:rPr>
          <w:color w:val="000000"/>
        </w:rPr>
        <w:t>Iz tablice je vidljivo da su ukupni prihodi i primici proračuna za 2025. godinu ostvareni u iznosu od 7.552.638,82 EUR, odnosno 101,84% godišnjeg plana</w:t>
      </w:r>
      <w:r w:rsidRPr="00416D67">
        <w:rPr>
          <w:bCs/>
        </w:rPr>
        <w:t xml:space="preserve"> (ostvarenje prethodne godine 5.816.430,37 EUR, indeks</w:t>
      </w:r>
      <w:r w:rsidRPr="00416D67">
        <w:rPr>
          <w:color w:val="000000"/>
        </w:rPr>
        <w:t xml:space="preserve"> 129,85%). </w:t>
      </w:r>
    </w:p>
    <w:p w14:paraId="3DC61966" w14:textId="77777777" w:rsidR="00416D67" w:rsidRPr="00416D67" w:rsidRDefault="00416D67" w:rsidP="00416D67">
      <w:pPr>
        <w:ind w:firstLine="708"/>
        <w:jc w:val="both"/>
      </w:pPr>
      <w:r w:rsidRPr="00416D67">
        <w:rPr>
          <w:color w:val="000000"/>
        </w:rPr>
        <w:t xml:space="preserve">Ostvareni prihodi u 2025. godini u odnosu na ostvarene prihode u 2024. godini bilježe povećanje,   ostvarenja prethodne godine. </w:t>
      </w:r>
    </w:p>
    <w:p w14:paraId="73C9374B" w14:textId="77777777" w:rsidR="00416D67" w:rsidRPr="00416D67" w:rsidRDefault="00416D67" w:rsidP="00416D67">
      <w:pPr>
        <w:ind w:right="180" w:firstLine="707"/>
        <w:jc w:val="both"/>
        <w:rPr>
          <w:bCs/>
        </w:rPr>
      </w:pPr>
      <w:r w:rsidRPr="00416D67">
        <w:rPr>
          <w:bCs/>
        </w:rPr>
        <w:t xml:space="preserve">U strukturi ostvarenih prihoda najzastupljeniji su prihodi od poreza i ostvareni su  u iznosu od 3.989.988,71  EUR s udjelom od 52,83% u ukupnim prihodima, slijede prihodi od </w:t>
      </w:r>
      <w:proofErr w:type="spellStart"/>
      <w:r w:rsidRPr="00416D67">
        <w:rPr>
          <w:bCs/>
        </w:rPr>
        <w:t>od</w:t>
      </w:r>
      <w:proofErr w:type="spellEnd"/>
      <w:r w:rsidRPr="00416D67">
        <w:rPr>
          <w:bCs/>
        </w:rPr>
        <w:t xml:space="preserve"> prodaje </w:t>
      </w:r>
      <w:proofErr w:type="spellStart"/>
      <w:r w:rsidRPr="00416D67">
        <w:rPr>
          <w:bCs/>
        </w:rPr>
        <w:t>neproizvedene</w:t>
      </w:r>
      <w:proofErr w:type="spellEnd"/>
      <w:r w:rsidRPr="00416D67">
        <w:rPr>
          <w:bCs/>
        </w:rPr>
        <w:t xml:space="preserve"> </w:t>
      </w:r>
      <w:proofErr w:type="spellStart"/>
      <w:r w:rsidRPr="00416D67">
        <w:rPr>
          <w:bCs/>
        </w:rPr>
        <w:t>dugotajne</w:t>
      </w:r>
      <w:proofErr w:type="spellEnd"/>
      <w:r w:rsidRPr="00416D67">
        <w:rPr>
          <w:bCs/>
        </w:rPr>
        <w:t xml:space="preserve"> imovine ostvareni u iznosu od 1.632.646,65 EUR s udjelom od 21,62%, te prihodi od upravnih i administrativnih pristojbi, pristojbi po posebnim propisima i naknada od  1.292.994,97  EUR  s udjelom od 17,12% .</w:t>
      </w:r>
    </w:p>
    <w:p w14:paraId="095B1EE7" w14:textId="77777777" w:rsidR="00416D67" w:rsidRPr="00416D67" w:rsidRDefault="00416D67" w:rsidP="00416D67">
      <w:pPr>
        <w:ind w:firstLine="708"/>
        <w:jc w:val="both"/>
        <w:rPr>
          <w:color w:val="000000"/>
        </w:rPr>
      </w:pPr>
      <w:r w:rsidRPr="00416D67">
        <w:rPr>
          <w:color w:val="000000"/>
        </w:rPr>
        <w:t>U nastavku slijedi obrazloženje ostvarenja prihoda i primitaka proračuna u 2025. godini.</w:t>
      </w:r>
    </w:p>
    <w:p w14:paraId="07BD31B4" w14:textId="77777777" w:rsidR="00416D67" w:rsidRPr="00416D67" w:rsidRDefault="00416D67" w:rsidP="00416D67">
      <w:pPr>
        <w:jc w:val="both"/>
        <w:rPr>
          <w:color w:val="000000"/>
        </w:rPr>
      </w:pPr>
    </w:p>
    <w:p w14:paraId="00287932" w14:textId="77777777" w:rsidR="00416D67" w:rsidRPr="00416D67" w:rsidRDefault="00416D67" w:rsidP="00416D67">
      <w:pPr>
        <w:ind w:firstLine="708"/>
        <w:jc w:val="both"/>
        <w:rPr>
          <w:color w:val="000000"/>
        </w:rPr>
      </w:pPr>
    </w:p>
    <w:p w14:paraId="2BBE2C7C" w14:textId="77777777" w:rsidR="00416D67" w:rsidRPr="00416D67" w:rsidRDefault="00416D67" w:rsidP="00416D67">
      <w:pPr>
        <w:ind w:left="708" w:firstLine="708"/>
        <w:jc w:val="both"/>
      </w:pPr>
      <w:r w:rsidRPr="00416D67">
        <w:rPr>
          <w:b/>
          <w:bCs/>
        </w:rPr>
        <w:t>PRIHODI POSLOVANJA</w:t>
      </w:r>
    </w:p>
    <w:p w14:paraId="39BD692A" w14:textId="77777777" w:rsidR="00416D67" w:rsidRPr="00416D67" w:rsidRDefault="00416D67" w:rsidP="00416D67">
      <w:pPr>
        <w:rPr>
          <w:b/>
          <w:bCs/>
        </w:rPr>
      </w:pPr>
    </w:p>
    <w:p w14:paraId="32784980" w14:textId="77777777" w:rsidR="00416D67" w:rsidRPr="00416D67" w:rsidRDefault="00416D67" w:rsidP="00416D67">
      <w:pPr>
        <w:ind w:firstLine="708"/>
        <w:jc w:val="both"/>
      </w:pPr>
      <w:r w:rsidRPr="00416D67">
        <w:rPr>
          <w:b/>
          <w:bCs/>
        </w:rPr>
        <w:t xml:space="preserve"> Prihodi poslovanja </w:t>
      </w:r>
      <w:r w:rsidRPr="00416D67">
        <w:t xml:space="preserve">izvršeni su </w:t>
      </w:r>
      <w:r w:rsidRPr="00416D67">
        <w:rPr>
          <w:color w:val="000000"/>
        </w:rPr>
        <w:t xml:space="preserve">u iznosu od </w:t>
      </w:r>
      <w:r w:rsidRPr="00416D67">
        <w:rPr>
          <w:bCs/>
        </w:rPr>
        <w:t>5.877.215,42 EUR</w:t>
      </w:r>
      <w:r w:rsidRPr="00416D67">
        <w:rPr>
          <w:color w:val="000000"/>
        </w:rPr>
        <w:t xml:space="preserve"> ili 103,79% godišnjeg plana</w:t>
      </w:r>
      <w:r w:rsidRPr="00416D67">
        <w:t>. Odnose se na prihode od poreza, pomoći iz inozemstva (darovnice) i od subjekata unutar općeg proračuna, prihode od imovine, prihode od administrativnih i upravnih pristojbi, pristojbi po posebnim propisima i naknada, prihode od prodaje proizvoda i robe te pruženih usluga i prihode od donacija, te kazne, upravne mjere i ostale prihode.</w:t>
      </w:r>
    </w:p>
    <w:p w14:paraId="4BA873CA" w14:textId="77777777" w:rsidR="00416D67" w:rsidRPr="00416D67" w:rsidRDefault="00416D67" w:rsidP="00416D67">
      <w:pPr>
        <w:ind w:firstLine="708"/>
        <w:jc w:val="both"/>
      </w:pPr>
      <w:r w:rsidRPr="00416D67">
        <w:t xml:space="preserve">Pojedine skupine prihoda bilježe povećanje ili smanjenje u odnosu na ostvarenje prethodne godine.  Prihodi od poreza su i dalje postotno najznačajniji proračunski prihodi (udio ostvarenja 64,02%) i bilježe povećanje ostvarenja u odnosu na prethodnu godinu za 18,45%  </w:t>
      </w:r>
    </w:p>
    <w:p w14:paraId="186EE061" w14:textId="77777777" w:rsidR="00416D67" w:rsidRPr="00416D67" w:rsidRDefault="00416D67" w:rsidP="00416D67">
      <w:pPr>
        <w:jc w:val="both"/>
      </w:pPr>
      <w:r w:rsidRPr="00416D67">
        <w:rPr>
          <w:b/>
          <w:i/>
        </w:rPr>
        <w:t>Prihodi od poreza (61)</w:t>
      </w:r>
      <w:r w:rsidRPr="00416D67">
        <w:t xml:space="preserve">  ostvareni su u iznosu od 3.989.988,71 EUR , u odnosu na plan indeks ostvarenja 104,58% (ostvarenja prethodne godine 3.723.457,63 EUR, indeks ostvarenja 107,16% ). </w:t>
      </w:r>
    </w:p>
    <w:p w14:paraId="70A2B477" w14:textId="77777777" w:rsidR="00416D67" w:rsidRPr="00416D67" w:rsidRDefault="00416D67" w:rsidP="00416D67">
      <w:pPr>
        <w:ind w:firstLine="708"/>
        <w:jc w:val="both"/>
      </w:pPr>
      <w:r w:rsidRPr="00416D67">
        <w:lastRenderedPageBreak/>
        <w:t xml:space="preserve">U nastavku pregled ostvarenja pojedinih prihoda od poreza u odnosu na prethodnu godinu: </w:t>
      </w:r>
    </w:p>
    <w:p w14:paraId="2CF22128" w14:textId="77777777" w:rsidR="00416D67" w:rsidRPr="00416D67" w:rsidRDefault="00416D67" w:rsidP="00416D67">
      <w:pPr>
        <w:ind w:firstLine="708"/>
        <w:jc w:val="both"/>
      </w:pPr>
      <w:r w:rsidRPr="00416D67">
        <w:t xml:space="preserve">-porez i prirez na dohodak ostvaren je u iznosu od 2.882.343,62 EUR  i sastoji se od poreza i prireza na dohodak od nesamostalnog rada u iznosu od 3.214.666,03  EUR  umanjen  za povrat poreza i prireza po godišnjoj prijavi u iznosu od 332.322,41  EUR  (ostvarenje 2024. godine 2.461.042,49 EUR, </w:t>
      </w:r>
      <w:proofErr w:type="spellStart"/>
      <w:r w:rsidRPr="00416D67">
        <w:t>odnosnoukupno</w:t>
      </w:r>
      <w:proofErr w:type="spellEnd"/>
      <w:r w:rsidRPr="00416D67">
        <w:t xml:space="preserve"> 2.635.603,09 EUR  umanjen  za povrat poreza i prireza po godišnjoj prijavi u iznosu od 174.560,60 EUR )</w:t>
      </w:r>
    </w:p>
    <w:p w14:paraId="5FEED2F9" w14:textId="77777777" w:rsidR="00416D67" w:rsidRPr="00416D67" w:rsidRDefault="00416D67" w:rsidP="00416D67">
      <w:pPr>
        <w:jc w:val="both"/>
      </w:pPr>
      <w:r w:rsidRPr="00416D67">
        <w:t xml:space="preserve">         -stalni porez na nepokretnu imovinu ostvareni u iznosu od 415.287,68 EUR (ostvarenje 2024. godina 471.903,75 EUR; ostvarenje 2023. godine 154.161,74 EUR) odnose se na prihode od poreza na kuće za odmor ostvaren u iznosu od 29.185,24 EUR koji je u izvještajnom razdoblju zamijenjen novim porezom na nekretnine koji je ostvaren u iznosu od 386.102,44 EUR. Ukupno je naplaćeno 482.976,69 EUR zaduženog poreza na nekretnine, ali od navedenog iznosa 20% pripada Istarskoj županiji, dok je 80% prihod Općine. </w:t>
      </w:r>
    </w:p>
    <w:p w14:paraId="68207352" w14:textId="77777777" w:rsidR="00416D67" w:rsidRPr="00416D67" w:rsidRDefault="00416D67" w:rsidP="00416D67">
      <w:pPr>
        <w:ind w:firstLine="708"/>
        <w:jc w:val="both"/>
      </w:pPr>
      <w:r w:rsidRPr="00416D67">
        <w:t xml:space="preserve">-porez na promet nekretnina ostvaren u iznosu od 666.986,41 EUR  (ostvarenje 2024. godina 766.496,01 EUR; ostvarenje 2023. godine 1.056.927,42 EUR), a do smanjenja je došlo radi manje izdanih rješenja od strane porezne uprave koja zadužuje i prati naplatu tog prihoda ; </w:t>
      </w:r>
    </w:p>
    <w:p w14:paraId="3FF4FAF6" w14:textId="77777777" w:rsidR="00416D67" w:rsidRPr="00416D67" w:rsidRDefault="00416D67" w:rsidP="00416D67">
      <w:pPr>
        <w:ind w:firstLine="708"/>
        <w:jc w:val="both"/>
        <w:rPr>
          <w:color w:val="FF0000"/>
        </w:rPr>
      </w:pPr>
      <w:r w:rsidRPr="00416D67">
        <w:t>-porez na potrošnju ostvaren je u iznosu od 25.371,00  EUR (ostvarenje 2024. godina 24.015,38 EUR; ostvarenje 2023. godine 22.334,37 EUR) i u blagom je porastu u odnosu na ostvarenje prethodne godine, što je vjerojatno posljedica povećanja cijena u ugostiteljstvu;</w:t>
      </w:r>
      <w:r w:rsidRPr="00416D67">
        <w:rPr>
          <w:color w:val="FF0000"/>
        </w:rPr>
        <w:t xml:space="preserve"> </w:t>
      </w:r>
    </w:p>
    <w:p w14:paraId="344C97F8" w14:textId="77777777" w:rsidR="00416D67" w:rsidRPr="00416D67" w:rsidRDefault="00416D67" w:rsidP="00416D67">
      <w:pPr>
        <w:spacing w:before="6"/>
        <w:jc w:val="both"/>
        <w:rPr>
          <w:color w:val="FF0000"/>
        </w:rPr>
      </w:pPr>
    </w:p>
    <w:p w14:paraId="796ECE72" w14:textId="77777777" w:rsidR="00416D67" w:rsidRPr="00416D67" w:rsidRDefault="00416D67" w:rsidP="00416D67">
      <w:pPr>
        <w:jc w:val="both"/>
      </w:pPr>
      <w:r w:rsidRPr="00416D67">
        <w:rPr>
          <w:b/>
          <w:i/>
        </w:rPr>
        <w:t xml:space="preserve">    Prihodi od pomoći proračunu iz drugih proračuna (63)</w:t>
      </w:r>
      <w:r w:rsidRPr="00416D67">
        <w:t xml:space="preserve"> ostvareni su u ukupnom iznosu od 335.580,34  EUR (ostvarenje 2024. godina 601.797,97 EUR), bilježe smanjenje  u odnosu na prethodnu godinu iz razloga što je prethodne godine ostvarena značajna kapitalna pomoć Istarske županije. </w:t>
      </w:r>
    </w:p>
    <w:p w14:paraId="2AF2E4F3" w14:textId="77777777" w:rsidR="00416D67" w:rsidRPr="00416D67" w:rsidRDefault="00416D67" w:rsidP="00416D67">
      <w:pPr>
        <w:jc w:val="both"/>
      </w:pPr>
      <w:r w:rsidRPr="00416D67">
        <w:t xml:space="preserve">      Od ostvarenih prihoda od pomoći, prihod  Općine 314.240,44, EUR, te prihod proračunskog korisnika 21.339,90 EUR, i imaju slijedeću strukturu:</w:t>
      </w:r>
    </w:p>
    <w:p w14:paraId="434609BB" w14:textId="77777777" w:rsidR="00416D67" w:rsidRPr="00416D67" w:rsidRDefault="00416D67" w:rsidP="00416D67">
      <w:pPr>
        <w:jc w:val="both"/>
        <w:rPr>
          <w:b/>
          <w:i/>
        </w:rPr>
      </w:pPr>
      <w:r w:rsidRPr="00416D67">
        <w:rPr>
          <w:b/>
          <w:i/>
        </w:rPr>
        <w:t>Pomoći proračunu iz drugih proračuna (633)</w:t>
      </w:r>
    </w:p>
    <w:p w14:paraId="70F02166" w14:textId="77777777" w:rsidR="00416D67" w:rsidRPr="00416D67" w:rsidRDefault="00416D67" w:rsidP="00416D67">
      <w:pPr>
        <w:jc w:val="both"/>
      </w:pPr>
      <w:r w:rsidRPr="00416D67">
        <w:rPr>
          <w:b/>
        </w:rPr>
        <w:t>Tekuća pomoć   (6331)   u iznosu od 148.269,40 EUR</w:t>
      </w:r>
      <w:r w:rsidRPr="00416D67">
        <w:t xml:space="preserve"> (do povećanja u izvještajnom razdoblju u odnosu na prethodnu godinu došlo je jer je Istarska županija sufinancirala troškove održanih izbora u svibnju i lipnju)</w:t>
      </w:r>
    </w:p>
    <w:p w14:paraId="473E376C" w14:textId="77777777" w:rsidR="00416D67" w:rsidRPr="00416D67" w:rsidRDefault="00416D67" w:rsidP="00416D67">
      <w:r w:rsidRPr="00416D67">
        <w:t xml:space="preserve">    Pregled primljenih tekućih pomoći Istarske županije 106.433,40  EUR</w:t>
      </w:r>
    </w:p>
    <w:p w14:paraId="38E0FD55" w14:textId="77777777" w:rsidR="00416D67" w:rsidRPr="00416D67" w:rsidRDefault="00416D67" w:rsidP="00416D67">
      <w:r w:rsidRPr="00416D67">
        <w:t>•   tekuća pomoć za program obilježavanja lika i djela M. Balote 5.000,00 EUR</w:t>
      </w:r>
    </w:p>
    <w:p w14:paraId="2A636A37" w14:textId="77777777" w:rsidR="00416D67" w:rsidRPr="00416D67" w:rsidRDefault="00416D67" w:rsidP="00416D67">
      <w:r w:rsidRPr="00416D67">
        <w:t>•   tekuća pomoć za naknada troškova izbora 16.285,00 EUR</w:t>
      </w:r>
    </w:p>
    <w:p w14:paraId="42EE8CA2" w14:textId="77777777" w:rsidR="00416D67" w:rsidRPr="00416D67" w:rsidRDefault="00416D67" w:rsidP="00416D67">
      <w:r w:rsidRPr="00416D67">
        <w:t>•   tekuća pomoć IŽ za sufinanciranje 50% troškova plaća nastavnika u produženom boravku 85.148,40 EUR</w:t>
      </w:r>
    </w:p>
    <w:p w14:paraId="5495F5B9" w14:textId="77777777" w:rsidR="00416D67" w:rsidRPr="00416D67" w:rsidRDefault="00416D67" w:rsidP="00416D67">
      <w:r w:rsidRPr="00416D67">
        <w:t xml:space="preserve">        Pregled primljenih tekućih pomoći Državnog proračuna 41.836,00 EUR</w:t>
      </w:r>
    </w:p>
    <w:p w14:paraId="18009001" w14:textId="77777777" w:rsidR="00416D67" w:rsidRPr="00416D67" w:rsidRDefault="00416D67" w:rsidP="00416D67">
      <w:r w:rsidRPr="00416D67">
        <w:t>•   tekuća pomoć za isplatu naknade ogrijeva korisnicima zajamčene minimalne naknade 1.600,00 EUR</w:t>
      </w:r>
    </w:p>
    <w:p w14:paraId="68A12903" w14:textId="77777777" w:rsidR="00416D67" w:rsidRPr="00416D67" w:rsidRDefault="00416D67" w:rsidP="00416D67">
      <w:r w:rsidRPr="00416D67">
        <w:t>•   tekuća pomoć za fiskalnu održivost dječjih vrtića  40.236,00 EUR</w:t>
      </w:r>
    </w:p>
    <w:p w14:paraId="09AF5034" w14:textId="77777777" w:rsidR="00416D67" w:rsidRPr="00416D67" w:rsidRDefault="00416D67" w:rsidP="00416D67">
      <w:pPr>
        <w:jc w:val="both"/>
      </w:pPr>
      <w:r w:rsidRPr="00416D67">
        <w:rPr>
          <w:b/>
        </w:rPr>
        <w:t xml:space="preserve">Kapitalna pomoć (6332)  u iznosu od 109.513,75 EUR  </w:t>
      </w:r>
      <w:r w:rsidRPr="00416D67">
        <w:t>(ostvarenje prethodne godine 418.824,43 EUR) ima slijedeću strukturu</w:t>
      </w:r>
    </w:p>
    <w:p w14:paraId="25A494E3" w14:textId="77777777" w:rsidR="00416D67" w:rsidRPr="00416D67" w:rsidRDefault="00416D67">
      <w:pPr>
        <w:numPr>
          <w:ilvl w:val="0"/>
          <w:numId w:val="17"/>
        </w:numPr>
        <w:contextualSpacing/>
        <w:jc w:val="both"/>
      </w:pPr>
      <w:r w:rsidRPr="00416D67">
        <w:t xml:space="preserve">kapitalna pomoć državni proračun 95.828,75 EUR, od čega 45.000,00 EUR program kulture za ulaganja kulturne baštine Stari </w:t>
      </w:r>
      <w:proofErr w:type="spellStart"/>
      <w:r w:rsidRPr="00416D67">
        <w:t>Rakalj</w:t>
      </w:r>
      <w:proofErr w:type="spellEnd"/>
      <w:r w:rsidRPr="00416D67">
        <w:t xml:space="preserve"> i </w:t>
      </w:r>
      <w:proofErr w:type="spellStart"/>
      <w:r w:rsidRPr="00416D67">
        <w:t>Mutovran</w:t>
      </w:r>
      <w:proofErr w:type="spellEnd"/>
      <w:r w:rsidRPr="00416D67">
        <w:t xml:space="preserve">, 28.013,75 EUR za ulaganja u igralište Marčana, 14.310,00 EUR Fonda za zaštitu okoliša,   6.195,00  EUR za sanaciju opasnih mjesta </w:t>
      </w:r>
      <w:proofErr w:type="spellStart"/>
      <w:r w:rsidRPr="00416D67">
        <w:t>nerazvstanih</w:t>
      </w:r>
      <w:proofErr w:type="spellEnd"/>
      <w:r w:rsidRPr="00416D67">
        <w:t xml:space="preserve"> cesta, 2.310,00 EUR za sak. Komunalnog otpada  </w:t>
      </w:r>
    </w:p>
    <w:p w14:paraId="35F09292" w14:textId="77777777" w:rsidR="00416D67" w:rsidRPr="00416D67" w:rsidRDefault="00416D67">
      <w:pPr>
        <w:numPr>
          <w:ilvl w:val="0"/>
          <w:numId w:val="17"/>
        </w:numPr>
        <w:contextualSpacing/>
        <w:jc w:val="both"/>
      </w:pPr>
      <w:r w:rsidRPr="00416D67">
        <w:t xml:space="preserve"> kapitalne pomoći istarske županije ostvareni u iznosu od 7.500,00 EUR za sanaciju nogometnog igrališta u </w:t>
      </w:r>
      <w:proofErr w:type="spellStart"/>
      <w:r w:rsidRPr="00416D67">
        <w:t>Marčani</w:t>
      </w:r>
      <w:proofErr w:type="spellEnd"/>
      <w:r w:rsidRPr="00416D67">
        <w:t xml:space="preserve"> (ostvarenje prethodne godine 295.036,93 EUR sufinanciranje Županijske uprave za ceste IŽ te 9.500,00 EUR potpora IŽ  za proširenje nogometnog igrališta Peruški).</w:t>
      </w:r>
    </w:p>
    <w:p w14:paraId="6933B72A" w14:textId="77777777" w:rsidR="00416D67" w:rsidRPr="00416D67" w:rsidRDefault="00416D67">
      <w:pPr>
        <w:numPr>
          <w:ilvl w:val="0"/>
          <w:numId w:val="17"/>
        </w:numPr>
        <w:contextualSpacing/>
        <w:jc w:val="both"/>
      </w:pPr>
      <w:r w:rsidRPr="00416D67">
        <w:lastRenderedPageBreak/>
        <w:t xml:space="preserve"> Kapitalna pomoć Općine Barban u iznosu od 6.185,00 EUR za sufinanciranje ulaganja u nogometno igralište </w:t>
      </w:r>
      <w:proofErr w:type="spellStart"/>
      <w:r w:rsidRPr="00416D67">
        <w:t>Kujići</w:t>
      </w:r>
      <w:proofErr w:type="spellEnd"/>
      <w:r w:rsidRPr="00416D67">
        <w:t>.</w:t>
      </w:r>
    </w:p>
    <w:p w14:paraId="0006B515" w14:textId="77777777" w:rsidR="00416D67" w:rsidRPr="00416D67" w:rsidRDefault="00416D67" w:rsidP="00416D67">
      <w:pPr>
        <w:jc w:val="both"/>
      </w:pPr>
      <w:r w:rsidRPr="00416D67">
        <w:rPr>
          <w:b/>
          <w:i/>
        </w:rPr>
        <w:t xml:space="preserve">Pomoći izravnanja za decentralizirane funkcije (635) </w:t>
      </w:r>
      <w:r w:rsidRPr="00416D67">
        <w:t>tekuća pomoć izravnanja za decentralizirane funkcije u iznosu od 24.969,60 EUR, sredstva za Javnu vatrogasnu postrojbu Pula,</w:t>
      </w:r>
    </w:p>
    <w:p w14:paraId="1C5D8C8C" w14:textId="77777777" w:rsidR="00416D67" w:rsidRPr="00416D67" w:rsidRDefault="00416D67" w:rsidP="00416D67">
      <w:pPr>
        <w:jc w:val="both"/>
      </w:pPr>
      <w:r w:rsidRPr="00416D67">
        <w:rPr>
          <w:b/>
          <w:i/>
        </w:rPr>
        <w:t>Pomoći proračunu iz drugih proračuna (636)</w:t>
      </w:r>
    </w:p>
    <w:p w14:paraId="4BE586E4" w14:textId="77777777" w:rsidR="00416D67" w:rsidRPr="00416D67" w:rsidRDefault="00416D67" w:rsidP="00416D67">
      <w:pPr>
        <w:jc w:val="both"/>
      </w:pPr>
      <w:r w:rsidRPr="00416D67">
        <w:t xml:space="preserve">Pomoći proračunu iz drugih proračuna sredstva su proračunskog </w:t>
      </w:r>
      <w:proofErr w:type="spellStart"/>
      <w:r w:rsidRPr="00416D67">
        <w:t>korinsika</w:t>
      </w:r>
      <w:proofErr w:type="spellEnd"/>
      <w:r w:rsidRPr="00416D67">
        <w:t xml:space="preserve">,  ostvarene u iznosu od 21.339,90 EUR (ostvarenje prethodne godine 8.273,0371 EUR),   i imaju slijedeću </w:t>
      </w:r>
      <w:proofErr w:type="spellStart"/>
      <w:r w:rsidRPr="00416D67">
        <w:t>strukuturu</w:t>
      </w:r>
      <w:proofErr w:type="spellEnd"/>
      <w:r w:rsidRPr="00416D67">
        <w:t xml:space="preserve">: tekuće pomoći državnog proračuna (program </w:t>
      </w:r>
      <w:proofErr w:type="spellStart"/>
      <w:r w:rsidRPr="00416D67">
        <w:t>predškole</w:t>
      </w:r>
      <w:proofErr w:type="spellEnd"/>
      <w:r w:rsidRPr="00416D67">
        <w:t>, program za djecu s teškoćama u integraciji i program za darovitu djecu) 5.858,40 EUR;  tekuća pomoć Istarske županije 5.000,00 EUR za program zavičajnosti; tekuća pomoć općine 6.660,63 EUR za boravak djece sa područja Općine Barban i tekuća pomoć grada 7.820,897 EUR za boravak djece sa područja Grada Pule.</w:t>
      </w:r>
    </w:p>
    <w:p w14:paraId="3F74AA80" w14:textId="77777777" w:rsidR="00416D67" w:rsidRPr="00416D67" w:rsidRDefault="00416D67" w:rsidP="00416D67">
      <w:pPr>
        <w:jc w:val="both"/>
      </w:pPr>
      <w:r w:rsidRPr="00416D67">
        <w:rPr>
          <w:b/>
        </w:rPr>
        <w:t xml:space="preserve">Kapitalna pomoć temeljem prijenosa EU sredstava (6382) </w:t>
      </w:r>
      <w:r w:rsidRPr="00416D67">
        <w:t>Tijekom izvještajnog razdoblja primljeno je 31.487,69 EUR temeljem ugovora  o dodjeli bespovratnih sredstava za projekt financiran iz nacionalnog plana oporavka i otpornosti  (581) za Izradu Strategije zelene urbane obnove Općine Marčana </w:t>
      </w:r>
    </w:p>
    <w:p w14:paraId="79BDC9E3" w14:textId="77777777" w:rsidR="00416D67" w:rsidRPr="00416D67" w:rsidRDefault="00416D67" w:rsidP="00416D67">
      <w:pPr>
        <w:jc w:val="both"/>
      </w:pPr>
      <w:r w:rsidRPr="00416D67">
        <w:t>Projekt je započeo u 2024. godini, pregled utroška sredstava</w:t>
      </w:r>
    </w:p>
    <w:p w14:paraId="00F6FE0F" w14:textId="77777777" w:rsidR="00416D67" w:rsidRPr="00416D67" w:rsidRDefault="00416D67" w:rsidP="00416D67">
      <w:pPr>
        <w:jc w:val="both"/>
      </w:pPr>
      <w:r w:rsidRPr="00416D67">
        <w:t xml:space="preserve">•         2024. godina objava </w:t>
      </w:r>
      <w:proofErr w:type="spellStart"/>
      <w:r w:rsidRPr="00416D67">
        <w:t>banera</w:t>
      </w:r>
      <w:proofErr w:type="spellEnd"/>
      <w:r w:rsidRPr="00416D67">
        <w:t xml:space="preserve"> na portalu Istarski.hr  199,08 EUR</w:t>
      </w:r>
    </w:p>
    <w:p w14:paraId="1E7D2AD7" w14:textId="77777777" w:rsidR="00416D67" w:rsidRPr="00416D67" w:rsidRDefault="00416D67" w:rsidP="00416D67">
      <w:pPr>
        <w:jc w:val="both"/>
      </w:pPr>
      <w:r w:rsidRPr="00416D67">
        <w:t xml:space="preserve">•       2025. godina trošak u iznosu od 663,61 EUR  za uslugu </w:t>
      </w:r>
      <w:proofErr w:type="spellStart"/>
      <w:r w:rsidRPr="00416D67">
        <w:t>uprvljanja</w:t>
      </w:r>
      <w:proofErr w:type="spellEnd"/>
      <w:r w:rsidRPr="00416D67">
        <w:t xml:space="preserve"> projektom 663,61 EUR i iznos od 30.625,00 EUR za izradu strategije Zelene urbane obnove Općine Marčana</w:t>
      </w:r>
    </w:p>
    <w:p w14:paraId="42E14616" w14:textId="77777777" w:rsidR="00416D67" w:rsidRPr="00416D67" w:rsidRDefault="00416D67" w:rsidP="00416D67">
      <w:pPr>
        <w:jc w:val="both"/>
        <w:rPr>
          <w:b/>
        </w:rPr>
      </w:pPr>
    </w:p>
    <w:p w14:paraId="574A8003" w14:textId="77777777" w:rsidR="00416D67" w:rsidRPr="00416D67" w:rsidRDefault="00416D67" w:rsidP="00416D67">
      <w:pPr>
        <w:jc w:val="both"/>
        <w:rPr>
          <w:b/>
          <w:i/>
        </w:rPr>
      </w:pPr>
    </w:p>
    <w:p w14:paraId="601DD64B" w14:textId="77777777" w:rsidR="00416D67" w:rsidRPr="00416D67" w:rsidRDefault="00416D67" w:rsidP="00416D67">
      <w:pPr>
        <w:jc w:val="both"/>
      </w:pPr>
      <w:r w:rsidRPr="00416D67">
        <w:rPr>
          <w:b/>
          <w:i/>
        </w:rPr>
        <w:t>Prihodi od imovine (64)</w:t>
      </w:r>
      <w:r w:rsidRPr="00416D67">
        <w:t xml:space="preserve"> ostvareni u iznosu od 181.561,60 EUR (ostvarenje 181.561,60 EUR)   bilježe povećanje u odnosu na </w:t>
      </w:r>
      <w:proofErr w:type="spellStart"/>
      <w:r w:rsidRPr="00416D67">
        <w:t>ostbvarenje</w:t>
      </w:r>
      <w:proofErr w:type="spellEnd"/>
      <w:r w:rsidRPr="00416D67">
        <w:t xml:space="preserve"> prethodne godine. </w:t>
      </w:r>
    </w:p>
    <w:p w14:paraId="73B2E7F7" w14:textId="77777777" w:rsidR="00416D67" w:rsidRPr="00416D67" w:rsidRDefault="00416D67" w:rsidP="00416D67">
      <w:pPr>
        <w:jc w:val="both"/>
      </w:pPr>
      <w:r w:rsidRPr="00416D67">
        <w:rPr>
          <w:b/>
          <w:i/>
        </w:rPr>
        <w:t>Prihodi od financijske imovine (641)</w:t>
      </w:r>
      <w:r w:rsidRPr="00416D67">
        <w:t>ostvareni su u iznosu</w:t>
      </w:r>
      <w:r w:rsidRPr="00416D67">
        <w:rPr>
          <w:b/>
          <w:i/>
        </w:rPr>
        <w:t xml:space="preserve"> </w:t>
      </w:r>
      <w:r w:rsidRPr="00416D67">
        <w:t>od 30.955,54 EUR (ostvarenje 2024. godina 18.339,68 EUR) i bilježe povećanje  jer su u  izvještajnom razdoblju ostvareni značajni prihodi od kamata na oročena sredstva u iznosu od 29.922,73,75 EUR, dok se iznos od 1.032,81 EUR odnosi na naplaćene kamate za zakašnjela plaćanja komunalne naknade (310,74 EUR)  i komunalnog doprinosa ( 722,07 EUR).</w:t>
      </w:r>
    </w:p>
    <w:p w14:paraId="3179DE13" w14:textId="77777777" w:rsidR="00416D67" w:rsidRPr="00416D67" w:rsidRDefault="00416D67" w:rsidP="00416D67">
      <w:pPr>
        <w:jc w:val="both"/>
      </w:pPr>
      <w:r w:rsidRPr="00416D67">
        <w:rPr>
          <w:b/>
          <w:i/>
        </w:rPr>
        <w:t>Prihodi od nefinancijske imovine (642)</w:t>
      </w:r>
      <w:r w:rsidRPr="00416D67">
        <w:t>ostvareni su u iznosu</w:t>
      </w:r>
      <w:r w:rsidRPr="00416D67">
        <w:rPr>
          <w:b/>
          <w:i/>
        </w:rPr>
        <w:t xml:space="preserve"> </w:t>
      </w:r>
      <w:r w:rsidRPr="00416D67">
        <w:t xml:space="preserve">od 185.520,94 EUR (ostvarenje 2024.godina 163.221,92 EUR) odnose se na prihode od naknade za koncesije 28.636,43EUR (2024. godina 24.386,51 EUR, prihode od zakupa nekretnina 85.510,25 EUR  (2024. godina 91.515,82 EUR) ostvarenje niže u odnosu na prethodnu godinu iz razloga što je došlo do povrata za dvije nekretnine koje su bile u </w:t>
      </w:r>
      <w:proofErr w:type="spellStart"/>
      <w:r w:rsidRPr="00416D67">
        <w:t>najmu,u</w:t>
      </w:r>
      <w:proofErr w:type="spellEnd"/>
      <w:r w:rsidRPr="00416D67">
        <w:t xml:space="preserve"> travnju i listopadu ;  naknade za korištenje nefinancijske imovine u ukupnom iznosu  od 65.627,02 EUR (ostvarenje 2024. godina 36.806,29 EUR) -od čega se na eksploataciju mineralnih sirovina odnosi 56.347,37 EUR ( ostvarenje prethodne godine 27.524,47 EUR) bilježi </w:t>
      </w:r>
      <w:proofErr w:type="spellStart"/>
      <w:r w:rsidRPr="00416D67">
        <w:t>značjano</w:t>
      </w:r>
      <w:proofErr w:type="spellEnd"/>
      <w:r w:rsidRPr="00416D67">
        <w:t xml:space="preserve"> povećanje </w:t>
      </w:r>
      <w:r w:rsidRPr="00416D67">
        <w:rPr>
          <w:bCs/>
        </w:rPr>
        <w:t>a obveze plaćanja naknade za eksploataciju mineralnih sirovina u Republici Hrvatskoj sastoje se od dva obvezna dijela: fiksnog i varijabilnog.</w:t>
      </w:r>
      <w:r w:rsidRPr="00416D67">
        <w:t> Ove su naknade propisane važećim zakonskim okvirima, uključujući Zakon o rudarstvu i pripadajuću </w:t>
      </w:r>
      <w:hyperlink r:id="rId16" w:tgtFrame="_blank" w:history="1">
        <w:r w:rsidRPr="00416D67">
          <w:t>Uredbu o naknadi za koncesiju za eksploataciju mineralnih sirovina</w:t>
        </w:r>
      </w:hyperlink>
      <w:r w:rsidRPr="00416D67">
        <w:t>, prihodi ostvareni od ovih naknada ne idu u potpunosti državi, već se dijele između različitih razina lokalne i regionalne samouprave te državnog proračuna. Najveći dio uglavnom se usmjerava jedinicama lokalne samouprave (općinama i gradovima) na čijem se području vrši eksploatacija, kako bi se kompenzirao utjecaj na okoliš i infrastrukturu</w:t>
      </w:r>
      <w:r w:rsidRPr="00416D67">
        <w:rPr>
          <w:rFonts w:ascii="Arial" w:hAnsi="Arial" w:cs="Arial"/>
          <w:color w:val="0A0A0A"/>
          <w:shd w:val="clear" w:color="auto" w:fill="FFFFFF"/>
        </w:rPr>
        <w:t>;</w:t>
      </w:r>
      <w:r w:rsidRPr="00416D67">
        <w:t xml:space="preserve"> naknade za pravo služnosti 9.277,41 EUR, te spomeničku rentu 2,24 EUR </w:t>
      </w:r>
    </w:p>
    <w:p w14:paraId="2B4955BF" w14:textId="77777777" w:rsidR="00416D67" w:rsidRPr="00416D67" w:rsidRDefault="00416D67" w:rsidP="00416D67">
      <w:pPr>
        <w:jc w:val="both"/>
      </w:pPr>
      <w:r w:rsidRPr="00416D67">
        <w:t>Ostali prihodi od nefinancijske imovine ostvareni u iznosu od 5.696,66 EUR (ostvarenje 2024.godina 10.513,30 EUR) odnose se na naplaćene naknade za legalizaciju objekata.</w:t>
      </w:r>
    </w:p>
    <w:p w14:paraId="376B47DF" w14:textId="77777777" w:rsidR="00416D67" w:rsidRPr="00416D67" w:rsidRDefault="00416D67" w:rsidP="00416D67">
      <w:pPr>
        <w:spacing w:before="6"/>
        <w:jc w:val="both"/>
      </w:pPr>
      <w:r w:rsidRPr="00416D67">
        <w:rPr>
          <w:b/>
          <w:i/>
        </w:rPr>
        <w:t xml:space="preserve"> </w:t>
      </w:r>
    </w:p>
    <w:p w14:paraId="29B0F46E" w14:textId="77777777" w:rsidR="00416D67" w:rsidRPr="00416D67" w:rsidRDefault="00416D67" w:rsidP="00416D67">
      <w:pPr>
        <w:jc w:val="both"/>
      </w:pPr>
      <w:r w:rsidRPr="00416D67">
        <w:rPr>
          <w:b/>
          <w:i/>
        </w:rPr>
        <w:lastRenderedPageBreak/>
        <w:t>Prihodi od upravnih i administrativnih pristojbi, pristojbi po posebnim propisima i naknade (65)</w:t>
      </w:r>
      <w:r w:rsidRPr="00416D67">
        <w:t xml:space="preserve"> ostvareni su u iznosu od 1.292.994,97  EUR, 103,1% ostvarenja  prethodne godine.  od čega prihodi Općine iznose 1.187.393,99  EUR i prihodi proračunskog korisnika 105.600,98 EUR. </w:t>
      </w:r>
    </w:p>
    <w:p w14:paraId="049DDF34" w14:textId="77777777" w:rsidR="00416D67" w:rsidRPr="00416D67" w:rsidRDefault="00416D67" w:rsidP="00416D67">
      <w:pPr>
        <w:jc w:val="both"/>
      </w:pPr>
      <w:r w:rsidRPr="00416D67">
        <w:t>Pojedine skupine prihoda bilježe povećanje ili smanjenje u odnosu na ostvarenje prethodne godine.</w:t>
      </w:r>
    </w:p>
    <w:p w14:paraId="37888D0E" w14:textId="77777777" w:rsidR="00416D67" w:rsidRPr="00416D67" w:rsidRDefault="00416D67" w:rsidP="00416D67">
      <w:pPr>
        <w:jc w:val="both"/>
      </w:pPr>
      <w:r w:rsidRPr="00416D67">
        <w:rPr>
          <w:b/>
          <w:i/>
        </w:rPr>
        <w:t>Prihodi od upravnih i administrativnih pristojbi  (651)</w:t>
      </w:r>
      <w:r w:rsidRPr="00416D67">
        <w:t xml:space="preserve"> ostvareni su u iznosu 64.150,20 EUR (ostvarenje 2024. godina 66.980,30 EUR)</w:t>
      </w:r>
    </w:p>
    <w:p w14:paraId="0C9830A6" w14:textId="77777777" w:rsidR="00416D67" w:rsidRPr="00416D67" w:rsidRDefault="00416D67" w:rsidP="00416D67">
      <w:pPr>
        <w:jc w:val="both"/>
      </w:pPr>
      <w:r w:rsidRPr="00416D67">
        <w:t xml:space="preserve">       - naknada za korištenje javnih površina ostvareni u iznosu od 831,80 EUR (ostvarenje 2024. godina 951,57 EUR) smanjenje prihoda u odnosu na prethodnu godinu odnosi se na korištenje javnih površina prethodne godine za snimanje filmova i reklama, koje se ove godine nisu realizirali,</w:t>
      </w:r>
    </w:p>
    <w:p w14:paraId="458F0C9F" w14:textId="77777777" w:rsidR="00416D67" w:rsidRPr="00416D67" w:rsidRDefault="00416D67" w:rsidP="00416D67">
      <w:pPr>
        <w:jc w:val="both"/>
      </w:pPr>
      <w:r w:rsidRPr="00416D67">
        <w:t xml:space="preserve">       - turistička pristojba ostvareni u iznosu od 61.093,02 EUR (ostvarenje 2024. godina 64.874,32 EUR) a do smanjenja u odnosu na prethodnu godinu došlo je zbog smanjenja obveznika iznajmljivača,</w:t>
      </w:r>
    </w:p>
    <w:p w14:paraId="1BE41212" w14:textId="77777777" w:rsidR="00416D67" w:rsidRPr="00416D67" w:rsidRDefault="00416D67" w:rsidP="00416D67">
      <w:pPr>
        <w:jc w:val="both"/>
      </w:pPr>
      <w:r w:rsidRPr="00416D67">
        <w:t xml:space="preserve">      - naknada za </w:t>
      </w:r>
      <w:proofErr w:type="spellStart"/>
      <w:r w:rsidRPr="00416D67">
        <w:t>promenu</w:t>
      </w:r>
      <w:proofErr w:type="spellEnd"/>
      <w:r w:rsidRPr="00416D67">
        <w:t xml:space="preserve"> namjene poljoprivrednog zemljišta ostvareni su u iznosu od 2.225,38 EUR </w:t>
      </w:r>
    </w:p>
    <w:p w14:paraId="1795FC02" w14:textId="77777777" w:rsidR="00416D67" w:rsidRPr="00416D67" w:rsidRDefault="00416D67" w:rsidP="00416D67">
      <w:pPr>
        <w:jc w:val="both"/>
      </w:pPr>
      <w:r w:rsidRPr="00416D67">
        <w:rPr>
          <w:b/>
          <w:i/>
        </w:rPr>
        <w:t>Prihodi po posebnim propisima  (652)</w:t>
      </w:r>
      <w:r w:rsidRPr="00416D67">
        <w:t xml:space="preserve"> ostvareni su u iznosu 140.571,58 EUR (ostvarenje 2024. godina 158.997,56 EUR) od čega</w:t>
      </w:r>
    </w:p>
    <w:p w14:paraId="6FF1866E" w14:textId="77777777" w:rsidR="00416D67" w:rsidRPr="00416D67" w:rsidRDefault="00416D67" w:rsidP="00416D67">
      <w:pPr>
        <w:jc w:val="both"/>
      </w:pPr>
      <w:r w:rsidRPr="00416D67">
        <w:t xml:space="preserve">       - </w:t>
      </w:r>
      <w:r w:rsidRPr="00416D67">
        <w:rPr>
          <w:b/>
        </w:rPr>
        <w:t>prihodi Općine iznose 34.970,60 EUR</w:t>
      </w:r>
      <w:r w:rsidRPr="00416D67">
        <w:t xml:space="preserve"> (ostvarenje 2024. godina 66.954,17 EUR) sadrže</w:t>
      </w:r>
    </w:p>
    <w:p w14:paraId="1FBF2286" w14:textId="77777777" w:rsidR="00416D67" w:rsidRPr="00416D67" w:rsidRDefault="00416D67" w:rsidP="00416D67">
      <w:pPr>
        <w:jc w:val="both"/>
      </w:pPr>
      <w:r w:rsidRPr="00416D67">
        <w:t>prihode od naknade za dodjelu grobnog mjesta ostvareni u iznosu od 8.727,06 EUR (ostvarenje 2024. godine 11.128,69 EUR), prihodi od refundacija utroška električne energije i vode (za poslovne prostore u zakupu) u iznosu od 5.613,98 EUR (ostvarenje 2024.godina   11.138,94 EUR) i prihodi od refundacija troškova slanja uplatnica komunalne naknade i naknade za uređenje voda u iznosu od 4.997,48 EUR (ostvarenje 2024. godina 3.515,19   EUR), vodni doprinos ostvaren u iznosu od 377,27 EUR (ostvarenje 2024. godina  2.082,99 EUR).</w:t>
      </w:r>
    </w:p>
    <w:p w14:paraId="029C2C33" w14:textId="77777777" w:rsidR="00416D67" w:rsidRPr="00416D67" w:rsidRDefault="00416D67" w:rsidP="00416D67">
      <w:pPr>
        <w:jc w:val="both"/>
      </w:pPr>
    </w:p>
    <w:p w14:paraId="3C5858E0" w14:textId="77777777" w:rsidR="00416D67" w:rsidRPr="00416D67" w:rsidRDefault="00416D67">
      <w:pPr>
        <w:numPr>
          <w:ilvl w:val="0"/>
          <w:numId w:val="17"/>
        </w:numPr>
        <w:jc w:val="both"/>
      </w:pPr>
      <w:r w:rsidRPr="00416D67">
        <w:rPr>
          <w:b/>
        </w:rPr>
        <w:t>prihodi proračunskog korisnika 105.600,98 EUR</w:t>
      </w:r>
      <w:r w:rsidRPr="00416D67">
        <w:t xml:space="preserve"> (ostvarenje 2024. godina 92.043,39 EUR)  za sufinanciranje smještaja boravka a do povećanja je došlo zbog većeg broja djece polaznika vrtića .</w:t>
      </w:r>
    </w:p>
    <w:p w14:paraId="245653A2" w14:textId="77777777" w:rsidR="00416D67" w:rsidRPr="00416D67" w:rsidRDefault="00416D67" w:rsidP="00416D67">
      <w:pPr>
        <w:ind w:left="284"/>
        <w:jc w:val="both"/>
      </w:pPr>
    </w:p>
    <w:p w14:paraId="1ED3388F" w14:textId="77777777" w:rsidR="00416D67" w:rsidRPr="00416D67" w:rsidRDefault="00416D67" w:rsidP="00416D67">
      <w:pPr>
        <w:jc w:val="both"/>
      </w:pPr>
      <w:r w:rsidRPr="00416D67">
        <w:rPr>
          <w:b/>
          <w:i/>
        </w:rPr>
        <w:t>Komunalni doprinosi i naknade  (653)</w:t>
      </w:r>
      <w:r w:rsidRPr="00416D67">
        <w:t xml:space="preserve"> ostvareni su u iznosu 1.088.273,19 EUR (ostvarenje 2024. godina 1.027.900,25 EUR) od čega </w:t>
      </w:r>
    </w:p>
    <w:p w14:paraId="282D7D19" w14:textId="77777777" w:rsidR="00416D67" w:rsidRPr="00416D67" w:rsidRDefault="00416D67" w:rsidP="00416D67">
      <w:pPr>
        <w:jc w:val="both"/>
      </w:pPr>
      <w:r w:rsidRPr="00416D67">
        <w:t xml:space="preserve">-komunalni doprinos 892.583,16 EUR (ostvarenje 2024. godina 836.800,70 </w:t>
      </w:r>
      <w:proofErr w:type="spellStart"/>
      <w:r w:rsidRPr="00416D67">
        <w:t>EUR;ostvarenje</w:t>
      </w:r>
      <w:proofErr w:type="spellEnd"/>
      <w:r w:rsidRPr="00416D67">
        <w:t xml:space="preserve"> 2023. godina 534.880,48 EUR, ostvarenje 2022. godina  604.277,57 EUR; ostvarenje 2021. godina 384.076,90  EUR; ostvarenje 2020.godina 404.554,84 EUR; ostvarenje 2019. godina 652.480,55 EUR) bilježi blago povećanje zbog većeg broja naplaćenih rješenja i</w:t>
      </w:r>
    </w:p>
    <w:p w14:paraId="7424F5EE" w14:textId="77777777" w:rsidR="00416D67" w:rsidRPr="00416D67" w:rsidRDefault="00416D67" w:rsidP="00416D67">
      <w:pPr>
        <w:jc w:val="both"/>
      </w:pPr>
      <w:r w:rsidRPr="00416D67">
        <w:t>-komunalna naknada 195.690,03  EUR  (ostvarenje 2024. godina 191.099,55 EUR; ostvarenje 2023. godina 196.286,98 EUR, ostvarenje 2022. godina  189.033,95 EUR; ostvarenje 2021. godina 196.892,12 EUR ostvarenje 2020.godine 159.712,94 EUR; ostvarenje 2019. godina 202.313,47 EUR) na razini je ostvarenja prethodne godine.</w:t>
      </w:r>
    </w:p>
    <w:p w14:paraId="48FBA119" w14:textId="77777777" w:rsidR="00416D67" w:rsidRPr="00416D67" w:rsidRDefault="00416D67" w:rsidP="00416D67">
      <w:pPr>
        <w:jc w:val="both"/>
      </w:pPr>
    </w:p>
    <w:p w14:paraId="78601CD0" w14:textId="77777777" w:rsidR="00416D67" w:rsidRPr="00416D67" w:rsidRDefault="00416D67" w:rsidP="00416D67">
      <w:pPr>
        <w:contextualSpacing/>
        <w:jc w:val="both"/>
      </w:pPr>
      <w:r w:rsidRPr="00416D67">
        <w:rPr>
          <w:b/>
          <w:i/>
        </w:rPr>
        <w:t>Prihodi od prodaje proizvoda i roba te pruženih usluga, i prihodi od donacija te povrati po protestnim jamstvima  (66)</w:t>
      </w:r>
      <w:r w:rsidRPr="00416D67">
        <w:t xml:space="preserve"> ostvareni su u iznosu od 40.914,92 EUR (ostvarenje 2024.godina 46.294,05 EUR), od čega </w:t>
      </w:r>
    </w:p>
    <w:p w14:paraId="1A3E4483" w14:textId="77777777" w:rsidR="00416D67" w:rsidRPr="00416D67" w:rsidRDefault="00416D67">
      <w:pPr>
        <w:numPr>
          <w:ilvl w:val="0"/>
          <w:numId w:val="17"/>
        </w:numPr>
        <w:contextualSpacing/>
        <w:jc w:val="both"/>
      </w:pPr>
      <w:r w:rsidRPr="00416D67">
        <w:t>prihod Općine 13.510,52 EUR (2024.godina 12.620,67 EUR) ostvaren provizijom 10% doznačenih naplaćenih sredstva Hrvatskim vodama za prihod naknade za uređenje voda, te</w:t>
      </w:r>
    </w:p>
    <w:p w14:paraId="61D70D43" w14:textId="77777777" w:rsidR="00416D67" w:rsidRPr="00416D67" w:rsidRDefault="00416D67">
      <w:pPr>
        <w:numPr>
          <w:ilvl w:val="0"/>
          <w:numId w:val="18"/>
        </w:numPr>
        <w:contextualSpacing/>
        <w:jc w:val="both"/>
      </w:pPr>
      <w:r w:rsidRPr="00416D67">
        <w:t xml:space="preserve">27.404,40 EUR (2024. godina 28.957,80 EUR ) prihoda proračunskog korisnika,     od usluge pripreme i dostave obroka   sa čijom je aktivnosti započeto od 01. listopada 2023, </w:t>
      </w:r>
      <w:r w:rsidRPr="00416D67">
        <w:lastRenderedPageBreak/>
        <w:t>godine . U izvještajnom razdoblju izostali su prihodi od radionice engleskog jezika koja se nije održala jer nije bilo interesa.</w:t>
      </w:r>
    </w:p>
    <w:p w14:paraId="12249B9C" w14:textId="77777777" w:rsidR="00416D67" w:rsidRPr="00416D67" w:rsidRDefault="00416D67" w:rsidP="00416D67">
      <w:pPr>
        <w:contextualSpacing/>
        <w:jc w:val="both"/>
      </w:pPr>
    </w:p>
    <w:p w14:paraId="2172621A" w14:textId="77777777" w:rsidR="00416D67" w:rsidRPr="00416D67" w:rsidRDefault="00416D67" w:rsidP="00416D67">
      <w:pPr>
        <w:contextualSpacing/>
        <w:jc w:val="both"/>
      </w:pPr>
      <w:r w:rsidRPr="00416D67">
        <w:rPr>
          <w:b/>
          <w:i/>
        </w:rPr>
        <w:t>Prihodi od kazni, upravnih mjera i ostali prihodi  (68)</w:t>
      </w:r>
      <w:r w:rsidRPr="00416D67">
        <w:t xml:space="preserve"> ostvareni su u iznosu od 1.260,00 EUR (ostvarenje prethodne godine 555,00 EUR)odnose se na naplaćene kazne komunalnog redara, a koje su izdane u većem broju u odnosu na </w:t>
      </w:r>
      <w:proofErr w:type="spellStart"/>
      <w:r w:rsidRPr="00416D67">
        <w:t>prehodnu</w:t>
      </w:r>
      <w:proofErr w:type="spellEnd"/>
      <w:r w:rsidRPr="00416D67">
        <w:t xml:space="preserve"> godinu. </w:t>
      </w:r>
    </w:p>
    <w:p w14:paraId="3C2A3C4A" w14:textId="77777777" w:rsidR="00416D67" w:rsidRPr="00416D67" w:rsidRDefault="00416D67" w:rsidP="00416D67">
      <w:pPr>
        <w:tabs>
          <w:tab w:val="left" w:pos="8820"/>
        </w:tabs>
        <w:ind w:right="23"/>
        <w:jc w:val="both"/>
        <w:rPr>
          <w:b/>
          <w:i/>
        </w:rPr>
      </w:pPr>
    </w:p>
    <w:p w14:paraId="3B57A93E" w14:textId="77777777" w:rsidR="00416D67" w:rsidRPr="00416D67" w:rsidRDefault="00416D67" w:rsidP="00416D67">
      <w:pPr>
        <w:tabs>
          <w:tab w:val="left" w:pos="8820"/>
        </w:tabs>
        <w:ind w:right="23"/>
        <w:jc w:val="both"/>
      </w:pPr>
      <w:r w:rsidRPr="00416D67">
        <w:rPr>
          <w:b/>
          <w:i/>
        </w:rPr>
        <w:t>Prihodi od prodaje nefinancijske imovine (7)</w:t>
      </w:r>
      <w:r w:rsidRPr="00416D67">
        <w:t xml:space="preserve"> ostvaren je u iznosu od 1.632.646,65 EUR (ostvarenje 2024. godine 8.886,01 EUR ) od čega prihod od prodaje zemljišta 1.629.700,00 EUR (2024. godina 2.140,00 EUR), te prihod od </w:t>
      </w:r>
      <w:proofErr w:type="spellStart"/>
      <w:r w:rsidRPr="00416D67">
        <w:t>prodje</w:t>
      </w:r>
      <w:proofErr w:type="spellEnd"/>
      <w:r w:rsidRPr="00416D67">
        <w:t xml:space="preserve"> poljoprivrednih zemljišta u vlasništvu države 2.946,65 EUR (2024. godina 6.746,01 EUR). Prihod u izvještajnom razdoblju bilježi povećanje u odnosu na ostvarenje prethodne godine, a ostvareni prihodi najvećim dijelom odnose se na prihode od prodaje nefinancijske imovine , na     prodaju  k.č.br. 1817 k.o. Marčana u Poslovnoj zoni Marčana jug, trgovačkom društvu  TOMMY d.o.o. sa sjedištem u Splitu, koje je na javnom nadmetanju održanom, temeljem javnog natječaja, 31. siječanja 2025. godine, ponudilo za predmetno zemljište  najvišu cijenu u visini od 1.600.000 EUR.</w:t>
      </w:r>
    </w:p>
    <w:p w14:paraId="2D047881" w14:textId="77777777" w:rsidR="00416D67" w:rsidRPr="00416D67" w:rsidRDefault="00416D67" w:rsidP="00416D67">
      <w:pPr>
        <w:jc w:val="both"/>
      </w:pPr>
      <w:r w:rsidRPr="00416D67">
        <w:t xml:space="preserve"> </w:t>
      </w:r>
    </w:p>
    <w:p w14:paraId="1F8FC38F" w14:textId="77777777" w:rsidR="00416D67" w:rsidRPr="00416D67" w:rsidRDefault="00416D67" w:rsidP="00416D67">
      <w:pPr>
        <w:rPr>
          <w:color w:val="000000"/>
        </w:rPr>
      </w:pPr>
      <w:r w:rsidRPr="00416D67">
        <w:rPr>
          <w:b/>
          <w:i/>
        </w:rPr>
        <w:t>Primici od financijske imovine i zaduživanja (8)</w:t>
      </w:r>
      <w:r w:rsidRPr="00416D67">
        <w:t xml:space="preserve"> u izvještajnom razdoblju </w:t>
      </w:r>
      <w:proofErr w:type="spellStart"/>
      <w:r w:rsidRPr="00416D67">
        <w:rPr>
          <w:snapToGrid w:val="0"/>
          <w:color w:val="000000"/>
          <w:lang w:val="en-AU"/>
        </w:rPr>
        <w:t>ostvareni</w:t>
      </w:r>
      <w:proofErr w:type="spellEnd"/>
      <w:r w:rsidRPr="00416D67">
        <w:rPr>
          <w:snapToGrid w:val="0"/>
          <w:color w:val="000000"/>
          <w:lang w:val="en-AU"/>
        </w:rPr>
        <w:t xml:space="preserve"> </w:t>
      </w:r>
      <w:proofErr w:type="spellStart"/>
      <w:r w:rsidRPr="00416D67">
        <w:rPr>
          <w:snapToGrid w:val="0"/>
          <w:color w:val="000000"/>
          <w:lang w:val="en-AU"/>
        </w:rPr>
        <w:t>su</w:t>
      </w:r>
      <w:proofErr w:type="spellEnd"/>
      <w:r w:rsidRPr="00416D67">
        <w:rPr>
          <w:snapToGrid w:val="0"/>
          <w:color w:val="000000"/>
          <w:lang w:val="en-AU"/>
        </w:rPr>
        <w:t xml:space="preserve"> u </w:t>
      </w:r>
      <w:proofErr w:type="spellStart"/>
      <w:r w:rsidRPr="00416D67">
        <w:rPr>
          <w:snapToGrid w:val="0"/>
          <w:color w:val="000000"/>
          <w:lang w:val="en-AU"/>
        </w:rPr>
        <w:t>iznosu</w:t>
      </w:r>
      <w:proofErr w:type="spellEnd"/>
      <w:r w:rsidRPr="00416D67">
        <w:rPr>
          <w:snapToGrid w:val="0"/>
          <w:color w:val="000000"/>
          <w:lang w:val="en-AU"/>
        </w:rPr>
        <w:t xml:space="preserve"> od 42.776,75 EUR (u </w:t>
      </w:r>
      <w:proofErr w:type="spellStart"/>
      <w:r w:rsidRPr="00416D67">
        <w:rPr>
          <w:snapToGrid w:val="0"/>
          <w:color w:val="000000"/>
          <w:lang w:val="en-AU"/>
        </w:rPr>
        <w:t>izvještajnom</w:t>
      </w:r>
      <w:proofErr w:type="spellEnd"/>
      <w:r w:rsidRPr="00416D67">
        <w:rPr>
          <w:snapToGrid w:val="0"/>
          <w:color w:val="000000"/>
          <w:lang w:val="en-AU"/>
        </w:rPr>
        <w:t xml:space="preserve"> </w:t>
      </w:r>
      <w:proofErr w:type="spellStart"/>
      <w:r w:rsidRPr="00416D67">
        <w:rPr>
          <w:snapToGrid w:val="0"/>
          <w:color w:val="000000"/>
          <w:lang w:val="en-AU"/>
        </w:rPr>
        <w:t>razdoblju</w:t>
      </w:r>
      <w:proofErr w:type="spellEnd"/>
      <w:r w:rsidRPr="00416D67">
        <w:rPr>
          <w:snapToGrid w:val="0"/>
          <w:color w:val="000000"/>
          <w:lang w:val="en-AU"/>
        </w:rPr>
        <w:t xml:space="preserve"> </w:t>
      </w:r>
      <w:proofErr w:type="spellStart"/>
      <w:r w:rsidRPr="00416D67">
        <w:rPr>
          <w:snapToGrid w:val="0"/>
          <w:color w:val="000000"/>
          <w:lang w:val="en-AU"/>
        </w:rPr>
        <w:t>prethodne</w:t>
      </w:r>
      <w:proofErr w:type="spellEnd"/>
      <w:r w:rsidRPr="00416D67">
        <w:rPr>
          <w:snapToGrid w:val="0"/>
          <w:color w:val="000000"/>
          <w:lang w:val="en-AU"/>
        </w:rPr>
        <w:t xml:space="preserve"> </w:t>
      </w:r>
      <w:proofErr w:type="spellStart"/>
      <w:r w:rsidRPr="00416D67">
        <w:rPr>
          <w:snapToGrid w:val="0"/>
          <w:color w:val="000000"/>
          <w:lang w:val="en-AU"/>
        </w:rPr>
        <w:t>godine</w:t>
      </w:r>
      <w:proofErr w:type="spellEnd"/>
      <w:r w:rsidRPr="00416D67">
        <w:rPr>
          <w:snapToGrid w:val="0"/>
          <w:color w:val="000000"/>
          <w:lang w:val="en-AU"/>
        </w:rPr>
        <w:t xml:space="preserve"> </w:t>
      </w:r>
      <w:proofErr w:type="spellStart"/>
      <w:r w:rsidRPr="00416D67">
        <w:rPr>
          <w:snapToGrid w:val="0"/>
          <w:color w:val="000000"/>
          <w:lang w:val="en-AU"/>
        </w:rPr>
        <w:t>nije</w:t>
      </w:r>
      <w:proofErr w:type="spellEnd"/>
      <w:r w:rsidRPr="00416D67">
        <w:rPr>
          <w:snapToGrid w:val="0"/>
          <w:color w:val="000000"/>
          <w:lang w:val="en-AU"/>
        </w:rPr>
        <w:t xml:space="preserve"> </w:t>
      </w:r>
      <w:proofErr w:type="spellStart"/>
      <w:r w:rsidRPr="00416D67">
        <w:rPr>
          <w:snapToGrid w:val="0"/>
          <w:color w:val="000000"/>
          <w:lang w:val="en-AU"/>
        </w:rPr>
        <w:t>bilo</w:t>
      </w:r>
      <w:proofErr w:type="spellEnd"/>
      <w:r w:rsidRPr="00416D67">
        <w:rPr>
          <w:snapToGrid w:val="0"/>
          <w:color w:val="000000"/>
          <w:lang w:val="en-AU"/>
        </w:rPr>
        <w:t xml:space="preserve"> </w:t>
      </w:r>
      <w:proofErr w:type="spellStart"/>
      <w:r w:rsidRPr="00416D67">
        <w:rPr>
          <w:snapToGrid w:val="0"/>
          <w:color w:val="000000"/>
          <w:lang w:val="en-AU"/>
        </w:rPr>
        <w:t>ostvarenja</w:t>
      </w:r>
      <w:proofErr w:type="spellEnd"/>
      <w:r w:rsidRPr="00416D67">
        <w:rPr>
          <w:snapToGrid w:val="0"/>
          <w:color w:val="000000"/>
          <w:lang w:val="en-AU"/>
        </w:rPr>
        <w:t xml:space="preserve">), a </w:t>
      </w:r>
      <w:proofErr w:type="spellStart"/>
      <w:r w:rsidRPr="00416D67">
        <w:rPr>
          <w:snapToGrid w:val="0"/>
          <w:color w:val="000000"/>
          <w:lang w:val="en-AU"/>
        </w:rPr>
        <w:t>odnosi</w:t>
      </w:r>
      <w:proofErr w:type="spellEnd"/>
      <w:r w:rsidRPr="00416D67">
        <w:rPr>
          <w:snapToGrid w:val="0"/>
          <w:color w:val="000000"/>
          <w:lang w:val="en-AU"/>
        </w:rPr>
        <w:t xml:space="preserve"> se </w:t>
      </w:r>
      <w:proofErr w:type="spellStart"/>
      <w:r w:rsidRPr="00416D67">
        <w:rPr>
          <w:snapToGrid w:val="0"/>
          <w:color w:val="000000"/>
          <w:lang w:val="en-AU"/>
        </w:rPr>
        <w:t>na</w:t>
      </w:r>
      <w:proofErr w:type="spellEnd"/>
      <w:r w:rsidRPr="00416D67">
        <w:rPr>
          <w:snapToGrid w:val="0"/>
          <w:color w:val="000000"/>
          <w:lang w:val="en-AU"/>
        </w:rPr>
        <w:t xml:space="preserve"> </w:t>
      </w:r>
      <w:proofErr w:type="spellStart"/>
      <w:r w:rsidRPr="00416D67">
        <w:rPr>
          <w:snapToGrid w:val="0"/>
          <w:color w:val="000000"/>
          <w:lang w:val="en-AU"/>
        </w:rPr>
        <w:t>povrat</w:t>
      </w:r>
      <w:proofErr w:type="spellEnd"/>
      <w:r w:rsidRPr="00416D67">
        <w:rPr>
          <w:snapToGrid w:val="0"/>
          <w:color w:val="000000"/>
          <w:lang w:val="en-AU"/>
        </w:rPr>
        <w:t xml:space="preserve"> </w:t>
      </w:r>
      <w:proofErr w:type="spellStart"/>
      <w:r w:rsidRPr="00416D67">
        <w:rPr>
          <w:snapToGrid w:val="0"/>
          <w:color w:val="000000"/>
          <w:lang w:val="en-AU"/>
        </w:rPr>
        <w:t>danog</w:t>
      </w:r>
      <w:proofErr w:type="spellEnd"/>
      <w:r w:rsidRPr="00416D67">
        <w:rPr>
          <w:snapToGrid w:val="0"/>
          <w:color w:val="000000"/>
          <w:lang w:val="en-AU"/>
        </w:rPr>
        <w:t xml:space="preserve"> </w:t>
      </w:r>
      <w:proofErr w:type="spellStart"/>
      <w:r w:rsidRPr="00416D67">
        <w:rPr>
          <w:snapToGrid w:val="0"/>
          <w:color w:val="000000"/>
          <w:lang w:val="en-AU"/>
        </w:rPr>
        <w:t>zajma</w:t>
      </w:r>
      <w:proofErr w:type="spellEnd"/>
      <w:r w:rsidRPr="00416D67">
        <w:rPr>
          <w:snapToGrid w:val="0"/>
          <w:color w:val="000000"/>
          <w:lang w:val="en-AU"/>
        </w:rPr>
        <w:t xml:space="preserve"> </w:t>
      </w:r>
      <w:proofErr w:type="spellStart"/>
      <w:r w:rsidRPr="00416D67">
        <w:rPr>
          <w:snapToGrid w:val="0"/>
          <w:color w:val="000000"/>
          <w:lang w:val="en-AU"/>
        </w:rPr>
        <w:t>neprofitnoj</w:t>
      </w:r>
      <w:proofErr w:type="spellEnd"/>
      <w:r w:rsidRPr="00416D67">
        <w:rPr>
          <w:snapToGrid w:val="0"/>
          <w:color w:val="000000"/>
          <w:lang w:val="en-AU"/>
        </w:rPr>
        <w:t xml:space="preserve"> </w:t>
      </w:r>
      <w:proofErr w:type="spellStart"/>
      <w:r w:rsidRPr="00416D67">
        <w:rPr>
          <w:snapToGrid w:val="0"/>
          <w:color w:val="000000"/>
          <w:lang w:val="en-AU"/>
        </w:rPr>
        <w:t>organizaciji</w:t>
      </w:r>
      <w:proofErr w:type="spellEnd"/>
      <w:r w:rsidRPr="00416D67">
        <w:rPr>
          <w:snapToGrid w:val="0"/>
          <w:color w:val="000000"/>
          <w:lang w:val="en-AU"/>
        </w:rPr>
        <w:t xml:space="preserve"> u </w:t>
      </w:r>
      <w:proofErr w:type="spellStart"/>
      <w:r w:rsidRPr="00416D67">
        <w:rPr>
          <w:snapToGrid w:val="0"/>
          <w:color w:val="000000"/>
          <w:lang w:val="en-AU"/>
        </w:rPr>
        <w:t>iznosu</w:t>
      </w:r>
      <w:proofErr w:type="spellEnd"/>
      <w:r w:rsidRPr="00416D67">
        <w:rPr>
          <w:snapToGrid w:val="0"/>
          <w:color w:val="000000"/>
          <w:lang w:val="en-AU"/>
        </w:rPr>
        <w:t xml:space="preserve"> od 40.000,00 EUR ,</w:t>
      </w:r>
      <w:proofErr w:type="spellStart"/>
      <w:r w:rsidRPr="00416D67">
        <w:rPr>
          <w:snapToGrid w:val="0"/>
          <w:color w:val="000000"/>
          <w:lang w:val="en-AU"/>
        </w:rPr>
        <w:t>te</w:t>
      </w:r>
      <w:proofErr w:type="spellEnd"/>
      <w:r w:rsidRPr="00416D67">
        <w:rPr>
          <w:snapToGrid w:val="0"/>
          <w:color w:val="000000"/>
          <w:lang w:val="en-AU"/>
        </w:rPr>
        <w:t xml:space="preserve">  </w:t>
      </w:r>
      <w:proofErr w:type="spellStart"/>
      <w:r w:rsidRPr="00416D67">
        <w:rPr>
          <w:snapToGrid w:val="0"/>
          <w:color w:val="000000"/>
          <w:lang w:val="en-AU"/>
        </w:rPr>
        <w:t>na</w:t>
      </w:r>
      <w:proofErr w:type="spellEnd"/>
      <w:r w:rsidRPr="00416D67">
        <w:rPr>
          <w:snapToGrid w:val="0"/>
          <w:color w:val="000000"/>
          <w:lang w:val="en-AU"/>
        </w:rPr>
        <w:t xml:space="preserve"> </w:t>
      </w:r>
      <w:proofErr w:type="spellStart"/>
      <w:r w:rsidRPr="00416D67">
        <w:rPr>
          <w:snapToGrid w:val="0"/>
          <w:color w:val="000000"/>
          <w:lang w:val="en-AU"/>
        </w:rPr>
        <w:t>primitak</w:t>
      </w:r>
      <w:proofErr w:type="spellEnd"/>
      <w:r w:rsidRPr="00416D67">
        <w:rPr>
          <w:snapToGrid w:val="0"/>
          <w:color w:val="000000"/>
          <w:lang w:val="en-AU"/>
        </w:rPr>
        <w:t xml:space="preserve"> od </w:t>
      </w:r>
      <w:proofErr w:type="spellStart"/>
      <w:r w:rsidRPr="00416D67">
        <w:rPr>
          <w:snapToGrid w:val="0"/>
          <w:color w:val="000000"/>
          <w:lang w:val="en-AU"/>
        </w:rPr>
        <w:t>povrata</w:t>
      </w:r>
      <w:proofErr w:type="spellEnd"/>
      <w:r w:rsidRPr="00416D67">
        <w:rPr>
          <w:snapToGrid w:val="0"/>
          <w:color w:val="000000"/>
          <w:lang w:val="en-AU"/>
        </w:rPr>
        <w:t xml:space="preserve"> </w:t>
      </w:r>
      <w:proofErr w:type="spellStart"/>
      <w:r w:rsidRPr="00416D67">
        <w:rPr>
          <w:snapToGrid w:val="0"/>
          <w:color w:val="000000"/>
          <w:lang w:val="en-AU"/>
        </w:rPr>
        <w:t>jamčevnog</w:t>
      </w:r>
      <w:proofErr w:type="spellEnd"/>
      <w:r w:rsidRPr="00416D67">
        <w:rPr>
          <w:snapToGrid w:val="0"/>
          <w:color w:val="000000"/>
          <w:lang w:val="en-AU"/>
        </w:rPr>
        <w:t xml:space="preserve"> </w:t>
      </w:r>
      <w:proofErr w:type="spellStart"/>
      <w:r w:rsidRPr="00416D67">
        <w:rPr>
          <w:snapToGrid w:val="0"/>
          <w:color w:val="000000"/>
          <w:lang w:val="en-AU"/>
        </w:rPr>
        <w:t>pologa</w:t>
      </w:r>
      <w:proofErr w:type="spellEnd"/>
      <w:r w:rsidRPr="00416D67">
        <w:rPr>
          <w:snapToGrid w:val="0"/>
          <w:color w:val="000000"/>
          <w:lang w:val="en-AU"/>
        </w:rPr>
        <w:t xml:space="preserve"> u </w:t>
      </w:r>
      <w:proofErr w:type="spellStart"/>
      <w:r w:rsidRPr="00416D67">
        <w:rPr>
          <w:snapToGrid w:val="0"/>
          <w:color w:val="000000"/>
          <w:lang w:val="en-AU"/>
        </w:rPr>
        <w:t>iznosu</w:t>
      </w:r>
      <w:proofErr w:type="spellEnd"/>
      <w:r w:rsidRPr="00416D67">
        <w:rPr>
          <w:snapToGrid w:val="0"/>
          <w:color w:val="000000"/>
          <w:lang w:val="en-AU"/>
        </w:rPr>
        <w:t xml:space="preserve"> od 2.776,75 EUR (</w:t>
      </w:r>
      <w:proofErr w:type="spellStart"/>
      <w:r w:rsidRPr="00416D67">
        <w:rPr>
          <w:snapToGrid w:val="0"/>
          <w:color w:val="000000"/>
          <w:lang w:val="en-AU"/>
        </w:rPr>
        <w:t>nakon</w:t>
      </w:r>
      <w:proofErr w:type="spellEnd"/>
      <w:r w:rsidRPr="00416D67">
        <w:rPr>
          <w:snapToGrid w:val="0"/>
          <w:color w:val="000000"/>
          <w:lang w:val="en-AU"/>
        </w:rPr>
        <w:t xml:space="preserve"> </w:t>
      </w:r>
      <w:proofErr w:type="spellStart"/>
      <w:r w:rsidRPr="00416D67">
        <w:rPr>
          <w:snapToGrid w:val="0"/>
          <w:color w:val="000000"/>
          <w:lang w:val="en-AU"/>
        </w:rPr>
        <w:t>isteka</w:t>
      </w:r>
      <w:proofErr w:type="spellEnd"/>
      <w:r w:rsidRPr="00416D67">
        <w:rPr>
          <w:snapToGrid w:val="0"/>
          <w:color w:val="000000"/>
          <w:lang w:val="en-AU"/>
        </w:rPr>
        <w:t xml:space="preserve"> </w:t>
      </w:r>
      <w:proofErr w:type="spellStart"/>
      <w:r w:rsidRPr="00416D67">
        <w:rPr>
          <w:snapToGrid w:val="0"/>
          <w:color w:val="000000"/>
          <w:lang w:val="en-AU"/>
        </w:rPr>
        <w:t>operativnog</w:t>
      </w:r>
      <w:proofErr w:type="spellEnd"/>
      <w:r w:rsidRPr="00416D67">
        <w:rPr>
          <w:snapToGrid w:val="0"/>
          <w:color w:val="000000"/>
          <w:lang w:val="en-AU"/>
        </w:rPr>
        <w:t xml:space="preserve"> </w:t>
      </w:r>
      <w:proofErr w:type="spellStart"/>
      <w:r w:rsidRPr="00416D67">
        <w:rPr>
          <w:snapToGrid w:val="0"/>
          <w:color w:val="000000"/>
          <w:lang w:val="en-AU"/>
        </w:rPr>
        <w:t>leasinga</w:t>
      </w:r>
      <w:proofErr w:type="spellEnd"/>
      <w:r w:rsidRPr="00416D67">
        <w:rPr>
          <w:snapToGrid w:val="0"/>
          <w:color w:val="000000"/>
          <w:lang w:val="en-AU"/>
        </w:rPr>
        <w:t xml:space="preserve"> </w:t>
      </w:r>
      <w:proofErr w:type="spellStart"/>
      <w:r w:rsidRPr="00416D67">
        <w:rPr>
          <w:snapToGrid w:val="0"/>
          <w:color w:val="000000"/>
          <w:lang w:val="en-AU"/>
        </w:rPr>
        <w:t>vraćen</w:t>
      </w:r>
      <w:proofErr w:type="spellEnd"/>
      <w:r w:rsidRPr="00416D67">
        <w:rPr>
          <w:snapToGrid w:val="0"/>
          <w:color w:val="000000"/>
          <w:lang w:val="en-AU"/>
        </w:rPr>
        <w:t xml:space="preserve"> je </w:t>
      </w:r>
      <w:proofErr w:type="spellStart"/>
      <w:r w:rsidRPr="00416D67">
        <w:rPr>
          <w:snapToGrid w:val="0"/>
          <w:color w:val="000000"/>
          <w:lang w:val="en-AU"/>
        </w:rPr>
        <w:t>jamčevni</w:t>
      </w:r>
      <w:proofErr w:type="spellEnd"/>
      <w:r w:rsidRPr="00416D67">
        <w:rPr>
          <w:snapToGrid w:val="0"/>
          <w:color w:val="000000"/>
          <w:lang w:val="en-AU"/>
        </w:rPr>
        <w:t xml:space="preserve"> </w:t>
      </w:r>
      <w:proofErr w:type="spellStart"/>
      <w:r w:rsidRPr="00416D67">
        <w:rPr>
          <w:snapToGrid w:val="0"/>
          <w:color w:val="000000"/>
          <w:lang w:val="en-AU"/>
        </w:rPr>
        <w:t>polog</w:t>
      </w:r>
      <w:proofErr w:type="spellEnd"/>
      <w:r w:rsidRPr="00416D67">
        <w:rPr>
          <w:snapToGrid w:val="0"/>
          <w:color w:val="000000"/>
          <w:lang w:val="en-AU"/>
        </w:rPr>
        <w:t>).</w:t>
      </w:r>
    </w:p>
    <w:p w14:paraId="694DFE7E" w14:textId="77777777" w:rsidR="00416D67" w:rsidRPr="00416D67" w:rsidRDefault="00416D67" w:rsidP="00416D67">
      <w:pPr>
        <w:rPr>
          <w:b/>
          <w:bCs/>
        </w:rPr>
      </w:pPr>
    </w:p>
    <w:p w14:paraId="702914CB" w14:textId="77777777" w:rsidR="00416D67" w:rsidRPr="00416D67" w:rsidRDefault="00416D67" w:rsidP="00416D67">
      <w:pPr>
        <w:rPr>
          <w:b/>
          <w:bCs/>
        </w:rPr>
      </w:pPr>
      <w:r w:rsidRPr="00416D67">
        <w:rPr>
          <w:b/>
          <w:bCs/>
        </w:rPr>
        <w:t>Tablica 3.  Pregled planiranih i ostvarenih prihoda/primitaka po izvorima financiranja u 2025. godini</w:t>
      </w:r>
    </w:p>
    <w:p w14:paraId="730F9499" w14:textId="77777777" w:rsidR="00416D67" w:rsidRPr="00416D67" w:rsidRDefault="00416D67" w:rsidP="00416D67">
      <w:pPr>
        <w:rPr>
          <w:b/>
          <w:bCs/>
        </w:rPr>
      </w:pPr>
    </w:p>
    <w:tbl>
      <w:tblPr>
        <w:tblW w:w="10608" w:type="dxa"/>
        <w:jc w:val="center"/>
        <w:tblLook w:val="04A0" w:firstRow="1" w:lastRow="0" w:firstColumn="1" w:lastColumn="0" w:noHBand="0" w:noVBand="1"/>
      </w:tblPr>
      <w:tblGrid>
        <w:gridCol w:w="4601"/>
        <w:gridCol w:w="1034"/>
        <w:gridCol w:w="1034"/>
        <w:gridCol w:w="1034"/>
        <w:gridCol w:w="1034"/>
        <w:gridCol w:w="925"/>
        <w:gridCol w:w="946"/>
      </w:tblGrid>
      <w:tr w:rsidR="00416D67" w:rsidRPr="00416D67" w14:paraId="7498EA0A" w14:textId="77777777" w:rsidTr="00BB1392">
        <w:trPr>
          <w:trHeight w:val="720"/>
          <w:jc w:val="center"/>
        </w:trPr>
        <w:tc>
          <w:tcPr>
            <w:tcW w:w="4601"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37C49E4E"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 xml:space="preserve">Prihodi prema izvorima financiranja </w:t>
            </w:r>
          </w:p>
        </w:tc>
        <w:tc>
          <w:tcPr>
            <w:tcW w:w="1034" w:type="dxa"/>
            <w:tcBorders>
              <w:top w:val="single" w:sz="4" w:space="0" w:color="auto"/>
              <w:left w:val="nil"/>
              <w:bottom w:val="single" w:sz="4" w:space="0" w:color="auto"/>
              <w:right w:val="single" w:sz="4" w:space="0" w:color="auto"/>
            </w:tcBorders>
            <w:shd w:val="clear" w:color="000000" w:fill="C0C0C0"/>
            <w:vAlign w:val="center"/>
            <w:hideMark/>
          </w:tcPr>
          <w:p w14:paraId="0CF9DF65"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2024. godina</w:t>
            </w:r>
          </w:p>
        </w:tc>
        <w:tc>
          <w:tcPr>
            <w:tcW w:w="1034" w:type="dxa"/>
            <w:tcBorders>
              <w:top w:val="single" w:sz="4" w:space="0" w:color="auto"/>
              <w:left w:val="nil"/>
              <w:bottom w:val="single" w:sz="4" w:space="0" w:color="auto"/>
              <w:right w:val="single" w:sz="4" w:space="0" w:color="auto"/>
            </w:tcBorders>
            <w:shd w:val="clear" w:color="000000" w:fill="C0C0C0"/>
            <w:vAlign w:val="center"/>
            <w:hideMark/>
          </w:tcPr>
          <w:p w14:paraId="68FBDCFC"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034" w:type="dxa"/>
            <w:tcBorders>
              <w:top w:val="single" w:sz="4" w:space="0" w:color="auto"/>
              <w:left w:val="nil"/>
              <w:bottom w:val="single" w:sz="4" w:space="0" w:color="auto"/>
              <w:right w:val="single" w:sz="4" w:space="0" w:color="auto"/>
            </w:tcBorders>
            <w:shd w:val="clear" w:color="000000" w:fill="C0C0C0"/>
            <w:vAlign w:val="center"/>
            <w:hideMark/>
          </w:tcPr>
          <w:p w14:paraId="2159B1B3"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034" w:type="dxa"/>
            <w:tcBorders>
              <w:top w:val="single" w:sz="4" w:space="0" w:color="auto"/>
              <w:left w:val="nil"/>
              <w:bottom w:val="single" w:sz="4" w:space="0" w:color="auto"/>
              <w:right w:val="single" w:sz="4" w:space="0" w:color="auto"/>
            </w:tcBorders>
            <w:shd w:val="clear" w:color="000000" w:fill="C0C0C0"/>
            <w:vAlign w:val="center"/>
            <w:hideMark/>
          </w:tcPr>
          <w:p w14:paraId="0902E710"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925" w:type="dxa"/>
            <w:tcBorders>
              <w:top w:val="single" w:sz="4" w:space="0" w:color="auto"/>
              <w:left w:val="nil"/>
              <w:bottom w:val="single" w:sz="4" w:space="0" w:color="auto"/>
              <w:right w:val="single" w:sz="4" w:space="0" w:color="auto"/>
            </w:tcBorders>
            <w:shd w:val="clear" w:color="000000" w:fill="C0C0C0"/>
            <w:vAlign w:val="center"/>
            <w:hideMark/>
          </w:tcPr>
          <w:p w14:paraId="4F670BC8"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4/1</w:t>
            </w:r>
          </w:p>
        </w:tc>
        <w:tc>
          <w:tcPr>
            <w:tcW w:w="946" w:type="dxa"/>
            <w:tcBorders>
              <w:top w:val="single" w:sz="4" w:space="0" w:color="auto"/>
              <w:left w:val="nil"/>
              <w:bottom w:val="single" w:sz="4" w:space="0" w:color="auto"/>
              <w:right w:val="single" w:sz="4" w:space="0" w:color="auto"/>
            </w:tcBorders>
            <w:shd w:val="clear" w:color="000000" w:fill="C0C0C0"/>
            <w:vAlign w:val="center"/>
            <w:hideMark/>
          </w:tcPr>
          <w:p w14:paraId="3F3BCF9F"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4/3</w:t>
            </w:r>
          </w:p>
        </w:tc>
      </w:tr>
      <w:tr w:rsidR="00416D67" w:rsidRPr="00416D67" w14:paraId="376BCBFA"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9577553"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 xml:space="preserve"> </w:t>
            </w:r>
          </w:p>
        </w:tc>
        <w:tc>
          <w:tcPr>
            <w:tcW w:w="1034" w:type="dxa"/>
            <w:tcBorders>
              <w:top w:val="single" w:sz="4" w:space="0" w:color="auto"/>
              <w:left w:val="nil"/>
              <w:bottom w:val="single" w:sz="4" w:space="0" w:color="auto"/>
              <w:right w:val="single" w:sz="4" w:space="0" w:color="auto"/>
            </w:tcBorders>
            <w:shd w:val="clear" w:color="000000" w:fill="C0C0C0"/>
            <w:noWrap/>
            <w:vAlign w:val="bottom"/>
            <w:hideMark/>
          </w:tcPr>
          <w:p w14:paraId="1B3CB604"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1</w:t>
            </w:r>
          </w:p>
        </w:tc>
        <w:tc>
          <w:tcPr>
            <w:tcW w:w="1034" w:type="dxa"/>
            <w:tcBorders>
              <w:top w:val="single" w:sz="4" w:space="0" w:color="auto"/>
              <w:left w:val="nil"/>
              <w:bottom w:val="single" w:sz="4" w:space="0" w:color="auto"/>
              <w:right w:val="single" w:sz="4" w:space="0" w:color="auto"/>
            </w:tcBorders>
            <w:shd w:val="clear" w:color="000000" w:fill="C0C0C0"/>
            <w:noWrap/>
            <w:vAlign w:val="bottom"/>
            <w:hideMark/>
          </w:tcPr>
          <w:p w14:paraId="031F6829"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2</w:t>
            </w:r>
          </w:p>
        </w:tc>
        <w:tc>
          <w:tcPr>
            <w:tcW w:w="1034" w:type="dxa"/>
            <w:tcBorders>
              <w:top w:val="single" w:sz="4" w:space="0" w:color="auto"/>
              <w:left w:val="nil"/>
              <w:bottom w:val="single" w:sz="4" w:space="0" w:color="auto"/>
              <w:right w:val="single" w:sz="4" w:space="0" w:color="auto"/>
            </w:tcBorders>
            <w:shd w:val="clear" w:color="000000" w:fill="C0C0C0"/>
            <w:noWrap/>
            <w:vAlign w:val="bottom"/>
            <w:hideMark/>
          </w:tcPr>
          <w:p w14:paraId="66EBA2EA"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3</w:t>
            </w:r>
          </w:p>
        </w:tc>
        <w:tc>
          <w:tcPr>
            <w:tcW w:w="1034" w:type="dxa"/>
            <w:tcBorders>
              <w:top w:val="single" w:sz="4" w:space="0" w:color="auto"/>
              <w:left w:val="nil"/>
              <w:bottom w:val="single" w:sz="4" w:space="0" w:color="auto"/>
              <w:right w:val="single" w:sz="4" w:space="0" w:color="auto"/>
            </w:tcBorders>
            <w:shd w:val="clear" w:color="000000" w:fill="C0C0C0"/>
            <w:noWrap/>
            <w:vAlign w:val="bottom"/>
            <w:hideMark/>
          </w:tcPr>
          <w:p w14:paraId="78D5E9C9"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4</w:t>
            </w:r>
          </w:p>
        </w:tc>
        <w:tc>
          <w:tcPr>
            <w:tcW w:w="925" w:type="dxa"/>
            <w:tcBorders>
              <w:top w:val="nil"/>
              <w:left w:val="nil"/>
              <w:bottom w:val="single" w:sz="4" w:space="0" w:color="auto"/>
              <w:right w:val="single" w:sz="4" w:space="0" w:color="auto"/>
            </w:tcBorders>
            <w:shd w:val="clear" w:color="000000" w:fill="C0C0C0"/>
            <w:noWrap/>
            <w:vAlign w:val="bottom"/>
            <w:hideMark/>
          </w:tcPr>
          <w:p w14:paraId="4176C1C0"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5</w:t>
            </w:r>
          </w:p>
        </w:tc>
        <w:tc>
          <w:tcPr>
            <w:tcW w:w="946" w:type="dxa"/>
            <w:tcBorders>
              <w:top w:val="single" w:sz="4" w:space="0" w:color="auto"/>
              <w:left w:val="nil"/>
              <w:bottom w:val="single" w:sz="4" w:space="0" w:color="auto"/>
              <w:right w:val="single" w:sz="4" w:space="0" w:color="auto"/>
            </w:tcBorders>
            <w:shd w:val="clear" w:color="000000" w:fill="C0C0C0"/>
            <w:noWrap/>
            <w:vAlign w:val="bottom"/>
            <w:hideMark/>
          </w:tcPr>
          <w:p w14:paraId="03F3B4CD"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6</w:t>
            </w:r>
          </w:p>
        </w:tc>
      </w:tr>
      <w:tr w:rsidR="00416D67" w:rsidRPr="00416D67" w14:paraId="62112F36"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3D7D15C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 SVEUKUPNI PRIHODI</w:t>
            </w:r>
          </w:p>
        </w:tc>
        <w:tc>
          <w:tcPr>
            <w:tcW w:w="1034" w:type="dxa"/>
            <w:tcBorders>
              <w:top w:val="single" w:sz="4" w:space="0" w:color="auto"/>
              <w:left w:val="nil"/>
              <w:bottom w:val="single" w:sz="4" w:space="0" w:color="auto"/>
              <w:right w:val="single" w:sz="4" w:space="0" w:color="auto"/>
            </w:tcBorders>
            <w:noWrap/>
            <w:vAlign w:val="bottom"/>
            <w:hideMark/>
          </w:tcPr>
          <w:p w14:paraId="02BA4D7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5.816.430,37</w:t>
            </w:r>
          </w:p>
        </w:tc>
        <w:tc>
          <w:tcPr>
            <w:tcW w:w="1034" w:type="dxa"/>
            <w:tcBorders>
              <w:top w:val="single" w:sz="4" w:space="0" w:color="auto"/>
              <w:left w:val="nil"/>
              <w:bottom w:val="single" w:sz="4" w:space="0" w:color="auto"/>
              <w:right w:val="single" w:sz="4" w:space="0" w:color="auto"/>
            </w:tcBorders>
            <w:noWrap/>
            <w:vAlign w:val="bottom"/>
            <w:hideMark/>
          </w:tcPr>
          <w:p w14:paraId="403A889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7.346.186,18</w:t>
            </w:r>
          </w:p>
        </w:tc>
        <w:tc>
          <w:tcPr>
            <w:tcW w:w="1034" w:type="dxa"/>
            <w:tcBorders>
              <w:top w:val="single" w:sz="4" w:space="0" w:color="auto"/>
              <w:left w:val="nil"/>
              <w:bottom w:val="single" w:sz="4" w:space="0" w:color="auto"/>
              <w:right w:val="single" w:sz="4" w:space="0" w:color="auto"/>
            </w:tcBorders>
            <w:noWrap/>
            <w:vAlign w:val="bottom"/>
            <w:hideMark/>
          </w:tcPr>
          <w:p w14:paraId="2097428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7.346.186,18</w:t>
            </w:r>
          </w:p>
        </w:tc>
        <w:tc>
          <w:tcPr>
            <w:tcW w:w="1034" w:type="dxa"/>
            <w:tcBorders>
              <w:top w:val="single" w:sz="4" w:space="0" w:color="auto"/>
              <w:left w:val="nil"/>
              <w:bottom w:val="single" w:sz="4" w:space="0" w:color="auto"/>
              <w:right w:val="single" w:sz="4" w:space="0" w:color="auto"/>
            </w:tcBorders>
            <w:noWrap/>
            <w:vAlign w:val="bottom"/>
            <w:hideMark/>
          </w:tcPr>
          <w:p w14:paraId="65E029E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7.552.638,82</w:t>
            </w:r>
          </w:p>
        </w:tc>
        <w:tc>
          <w:tcPr>
            <w:tcW w:w="925" w:type="dxa"/>
            <w:tcBorders>
              <w:top w:val="nil"/>
              <w:left w:val="nil"/>
              <w:bottom w:val="single" w:sz="4" w:space="0" w:color="auto"/>
              <w:right w:val="single" w:sz="4" w:space="0" w:color="auto"/>
            </w:tcBorders>
            <w:noWrap/>
            <w:vAlign w:val="bottom"/>
            <w:hideMark/>
          </w:tcPr>
          <w:p w14:paraId="63B5771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129,11%</w:t>
            </w:r>
          </w:p>
        </w:tc>
        <w:tc>
          <w:tcPr>
            <w:tcW w:w="946" w:type="dxa"/>
            <w:tcBorders>
              <w:top w:val="single" w:sz="4" w:space="0" w:color="auto"/>
              <w:left w:val="nil"/>
              <w:bottom w:val="single" w:sz="4" w:space="0" w:color="auto"/>
              <w:right w:val="single" w:sz="4" w:space="0" w:color="auto"/>
            </w:tcBorders>
            <w:noWrap/>
            <w:vAlign w:val="bottom"/>
            <w:hideMark/>
          </w:tcPr>
          <w:p w14:paraId="43A668D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102,23%</w:t>
            </w:r>
          </w:p>
        </w:tc>
      </w:tr>
      <w:tr w:rsidR="00416D67" w:rsidRPr="00416D67" w14:paraId="32A26B6C"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84D176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1. Opći prihodi i primici</w:t>
            </w:r>
          </w:p>
        </w:tc>
        <w:tc>
          <w:tcPr>
            <w:tcW w:w="1034" w:type="dxa"/>
            <w:tcBorders>
              <w:top w:val="single" w:sz="4" w:space="0" w:color="auto"/>
              <w:left w:val="nil"/>
              <w:bottom w:val="single" w:sz="4" w:space="0" w:color="auto"/>
              <w:right w:val="single" w:sz="4" w:space="0" w:color="auto"/>
            </w:tcBorders>
            <w:shd w:val="clear" w:color="000000" w:fill="FFFF00"/>
            <w:noWrap/>
            <w:vAlign w:val="bottom"/>
            <w:hideMark/>
          </w:tcPr>
          <w:p w14:paraId="50880D7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3.897.010,81</w:t>
            </w:r>
          </w:p>
        </w:tc>
        <w:tc>
          <w:tcPr>
            <w:tcW w:w="1034" w:type="dxa"/>
            <w:tcBorders>
              <w:top w:val="single" w:sz="4" w:space="0" w:color="auto"/>
              <w:left w:val="nil"/>
              <w:bottom w:val="single" w:sz="4" w:space="0" w:color="auto"/>
              <w:right w:val="single" w:sz="4" w:space="0" w:color="auto"/>
            </w:tcBorders>
            <w:shd w:val="clear" w:color="000000" w:fill="FFFF00"/>
            <w:noWrap/>
            <w:vAlign w:val="bottom"/>
            <w:hideMark/>
          </w:tcPr>
          <w:p w14:paraId="0E79141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3.970.946,85</w:t>
            </w:r>
          </w:p>
        </w:tc>
        <w:tc>
          <w:tcPr>
            <w:tcW w:w="1034" w:type="dxa"/>
            <w:tcBorders>
              <w:top w:val="single" w:sz="4" w:space="0" w:color="auto"/>
              <w:left w:val="nil"/>
              <w:bottom w:val="single" w:sz="4" w:space="0" w:color="auto"/>
              <w:right w:val="single" w:sz="4" w:space="0" w:color="auto"/>
            </w:tcBorders>
            <w:shd w:val="clear" w:color="000000" w:fill="FFFF00"/>
            <w:noWrap/>
            <w:vAlign w:val="bottom"/>
            <w:hideMark/>
          </w:tcPr>
          <w:p w14:paraId="5603FD2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3.970.946,85</w:t>
            </w:r>
          </w:p>
        </w:tc>
        <w:tc>
          <w:tcPr>
            <w:tcW w:w="1034" w:type="dxa"/>
            <w:tcBorders>
              <w:top w:val="single" w:sz="4" w:space="0" w:color="auto"/>
              <w:left w:val="nil"/>
              <w:bottom w:val="single" w:sz="4" w:space="0" w:color="auto"/>
              <w:right w:val="single" w:sz="4" w:space="0" w:color="auto"/>
            </w:tcBorders>
            <w:shd w:val="clear" w:color="000000" w:fill="FFFF00"/>
            <w:noWrap/>
            <w:vAlign w:val="bottom"/>
            <w:hideMark/>
          </w:tcPr>
          <w:p w14:paraId="7214DD9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4.184.675,12</w:t>
            </w:r>
          </w:p>
        </w:tc>
        <w:tc>
          <w:tcPr>
            <w:tcW w:w="925" w:type="dxa"/>
            <w:tcBorders>
              <w:top w:val="nil"/>
              <w:left w:val="nil"/>
              <w:bottom w:val="single" w:sz="4" w:space="0" w:color="auto"/>
              <w:right w:val="single" w:sz="4" w:space="0" w:color="auto"/>
            </w:tcBorders>
            <w:shd w:val="clear" w:color="000000" w:fill="FFFF00"/>
            <w:noWrap/>
            <w:vAlign w:val="bottom"/>
            <w:hideMark/>
          </w:tcPr>
          <w:p w14:paraId="258520A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106,28%</w:t>
            </w:r>
          </w:p>
        </w:tc>
        <w:tc>
          <w:tcPr>
            <w:tcW w:w="946" w:type="dxa"/>
            <w:tcBorders>
              <w:top w:val="single" w:sz="4" w:space="0" w:color="auto"/>
              <w:left w:val="nil"/>
              <w:bottom w:val="single" w:sz="4" w:space="0" w:color="auto"/>
              <w:right w:val="single" w:sz="4" w:space="0" w:color="auto"/>
            </w:tcBorders>
            <w:shd w:val="clear" w:color="000000" w:fill="FFFF00"/>
            <w:noWrap/>
            <w:vAlign w:val="bottom"/>
            <w:hideMark/>
          </w:tcPr>
          <w:p w14:paraId="7F426ED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104,31%</w:t>
            </w:r>
          </w:p>
        </w:tc>
      </w:tr>
      <w:tr w:rsidR="00416D67" w:rsidRPr="00416D67" w14:paraId="2E791DCE"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1BFFCEE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1.1. 01 Opći prihodi i primici</w:t>
            </w:r>
          </w:p>
        </w:tc>
        <w:tc>
          <w:tcPr>
            <w:tcW w:w="1034" w:type="dxa"/>
            <w:tcBorders>
              <w:top w:val="single" w:sz="4" w:space="0" w:color="auto"/>
              <w:left w:val="nil"/>
              <w:bottom w:val="single" w:sz="4" w:space="0" w:color="auto"/>
              <w:right w:val="single" w:sz="4" w:space="0" w:color="auto"/>
            </w:tcBorders>
            <w:noWrap/>
            <w:vAlign w:val="bottom"/>
            <w:hideMark/>
          </w:tcPr>
          <w:p w14:paraId="3FB11E0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3.897.010,81</w:t>
            </w:r>
          </w:p>
        </w:tc>
        <w:tc>
          <w:tcPr>
            <w:tcW w:w="1034" w:type="dxa"/>
            <w:tcBorders>
              <w:top w:val="single" w:sz="4" w:space="0" w:color="auto"/>
              <w:left w:val="nil"/>
              <w:bottom w:val="single" w:sz="4" w:space="0" w:color="auto"/>
              <w:right w:val="single" w:sz="4" w:space="0" w:color="auto"/>
            </w:tcBorders>
            <w:noWrap/>
            <w:vAlign w:val="bottom"/>
            <w:hideMark/>
          </w:tcPr>
          <w:p w14:paraId="08D9CF8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3.933.446,85</w:t>
            </w:r>
          </w:p>
        </w:tc>
        <w:tc>
          <w:tcPr>
            <w:tcW w:w="1034" w:type="dxa"/>
            <w:tcBorders>
              <w:top w:val="single" w:sz="4" w:space="0" w:color="auto"/>
              <w:left w:val="nil"/>
              <w:bottom w:val="single" w:sz="4" w:space="0" w:color="auto"/>
              <w:right w:val="single" w:sz="4" w:space="0" w:color="auto"/>
            </w:tcBorders>
            <w:noWrap/>
            <w:vAlign w:val="bottom"/>
            <w:hideMark/>
          </w:tcPr>
          <w:p w14:paraId="26FB57D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3.933.446,85</w:t>
            </w:r>
          </w:p>
        </w:tc>
        <w:tc>
          <w:tcPr>
            <w:tcW w:w="1034" w:type="dxa"/>
            <w:tcBorders>
              <w:top w:val="single" w:sz="4" w:space="0" w:color="auto"/>
              <w:left w:val="nil"/>
              <w:bottom w:val="single" w:sz="4" w:space="0" w:color="auto"/>
              <w:right w:val="single" w:sz="4" w:space="0" w:color="auto"/>
            </w:tcBorders>
            <w:noWrap/>
            <w:vAlign w:val="bottom"/>
            <w:hideMark/>
          </w:tcPr>
          <w:p w14:paraId="1365BF3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4.153.058,57</w:t>
            </w:r>
          </w:p>
        </w:tc>
        <w:tc>
          <w:tcPr>
            <w:tcW w:w="925" w:type="dxa"/>
            <w:tcBorders>
              <w:top w:val="nil"/>
              <w:left w:val="nil"/>
              <w:bottom w:val="single" w:sz="4" w:space="0" w:color="auto"/>
              <w:right w:val="single" w:sz="4" w:space="0" w:color="auto"/>
            </w:tcBorders>
            <w:noWrap/>
            <w:vAlign w:val="bottom"/>
            <w:hideMark/>
          </w:tcPr>
          <w:p w14:paraId="4165F20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106,28%</w:t>
            </w:r>
          </w:p>
        </w:tc>
        <w:tc>
          <w:tcPr>
            <w:tcW w:w="946" w:type="dxa"/>
            <w:tcBorders>
              <w:top w:val="single" w:sz="4" w:space="0" w:color="auto"/>
              <w:left w:val="nil"/>
              <w:bottom w:val="single" w:sz="4" w:space="0" w:color="auto"/>
              <w:right w:val="single" w:sz="4" w:space="0" w:color="auto"/>
            </w:tcBorders>
            <w:noWrap/>
            <w:vAlign w:val="bottom"/>
            <w:hideMark/>
          </w:tcPr>
          <w:p w14:paraId="7F02EE3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105,30%</w:t>
            </w:r>
          </w:p>
        </w:tc>
      </w:tr>
      <w:tr w:rsidR="00416D67" w:rsidRPr="00416D67" w14:paraId="451666CB"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7779244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1.1.3 Porez ustupljeni dio za vatrogasne postrojbe</w:t>
            </w:r>
          </w:p>
        </w:tc>
        <w:tc>
          <w:tcPr>
            <w:tcW w:w="1034" w:type="dxa"/>
            <w:tcBorders>
              <w:top w:val="single" w:sz="4" w:space="0" w:color="auto"/>
              <w:left w:val="nil"/>
              <w:bottom w:val="single" w:sz="4" w:space="0" w:color="auto"/>
              <w:right w:val="single" w:sz="4" w:space="0" w:color="auto"/>
            </w:tcBorders>
            <w:noWrap/>
            <w:vAlign w:val="bottom"/>
            <w:hideMark/>
          </w:tcPr>
          <w:p w14:paraId="7D728E3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034" w:type="dxa"/>
            <w:tcBorders>
              <w:top w:val="single" w:sz="4" w:space="0" w:color="auto"/>
              <w:left w:val="nil"/>
              <w:bottom w:val="single" w:sz="4" w:space="0" w:color="auto"/>
              <w:right w:val="single" w:sz="4" w:space="0" w:color="auto"/>
            </w:tcBorders>
            <w:noWrap/>
            <w:vAlign w:val="bottom"/>
            <w:hideMark/>
          </w:tcPr>
          <w:p w14:paraId="2EC6B1B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37.500,00</w:t>
            </w:r>
          </w:p>
        </w:tc>
        <w:tc>
          <w:tcPr>
            <w:tcW w:w="1034" w:type="dxa"/>
            <w:tcBorders>
              <w:top w:val="single" w:sz="4" w:space="0" w:color="auto"/>
              <w:left w:val="nil"/>
              <w:bottom w:val="single" w:sz="4" w:space="0" w:color="auto"/>
              <w:right w:val="single" w:sz="4" w:space="0" w:color="auto"/>
            </w:tcBorders>
            <w:noWrap/>
            <w:vAlign w:val="bottom"/>
            <w:hideMark/>
          </w:tcPr>
          <w:p w14:paraId="179C9C5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37.500,00</w:t>
            </w:r>
          </w:p>
        </w:tc>
        <w:tc>
          <w:tcPr>
            <w:tcW w:w="1034" w:type="dxa"/>
            <w:tcBorders>
              <w:top w:val="single" w:sz="4" w:space="0" w:color="auto"/>
              <w:left w:val="nil"/>
              <w:bottom w:val="single" w:sz="4" w:space="0" w:color="auto"/>
              <w:right w:val="single" w:sz="4" w:space="0" w:color="auto"/>
            </w:tcBorders>
            <w:noWrap/>
            <w:vAlign w:val="bottom"/>
            <w:hideMark/>
          </w:tcPr>
          <w:p w14:paraId="6E2572F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31.616,55</w:t>
            </w:r>
          </w:p>
        </w:tc>
        <w:tc>
          <w:tcPr>
            <w:tcW w:w="925" w:type="dxa"/>
            <w:tcBorders>
              <w:top w:val="nil"/>
              <w:left w:val="nil"/>
              <w:bottom w:val="single" w:sz="4" w:space="0" w:color="auto"/>
              <w:right w:val="single" w:sz="4" w:space="0" w:color="auto"/>
            </w:tcBorders>
            <w:noWrap/>
            <w:vAlign w:val="bottom"/>
            <w:hideMark/>
          </w:tcPr>
          <w:p w14:paraId="2DB7652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46" w:type="dxa"/>
            <w:tcBorders>
              <w:top w:val="single" w:sz="4" w:space="0" w:color="auto"/>
              <w:left w:val="nil"/>
              <w:bottom w:val="single" w:sz="4" w:space="0" w:color="auto"/>
              <w:right w:val="single" w:sz="4" w:space="0" w:color="auto"/>
            </w:tcBorders>
            <w:noWrap/>
            <w:vAlign w:val="bottom"/>
            <w:hideMark/>
          </w:tcPr>
          <w:p w14:paraId="6FAFC49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498F57B6"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772569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3. Vlastiti prihodi</w:t>
            </w:r>
          </w:p>
        </w:tc>
        <w:tc>
          <w:tcPr>
            <w:tcW w:w="1034" w:type="dxa"/>
            <w:tcBorders>
              <w:top w:val="single" w:sz="4" w:space="0" w:color="auto"/>
              <w:left w:val="nil"/>
              <w:bottom w:val="single" w:sz="4" w:space="0" w:color="auto"/>
              <w:right w:val="single" w:sz="4" w:space="0" w:color="auto"/>
            </w:tcBorders>
            <w:shd w:val="clear" w:color="000000" w:fill="FFFF00"/>
            <w:noWrap/>
            <w:vAlign w:val="bottom"/>
            <w:hideMark/>
          </w:tcPr>
          <w:p w14:paraId="48706DF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42.133,47</w:t>
            </w:r>
          </w:p>
        </w:tc>
        <w:tc>
          <w:tcPr>
            <w:tcW w:w="1034" w:type="dxa"/>
            <w:tcBorders>
              <w:top w:val="single" w:sz="4" w:space="0" w:color="auto"/>
              <w:left w:val="nil"/>
              <w:bottom w:val="single" w:sz="4" w:space="0" w:color="auto"/>
              <w:right w:val="single" w:sz="4" w:space="0" w:color="auto"/>
            </w:tcBorders>
            <w:shd w:val="clear" w:color="000000" w:fill="FFFF00"/>
            <w:noWrap/>
            <w:vAlign w:val="bottom"/>
            <w:hideMark/>
          </w:tcPr>
          <w:p w14:paraId="1C38774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43.830,20</w:t>
            </w:r>
          </w:p>
        </w:tc>
        <w:tc>
          <w:tcPr>
            <w:tcW w:w="1034" w:type="dxa"/>
            <w:tcBorders>
              <w:top w:val="single" w:sz="4" w:space="0" w:color="auto"/>
              <w:left w:val="nil"/>
              <w:bottom w:val="single" w:sz="4" w:space="0" w:color="auto"/>
              <w:right w:val="single" w:sz="4" w:space="0" w:color="auto"/>
            </w:tcBorders>
            <w:shd w:val="clear" w:color="000000" w:fill="FFFF00"/>
            <w:noWrap/>
            <w:vAlign w:val="bottom"/>
            <w:hideMark/>
          </w:tcPr>
          <w:p w14:paraId="3D4495A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43.830,20</w:t>
            </w:r>
          </w:p>
        </w:tc>
        <w:tc>
          <w:tcPr>
            <w:tcW w:w="1034" w:type="dxa"/>
            <w:tcBorders>
              <w:top w:val="single" w:sz="4" w:space="0" w:color="auto"/>
              <w:left w:val="nil"/>
              <w:bottom w:val="single" w:sz="4" w:space="0" w:color="auto"/>
              <w:right w:val="single" w:sz="4" w:space="0" w:color="auto"/>
            </w:tcBorders>
            <w:shd w:val="clear" w:color="000000" w:fill="FFFF00"/>
            <w:noWrap/>
            <w:vAlign w:val="bottom"/>
            <w:hideMark/>
          </w:tcPr>
          <w:p w14:paraId="0B2D8CE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42.174,92</w:t>
            </w:r>
          </w:p>
        </w:tc>
        <w:tc>
          <w:tcPr>
            <w:tcW w:w="925" w:type="dxa"/>
            <w:tcBorders>
              <w:top w:val="nil"/>
              <w:left w:val="nil"/>
              <w:bottom w:val="single" w:sz="4" w:space="0" w:color="auto"/>
              <w:right w:val="single" w:sz="4" w:space="0" w:color="auto"/>
            </w:tcBorders>
            <w:shd w:val="clear" w:color="000000" w:fill="FFFF00"/>
            <w:noWrap/>
            <w:vAlign w:val="bottom"/>
            <w:hideMark/>
          </w:tcPr>
          <w:p w14:paraId="6D83F32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100,10%</w:t>
            </w:r>
          </w:p>
        </w:tc>
        <w:tc>
          <w:tcPr>
            <w:tcW w:w="946" w:type="dxa"/>
            <w:tcBorders>
              <w:top w:val="single" w:sz="4" w:space="0" w:color="auto"/>
              <w:left w:val="nil"/>
              <w:bottom w:val="single" w:sz="4" w:space="0" w:color="auto"/>
              <w:right w:val="single" w:sz="4" w:space="0" w:color="auto"/>
            </w:tcBorders>
            <w:shd w:val="clear" w:color="000000" w:fill="FFFF00"/>
            <w:noWrap/>
            <w:vAlign w:val="bottom"/>
            <w:hideMark/>
          </w:tcPr>
          <w:p w14:paraId="7A13181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96,22%</w:t>
            </w:r>
          </w:p>
        </w:tc>
      </w:tr>
      <w:tr w:rsidR="00416D67" w:rsidRPr="00416D67" w14:paraId="703EE230"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1B24AD9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3.1. 03 Vlastiti prihodi</w:t>
            </w:r>
          </w:p>
        </w:tc>
        <w:tc>
          <w:tcPr>
            <w:tcW w:w="1034" w:type="dxa"/>
            <w:tcBorders>
              <w:top w:val="single" w:sz="4" w:space="0" w:color="auto"/>
              <w:left w:val="nil"/>
              <w:bottom w:val="single" w:sz="4" w:space="0" w:color="auto"/>
              <w:right w:val="single" w:sz="4" w:space="0" w:color="auto"/>
            </w:tcBorders>
            <w:noWrap/>
            <w:vAlign w:val="bottom"/>
            <w:hideMark/>
          </w:tcPr>
          <w:p w14:paraId="692571B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13.175,67</w:t>
            </w:r>
          </w:p>
        </w:tc>
        <w:tc>
          <w:tcPr>
            <w:tcW w:w="1034" w:type="dxa"/>
            <w:tcBorders>
              <w:top w:val="single" w:sz="4" w:space="0" w:color="auto"/>
              <w:left w:val="nil"/>
              <w:bottom w:val="single" w:sz="4" w:space="0" w:color="auto"/>
              <w:right w:val="single" w:sz="4" w:space="0" w:color="auto"/>
            </w:tcBorders>
            <w:noWrap/>
            <w:vAlign w:val="bottom"/>
            <w:hideMark/>
          </w:tcPr>
          <w:p w14:paraId="5C8797B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15.830,20</w:t>
            </w:r>
          </w:p>
        </w:tc>
        <w:tc>
          <w:tcPr>
            <w:tcW w:w="1034" w:type="dxa"/>
            <w:tcBorders>
              <w:top w:val="single" w:sz="4" w:space="0" w:color="auto"/>
              <w:left w:val="nil"/>
              <w:bottom w:val="single" w:sz="4" w:space="0" w:color="auto"/>
              <w:right w:val="single" w:sz="4" w:space="0" w:color="auto"/>
            </w:tcBorders>
            <w:noWrap/>
            <w:vAlign w:val="bottom"/>
            <w:hideMark/>
          </w:tcPr>
          <w:p w14:paraId="58D3864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15.830,20</w:t>
            </w:r>
          </w:p>
        </w:tc>
        <w:tc>
          <w:tcPr>
            <w:tcW w:w="1034" w:type="dxa"/>
            <w:tcBorders>
              <w:top w:val="single" w:sz="4" w:space="0" w:color="auto"/>
              <w:left w:val="nil"/>
              <w:bottom w:val="single" w:sz="4" w:space="0" w:color="auto"/>
              <w:right w:val="single" w:sz="4" w:space="0" w:color="auto"/>
            </w:tcBorders>
            <w:noWrap/>
            <w:vAlign w:val="bottom"/>
            <w:hideMark/>
          </w:tcPr>
          <w:p w14:paraId="45D3C40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14.770,52</w:t>
            </w:r>
          </w:p>
        </w:tc>
        <w:tc>
          <w:tcPr>
            <w:tcW w:w="925" w:type="dxa"/>
            <w:tcBorders>
              <w:top w:val="nil"/>
              <w:left w:val="nil"/>
              <w:bottom w:val="single" w:sz="4" w:space="0" w:color="auto"/>
              <w:right w:val="single" w:sz="4" w:space="0" w:color="auto"/>
            </w:tcBorders>
            <w:noWrap/>
            <w:vAlign w:val="bottom"/>
            <w:hideMark/>
          </w:tcPr>
          <w:p w14:paraId="6814707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112,10%</w:t>
            </w:r>
          </w:p>
        </w:tc>
        <w:tc>
          <w:tcPr>
            <w:tcW w:w="946" w:type="dxa"/>
            <w:tcBorders>
              <w:top w:val="single" w:sz="4" w:space="0" w:color="auto"/>
              <w:left w:val="nil"/>
              <w:bottom w:val="single" w:sz="4" w:space="0" w:color="auto"/>
              <w:right w:val="single" w:sz="4" w:space="0" w:color="auto"/>
            </w:tcBorders>
            <w:noWrap/>
            <w:vAlign w:val="bottom"/>
            <w:hideMark/>
          </w:tcPr>
          <w:p w14:paraId="732BBEA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93,31%</w:t>
            </w:r>
          </w:p>
        </w:tc>
      </w:tr>
      <w:tr w:rsidR="00416D67" w:rsidRPr="00416D67" w14:paraId="5CCA98F5"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377848A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3.4. Vlastiti prihodi PK</w:t>
            </w:r>
          </w:p>
        </w:tc>
        <w:tc>
          <w:tcPr>
            <w:tcW w:w="1034" w:type="dxa"/>
            <w:tcBorders>
              <w:top w:val="single" w:sz="4" w:space="0" w:color="auto"/>
              <w:left w:val="nil"/>
              <w:bottom w:val="single" w:sz="4" w:space="0" w:color="auto"/>
              <w:right w:val="single" w:sz="4" w:space="0" w:color="auto"/>
            </w:tcBorders>
            <w:noWrap/>
            <w:vAlign w:val="bottom"/>
            <w:hideMark/>
          </w:tcPr>
          <w:p w14:paraId="1C87A98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28.957,80</w:t>
            </w:r>
          </w:p>
        </w:tc>
        <w:tc>
          <w:tcPr>
            <w:tcW w:w="1034" w:type="dxa"/>
            <w:tcBorders>
              <w:top w:val="single" w:sz="4" w:space="0" w:color="auto"/>
              <w:left w:val="nil"/>
              <w:bottom w:val="single" w:sz="4" w:space="0" w:color="auto"/>
              <w:right w:val="single" w:sz="4" w:space="0" w:color="auto"/>
            </w:tcBorders>
            <w:noWrap/>
            <w:vAlign w:val="bottom"/>
            <w:hideMark/>
          </w:tcPr>
          <w:p w14:paraId="1B7E58E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28.000,00</w:t>
            </w:r>
          </w:p>
        </w:tc>
        <w:tc>
          <w:tcPr>
            <w:tcW w:w="1034" w:type="dxa"/>
            <w:tcBorders>
              <w:top w:val="single" w:sz="4" w:space="0" w:color="auto"/>
              <w:left w:val="nil"/>
              <w:bottom w:val="single" w:sz="4" w:space="0" w:color="auto"/>
              <w:right w:val="single" w:sz="4" w:space="0" w:color="auto"/>
            </w:tcBorders>
            <w:noWrap/>
            <w:vAlign w:val="bottom"/>
            <w:hideMark/>
          </w:tcPr>
          <w:p w14:paraId="5924B79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28.000,00</w:t>
            </w:r>
          </w:p>
        </w:tc>
        <w:tc>
          <w:tcPr>
            <w:tcW w:w="1034" w:type="dxa"/>
            <w:tcBorders>
              <w:top w:val="single" w:sz="4" w:space="0" w:color="auto"/>
              <w:left w:val="nil"/>
              <w:bottom w:val="single" w:sz="4" w:space="0" w:color="auto"/>
              <w:right w:val="single" w:sz="4" w:space="0" w:color="auto"/>
            </w:tcBorders>
            <w:noWrap/>
            <w:vAlign w:val="bottom"/>
            <w:hideMark/>
          </w:tcPr>
          <w:p w14:paraId="70A3B50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27.404,40</w:t>
            </w:r>
          </w:p>
        </w:tc>
        <w:tc>
          <w:tcPr>
            <w:tcW w:w="925" w:type="dxa"/>
            <w:tcBorders>
              <w:top w:val="nil"/>
              <w:left w:val="nil"/>
              <w:bottom w:val="single" w:sz="4" w:space="0" w:color="auto"/>
              <w:right w:val="single" w:sz="4" w:space="0" w:color="auto"/>
            </w:tcBorders>
            <w:noWrap/>
            <w:vAlign w:val="bottom"/>
            <w:hideMark/>
          </w:tcPr>
          <w:p w14:paraId="5364CEF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94,64%</w:t>
            </w:r>
          </w:p>
        </w:tc>
        <w:tc>
          <w:tcPr>
            <w:tcW w:w="946" w:type="dxa"/>
            <w:tcBorders>
              <w:top w:val="single" w:sz="4" w:space="0" w:color="auto"/>
              <w:left w:val="nil"/>
              <w:bottom w:val="single" w:sz="4" w:space="0" w:color="auto"/>
              <w:right w:val="single" w:sz="4" w:space="0" w:color="auto"/>
            </w:tcBorders>
            <w:noWrap/>
            <w:vAlign w:val="bottom"/>
            <w:hideMark/>
          </w:tcPr>
          <w:p w14:paraId="5D63E81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97,87%</w:t>
            </w:r>
          </w:p>
        </w:tc>
      </w:tr>
      <w:tr w:rsidR="00416D67" w:rsidRPr="00416D67" w14:paraId="105FB7E6"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35AE57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4. Prihodi za posebne namjene</w:t>
            </w:r>
          </w:p>
        </w:tc>
        <w:tc>
          <w:tcPr>
            <w:tcW w:w="1034" w:type="dxa"/>
            <w:tcBorders>
              <w:top w:val="single" w:sz="4" w:space="0" w:color="auto"/>
              <w:left w:val="nil"/>
              <w:bottom w:val="single" w:sz="4" w:space="0" w:color="auto"/>
              <w:right w:val="single" w:sz="4" w:space="0" w:color="auto"/>
            </w:tcBorders>
            <w:shd w:val="clear" w:color="000000" w:fill="FFFF00"/>
            <w:noWrap/>
            <w:vAlign w:val="bottom"/>
            <w:hideMark/>
          </w:tcPr>
          <w:p w14:paraId="3121E6B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1.261.886,53</w:t>
            </w:r>
          </w:p>
        </w:tc>
        <w:tc>
          <w:tcPr>
            <w:tcW w:w="1034" w:type="dxa"/>
            <w:tcBorders>
              <w:top w:val="single" w:sz="4" w:space="0" w:color="auto"/>
              <w:left w:val="nil"/>
              <w:bottom w:val="single" w:sz="4" w:space="0" w:color="auto"/>
              <w:right w:val="single" w:sz="4" w:space="0" w:color="auto"/>
            </w:tcBorders>
            <w:shd w:val="clear" w:color="000000" w:fill="FFFF00"/>
            <w:noWrap/>
            <w:vAlign w:val="bottom"/>
            <w:hideMark/>
          </w:tcPr>
          <w:p w14:paraId="7C9DB8B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1.351.541,43</w:t>
            </w:r>
          </w:p>
        </w:tc>
        <w:tc>
          <w:tcPr>
            <w:tcW w:w="1034" w:type="dxa"/>
            <w:tcBorders>
              <w:top w:val="single" w:sz="4" w:space="0" w:color="auto"/>
              <w:left w:val="nil"/>
              <w:bottom w:val="single" w:sz="4" w:space="0" w:color="auto"/>
              <w:right w:val="single" w:sz="4" w:space="0" w:color="auto"/>
            </w:tcBorders>
            <w:shd w:val="clear" w:color="000000" w:fill="FFFF00"/>
            <w:noWrap/>
            <w:vAlign w:val="bottom"/>
            <w:hideMark/>
          </w:tcPr>
          <w:p w14:paraId="49C3954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1.351.541,43</w:t>
            </w:r>
          </w:p>
        </w:tc>
        <w:tc>
          <w:tcPr>
            <w:tcW w:w="1034" w:type="dxa"/>
            <w:tcBorders>
              <w:top w:val="single" w:sz="4" w:space="0" w:color="auto"/>
              <w:left w:val="nil"/>
              <w:bottom w:val="single" w:sz="4" w:space="0" w:color="auto"/>
              <w:right w:val="single" w:sz="4" w:space="0" w:color="auto"/>
            </w:tcBorders>
            <w:shd w:val="clear" w:color="000000" w:fill="FFFF00"/>
            <w:noWrap/>
            <w:vAlign w:val="bottom"/>
            <w:hideMark/>
          </w:tcPr>
          <w:p w14:paraId="6F428E2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1.357.561,79</w:t>
            </w:r>
          </w:p>
        </w:tc>
        <w:tc>
          <w:tcPr>
            <w:tcW w:w="925" w:type="dxa"/>
            <w:tcBorders>
              <w:top w:val="nil"/>
              <w:left w:val="nil"/>
              <w:bottom w:val="single" w:sz="4" w:space="0" w:color="auto"/>
              <w:right w:val="single" w:sz="4" w:space="0" w:color="auto"/>
            </w:tcBorders>
            <w:shd w:val="clear" w:color="000000" w:fill="FFFF00"/>
            <w:noWrap/>
            <w:vAlign w:val="bottom"/>
            <w:hideMark/>
          </w:tcPr>
          <w:p w14:paraId="67541AF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107,58%</w:t>
            </w:r>
          </w:p>
        </w:tc>
        <w:tc>
          <w:tcPr>
            <w:tcW w:w="946" w:type="dxa"/>
            <w:tcBorders>
              <w:top w:val="single" w:sz="4" w:space="0" w:color="auto"/>
              <w:left w:val="nil"/>
              <w:bottom w:val="single" w:sz="4" w:space="0" w:color="auto"/>
              <w:right w:val="single" w:sz="4" w:space="0" w:color="auto"/>
            </w:tcBorders>
            <w:shd w:val="clear" w:color="000000" w:fill="FFFF00"/>
            <w:noWrap/>
            <w:vAlign w:val="bottom"/>
            <w:hideMark/>
          </w:tcPr>
          <w:p w14:paraId="209BB44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100,45%</w:t>
            </w:r>
          </w:p>
        </w:tc>
      </w:tr>
      <w:tr w:rsidR="00416D67" w:rsidRPr="00416D67" w14:paraId="3482FE53"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431EBD8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4.1. Prihodi za posebne namjene komunalna naknada</w:t>
            </w:r>
          </w:p>
        </w:tc>
        <w:tc>
          <w:tcPr>
            <w:tcW w:w="1034" w:type="dxa"/>
            <w:tcBorders>
              <w:top w:val="single" w:sz="4" w:space="0" w:color="auto"/>
              <w:left w:val="nil"/>
              <w:bottom w:val="single" w:sz="4" w:space="0" w:color="auto"/>
              <w:right w:val="single" w:sz="4" w:space="0" w:color="auto"/>
            </w:tcBorders>
            <w:noWrap/>
            <w:vAlign w:val="bottom"/>
            <w:hideMark/>
          </w:tcPr>
          <w:p w14:paraId="0D5AE9F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191.099,55</w:t>
            </w:r>
          </w:p>
        </w:tc>
        <w:tc>
          <w:tcPr>
            <w:tcW w:w="1034" w:type="dxa"/>
            <w:tcBorders>
              <w:top w:val="single" w:sz="4" w:space="0" w:color="auto"/>
              <w:left w:val="nil"/>
              <w:bottom w:val="single" w:sz="4" w:space="0" w:color="auto"/>
              <w:right w:val="single" w:sz="4" w:space="0" w:color="auto"/>
            </w:tcBorders>
            <w:noWrap/>
            <w:vAlign w:val="bottom"/>
            <w:hideMark/>
          </w:tcPr>
          <w:p w14:paraId="73CEB2D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210.000,00</w:t>
            </w:r>
          </w:p>
        </w:tc>
        <w:tc>
          <w:tcPr>
            <w:tcW w:w="1034" w:type="dxa"/>
            <w:tcBorders>
              <w:top w:val="single" w:sz="4" w:space="0" w:color="auto"/>
              <w:left w:val="nil"/>
              <w:bottom w:val="single" w:sz="4" w:space="0" w:color="auto"/>
              <w:right w:val="single" w:sz="4" w:space="0" w:color="auto"/>
            </w:tcBorders>
            <w:noWrap/>
            <w:vAlign w:val="bottom"/>
            <w:hideMark/>
          </w:tcPr>
          <w:p w14:paraId="5BAF196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210.000,00</w:t>
            </w:r>
          </w:p>
        </w:tc>
        <w:tc>
          <w:tcPr>
            <w:tcW w:w="1034" w:type="dxa"/>
            <w:tcBorders>
              <w:top w:val="single" w:sz="4" w:space="0" w:color="auto"/>
              <w:left w:val="nil"/>
              <w:bottom w:val="single" w:sz="4" w:space="0" w:color="auto"/>
              <w:right w:val="single" w:sz="4" w:space="0" w:color="auto"/>
            </w:tcBorders>
            <w:noWrap/>
            <w:vAlign w:val="bottom"/>
            <w:hideMark/>
          </w:tcPr>
          <w:p w14:paraId="676F3D3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195.690,03</w:t>
            </w:r>
          </w:p>
        </w:tc>
        <w:tc>
          <w:tcPr>
            <w:tcW w:w="925" w:type="dxa"/>
            <w:tcBorders>
              <w:top w:val="nil"/>
              <w:left w:val="nil"/>
              <w:bottom w:val="single" w:sz="4" w:space="0" w:color="auto"/>
              <w:right w:val="single" w:sz="4" w:space="0" w:color="auto"/>
            </w:tcBorders>
            <w:noWrap/>
            <w:vAlign w:val="bottom"/>
            <w:hideMark/>
          </w:tcPr>
          <w:p w14:paraId="318D5AC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102,40%</w:t>
            </w:r>
          </w:p>
        </w:tc>
        <w:tc>
          <w:tcPr>
            <w:tcW w:w="946" w:type="dxa"/>
            <w:tcBorders>
              <w:top w:val="single" w:sz="4" w:space="0" w:color="auto"/>
              <w:left w:val="nil"/>
              <w:bottom w:val="single" w:sz="4" w:space="0" w:color="auto"/>
              <w:right w:val="single" w:sz="4" w:space="0" w:color="auto"/>
            </w:tcBorders>
            <w:noWrap/>
            <w:vAlign w:val="bottom"/>
            <w:hideMark/>
          </w:tcPr>
          <w:p w14:paraId="16E0434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93,19%</w:t>
            </w:r>
          </w:p>
        </w:tc>
      </w:tr>
      <w:tr w:rsidR="00416D67" w:rsidRPr="00416D67" w14:paraId="23268916"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20637AB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4.2. Prihodi za posebne namjene komunalni doprinos</w:t>
            </w:r>
          </w:p>
        </w:tc>
        <w:tc>
          <w:tcPr>
            <w:tcW w:w="1034" w:type="dxa"/>
            <w:tcBorders>
              <w:top w:val="single" w:sz="4" w:space="0" w:color="auto"/>
              <w:left w:val="nil"/>
              <w:bottom w:val="single" w:sz="4" w:space="0" w:color="auto"/>
              <w:right w:val="single" w:sz="4" w:space="0" w:color="auto"/>
            </w:tcBorders>
            <w:noWrap/>
            <w:vAlign w:val="bottom"/>
            <w:hideMark/>
          </w:tcPr>
          <w:p w14:paraId="236779A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836.800,70</w:t>
            </w:r>
          </w:p>
        </w:tc>
        <w:tc>
          <w:tcPr>
            <w:tcW w:w="1034" w:type="dxa"/>
            <w:tcBorders>
              <w:top w:val="single" w:sz="4" w:space="0" w:color="auto"/>
              <w:left w:val="nil"/>
              <w:bottom w:val="single" w:sz="4" w:space="0" w:color="auto"/>
              <w:right w:val="single" w:sz="4" w:space="0" w:color="auto"/>
            </w:tcBorders>
            <w:noWrap/>
            <w:vAlign w:val="bottom"/>
            <w:hideMark/>
          </w:tcPr>
          <w:p w14:paraId="53B3A85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850.000,00</w:t>
            </w:r>
          </w:p>
        </w:tc>
        <w:tc>
          <w:tcPr>
            <w:tcW w:w="1034" w:type="dxa"/>
            <w:tcBorders>
              <w:top w:val="single" w:sz="4" w:space="0" w:color="auto"/>
              <w:left w:val="nil"/>
              <w:bottom w:val="single" w:sz="4" w:space="0" w:color="auto"/>
              <w:right w:val="single" w:sz="4" w:space="0" w:color="auto"/>
            </w:tcBorders>
            <w:noWrap/>
            <w:vAlign w:val="bottom"/>
            <w:hideMark/>
          </w:tcPr>
          <w:p w14:paraId="2E4E81F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850.000,00</w:t>
            </w:r>
          </w:p>
        </w:tc>
        <w:tc>
          <w:tcPr>
            <w:tcW w:w="1034" w:type="dxa"/>
            <w:tcBorders>
              <w:top w:val="single" w:sz="4" w:space="0" w:color="auto"/>
              <w:left w:val="nil"/>
              <w:bottom w:val="single" w:sz="4" w:space="0" w:color="auto"/>
              <w:right w:val="single" w:sz="4" w:space="0" w:color="auto"/>
            </w:tcBorders>
            <w:noWrap/>
            <w:vAlign w:val="bottom"/>
            <w:hideMark/>
          </w:tcPr>
          <w:p w14:paraId="14DD224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892.583,16</w:t>
            </w:r>
          </w:p>
        </w:tc>
        <w:tc>
          <w:tcPr>
            <w:tcW w:w="925" w:type="dxa"/>
            <w:tcBorders>
              <w:top w:val="nil"/>
              <w:left w:val="nil"/>
              <w:bottom w:val="single" w:sz="4" w:space="0" w:color="auto"/>
              <w:right w:val="single" w:sz="4" w:space="0" w:color="auto"/>
            </w:tcBorders>
            <w:noWrap/>
            <w:vAlign w:val="bottom"/>
            <w:hideMark/>
          </w:tcPr>
          <w:p w14:paraId="027891B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106,67%</w:t>
            </w:r>
          </w:p>
        </w:tc>
        <w:tc>
          <w:tcPr>
            <w:tcW w:w="946" w:type="dxa"/>
            <w:tcBorders>
              <w:top w:val="single" w:sz="4" w:space="0" w:color="auto"/>
              <w:left w:val="nil"/>
              <w:bottom w:val="single" w:sz="4" w:space="0" w:color="auto"/>
              <w:right w:val="single" w:sz="4" w:space="0" w:color="auto"/>
            </w:tcBorders>
            <w:noWrap/>
            <w:vAlign w:val="bottom"/>
            <w:hideMark/>
          </w:tcPr>
          <w:p w14:paraId="667B4C2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105,01%</w:t>
            </w:r>
          </w:p>
        </w:tc>
      </w:tr>
      <w:tr w:rsidR="00416D67" w:rsidRPr="00416D67" w14:paraId="140D8EE4"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1865CB9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Izvor 4.3. Prihodi za </w:t>
            </w:r>
            <w:proofErr w:type="spellStart"/>
            <w:r w:rsidRPr="00416D67">
              <w:rPr>
                <w:rFonts w:ascii="Arial" w:hAnsi="Arial" w:cs="Arial"/>
                <w:b/>
                <w:bCs/>
                <w:sz w:val="14"/>
                <w:szCs w:val="14"/>
              </w:rPr>
              <w:t>pos.namjene</w:t>
            </w:r>
            <w:proofErr w:type="spellEnd"/>
            <w:r w:rsidRPr="00416D67">
              <w:rPr>
                <w:rFonts w:ascii="Arial" w:hAnsi="Arial" w:cs="Arial"/>
                <w:b/>
                <w:bCs/>
                <w:sz w:val="14"/>
                <w:szCs w:val="14"/>
              </w:rPr>
              <w:t xml:space="preserve"> ostali namjenski prihodi</w:t>
            </w:r>
          </w:p>
        </w:tc>
        <w:tc>
          <w:tcPr>
            <w:tcW w:w="1034" w:type="dxa"/>
            <w:tcBorders>
              <w:top w:val="single" w:sz="4" w:space="0" w:color="auto"/>
              <w:left w:val="nil"/>
              <w:bottom w:val="single" w:sz="4" w:space="0" w:color="auto"/>
              <w:right w:val="single" w:sz="4" w:space="0" w:color="auto"/>
            </w:tcBorders>
            <w:noWrap/>
            <w:vAlign w:val="bottom"/>
            <w:hideMark/>
          </w:tcPr>
          <w:p w14:paraId="144014F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141.942,89</w:t>
            </w:r>
          </w:p>
        </w:tc>
        <w:tc>
          <w:tcPr>
            <w:tcW w:w="1034" w:type="dxa"/>
            <w:tcBorders>
              <w:top w:val="single" w:sz="4" w:space="0" w:color="auto"/>
              <w:left w:val="nil"/>
              <w:bottom w:val="single" w:sz="4" w:space="0" w:color="auto"/>
              <w:right w:val="single" w:sz="4" w:space="0" w:color="auto"/>
            </w:tcBorders>
            <w:noWrap/>
            <w:vAlign w:val="bottom"/>
            <w:hideMark/>
          </w:tcPr>
          <w:p w14:paraId="7971B2B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182.822,40</w:t>
            </w:r>
          </w:p>
        </w:tc>
        <w:tc>
          <w:tcPr>
            <w:tcW w:w="1034" w:type="dxa"/>
            <w:tcBorders>
              <w:top w:val="single" w:sz="4" w:space="0" w:color="auto"/>
              <w:left w:val="nil"/>
              <w:bottom w:val="single" w:sz="4" w:space="0" w:color="auto"/>
              <w:right w:val="single" w:sz="4" w:space="0" w:color="auto"/>
            </w:tcBorders>
            <w:noWrap/>
            <w:vAlign w:val="bottom"/>
            <w:hideMark/>
          </w:tcPr>
          <w:p w14:paraId="19E1953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182.822,40</w:t>
            </w:r>
          </w:p>
        </w:tc>
        <w:tc>
          <w:tcPr>
            <w:tcW w:w="1034" w:type="dxa"/>
            <w:tcBorders>
              <w:top w:val="single" w:sz="4" w:space="0" w:color="auto"/>
              <w:left w:val="nil"/>
              <w:bottom w:val="single" w:sz="4" w:space="0" w:color="auto"/>
              <w:right w:val="single" w:sz="4" w:space="0" w:color="auto"/>
            </w:tcBorders>
            <w:noWrap/>
            <w:vAlign w:val="bottom"/>
            <w:hideMark/>
          </w:tcPr>
          <w:p w14:paraId="7E25E8C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163.687,62</w:t>
            </w:r>
          </w:p>
        </w:tc>
        <w:tc>
          <w:tcPr>
            <w:tcW w:w="925" w:type="dxa"/>
            <w:tcBorders>
              <w:top w:val="nil"/>
              <w:left w:val="nil"/>
              <w:bottom w:val="single" w:sz="4" w:space="0" w:color="auto"/>
              <w:right w:val="single" w:sz="4" w:space="0" w:color="auto"/>
            </w:tcBorders>
            <w:noWrap/>
            <w:vAlign w:val="bottom"/>
            <w:hideMark/>
          </w:tcPr>
          <w:p w14:paraId="0F60AC1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46" w:type="dxa"/>
            <w:tcBorders>
              <w:top w:val="single" w:sz="4" w:space="0" w:color="auto"/>
              <w:left w:val="nil"/>
              <w:bottom w:val="single" w:sz="4" w:space="0" w:color="auto"/>
              <w:right w:val="single" w:sz="4" w:space="0" w:color="auto"/>
            </w:tcBorders>
            <w:noWrap/>
            <w:vAlign w:val="bottom"/>
            <w:hideMark/>
          </w:tcPr>
          <w:p w14:paraId="0AB670A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2BEBE41C"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672F85D6" w14:textId="77777777" w:rsidR="00416D67" w:rsidRPr="00416D67" w:rsidRDefault="00416D67" w:rsidP="00416D67">
            <w:pPr>
              <w:rPr>
                <w:rFonts w:ascii="Arial" w:hAnsi="Arial" w:cs="Arial"/>
                <w:sz w:val="14"/>
                <w:szCs w:val="14"/>
              </w:rPr>
            </w:pPr>
            <w:r w:rsidRPr="00416D67">
              <w:rPr>
                <w:rFonts w:ascii="Arial" w:hAnsi="Arial" w:cs="Arial"/>
                <w:sz w:val="14"/>
                <w:szCs w:val="14"/>
              </w:rPr>
              <w:t>Izvor 4.3.1 Turistička  pristojba</w:t>
            </w:r>
          </w:p>
        </w:tc>
        <w:tc>
          <w:tcPr>
            <w:tcW w:w="1034" w:type="dxa"/>
            <w:tcBorders>
              <w:top w:val="single" w:sz="4" w:space="0" w:color="auto"/>
              <w:left w:val="nil"/>
              <w:bottom w:val="single" w:sz="4" w:space="0" w:color="auto"/>
              <w:right w:val="single" w:sz="4" w:space="0" w:color="auto"/>
            </w:tcBorders>
            <w:noWrap/>
            <w:vAlign w:val="bottom"/>
            <w:hideMark/>
          </w:tcPr>
          <w:p w14:paraId="252E47B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64.874,32</w:t>
            </w:r>
          </w:p>
        </w:tc>
        <w:tc>
          <w:tcPr>
            <w:tcW w:w="1034" w:type="dxa"/>
            <w:tcBorders>
              <w:top w:val="single" w:sz="4" w:space="0" w:color="auto"/>
              <w:left w:val="nil"/>
              <w:bottom w:val="single" w:sz="4" w:space="0" w:color="auto"/>
              <w:right w:val="single" w:sz="4" w:space="0" w:color="auto"/>
            </w:tcBorders>
            <w:noWrap/>
            <w:vAlign w:val="bottom"/>
            <w:hideMark/>
          </w:tcPr>
          <w:p w14:paraId="7B833E8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75.074,00</w:t>
            </w:r>
          </w:p>
        </w:tc>
        <w:tc>
          <w:tcPr>
            <w:tcW w:w="1034" w:type="dxa"/>
            <w:tcBorders>
              <w:top w:val="single" w:sz="4" w:space="0" w:color="auto"/>
              <w:left w:val="nil"/>
              <w:bottom w:val="single" w:sz="4" w:space="0" w:color="auto"/>
              <w:right w:val="single" w:sz="4" w:space="0" w:color="auto"/>
            </w:tcBorders>
            <w:noWrap/>
            <w:vAlign w:val="bottom"/>
            <w:hideMark/>
          </w:tcPr>
          <w:p w14:paraId="7502C09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75.074,00</w:t>
            </w:r>
          </w:p>
        </w:tc>
        <w:tc>
          <w:tcPr>
            <w:tcW w:w="1034" w:type="dxa"/>
            <w:tcBorders>
              <w:top w:val="single" w:sz="4" w:space="0" w:color="auto"/>
              <w:left w:val="nil"/>
              <w:bottom w:val="single" w:sz="4" w:space="0" w:color="auto"/>
              <w:right w:val="single" w:sz="4" w:space="0" w:color="auto"/>
            </w:tcBorders>
            <w:noWrap/>
            <w:vAlign w:val="bottom"/>
            <w:hideMark/>
          </w:tcPr>
          <w:p w14:paraId="05A280E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61.093,02</w:t>
            </w:r>
          </w:p>
        </w:tc>
        <w:tc>
          <w:tcPr>
            <w:tcW w:w="925" w:type="dxa"/>
            <w:tcBorders>
              <w:top w:val="nil"/>
              <w:left w:val="nil"/>
              <w:bottom w:val="single" w:sz="4" w:space="0" w:color="auto"/>
              <w:right w:val="single" w:sz="4" w:space="0" w:color="auto"/>
            </w:tcBorders>
            <w:noWrap/>
            <w:vAlign w:val="bottom"/>
            <w:hideMark/>
          </w:tcPr>
          <w:p w14:paraId="4636D12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94,17%</w:t>
            </w:r>
          </w:p>
        </w:tc>
        <w:tc>
          <w:tcPr>
            <w:tcW w:w="946" w:type="dxa"/>
            <w:tcBorders>
              <w:top w:val="single" w:sz="4" w:space="0" w:color="auto"/>
              <w:left w:val="nil"/>
              <w:bottom w:val="single" w:sz="4" w:space="0" w:color="auto"/>
              <w:right w:val="single" w:sz="4" w:space="0" w:color="auto"/>
            </w:tcBorders>
            <w:noWrap/>
            <w:vAlign w:val="bottom"/>
            <w:hideMark/>
          </w:tcPr>
          <w:p w14:paraId="40021BA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81,38%</w:t>
            </w:r>
          </w:p>
        </w:tc>
      </w:tr>
      <w:tr w:rsidR="00416D67" w:rsidRPr="00416D67" w14:paraId="7A4CDB20"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139AC51D" w14:textId="77777777" w:rsidR="00416D67" w:rsidRPr="00416D67" w:rsidRDefault="00416D67" w:rsidP="00416D67">
            <w:pPr>
              <w:rPr>
                <w:rFonts w:ascii="Arial" w:hAnsi="Arial" w:cs="Arial"/>
                <w:sz w:val="14"/>
                <w:szCs w:val="14"/>
              </w:rPr>
            </w:pPr>
            <w:r w:rsidRPr="00416D67">
              <w:rPr>
                <w:rFonts w:ascii="Arial" w:hAnsi="Arial" w:cs="Arial"/>
                <w:sz w:val="14"/>
                <w:szCs w:val="14"/>
              </w:rPr>
              <w:t>Izvor 4.3.10 Ostali prihodi za posebne namjene spomenička renta</w:t>
            </w:r>
          </w:p>
        </w:tc>
        <w:tc>
          <w:tcPr>
            <w:tcW w:w="1034" w:type="dxa"/>
            <w:tcBorders>
              <w:top w:val="single" w:sz="4" w:space="0" w:color="auto"/>
              <w:left w:val="nil"/>
              <w:bottom w:val="single" w:sz="4" w:space="0" w:color="auto"/>
              <w:right w:val="single" w:sz="4" w:space="0" w:color="auto"/>
            </w:tcBorders>
            <w:noWrap/>
            <w:vAlign w:val="bottom"/>
            <w:hideMark/>
          </w:tcPr>
          <w:p w14:paraId="3388B33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4,41</w:t>
            </w:r>
          </w:p>
        </w:tc>
        <w:tc>
          <w:tcPr>
            <w:tcW w:w="1034" w:type="dxa"/>
            <w:tcBorders>
              <w:top w:val="single" w:sz="4" w:space="0" w:color="auto"/>
              <w:left w:val="nil"/>
              <w:bottom w:val="single" w:sz="4" w:space="0" w:color="auto"/>
              <w:right w:val="single" w:sz="4" w:space="0" w:color="auto"/>
            </w:tcBorders>
            <w:noWrap/>
            <w:vAlign w:val="bottom"/>
            <w:hideMark/>
          </w:tcPr>
          <w:p w14:paraId="1E4F277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w:t>
            </w:r>
          </w:p>
        </w:tc>
        <w:tc>
          <w:tcPr>
            <w:tcW w:w="1034" w:type="dxa"/>
            <w:tcBorders>
              <w:top w:val="single" w:sz="4" w:space="0" w:color="auto"/>
              <w:left w:val="nil"/>
              <w:bottom w:val="single" w:sz="4" w:space="0" w:color="auto"/>
              <w:right w:val="single" w:sz="4" w:space="0" w:color="auto"/>
            </w:tcBorders>
            <w:noWrap/>
            <w:vAlign w:val="bottom"/>
            <w:hideMark/>
          </w:tcPr>
          <w:p w14:paraId="5DAA7AD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w:t>
            </w:r>
          </w:p>
        </w:tc>
        <w:tc>
          <w:tcPr>
            <w:tcW w:w="1034" w:type="dxa"/>
            <w:tcBorders>
              <w:top w:val="single" w:sz="4" w:space="0" w:color="auto"/>
              <w:left w:val="nil"/>
              <w:bottom w:val="single" w:sz="4" w:space="0" w:color="auto"/>
              <w:right w:val="single" w:sz="4" w:space="0" w:color="auto"/>
            </w:tcBorders>
            <w:noWrap/>
            <w:vAlign w:val="bottom"/>
            <w:hideMark/>
          </w:tcPr>
          <w:p w14:paraId="703860A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2,24</w:t>
            </w:r>
          </w:p>
        </w:tc>
        <w:tc>
          <w:tcPr>
            <w:tcW w:w="925" w:type="dxa"/>
            <w:tcBorders>
              <w:top w:val="nil"/>
              <w:left w:val="nil"/>
              <w:bottom w:val="single" w:sz="4" w:space="0" w:color="auto"/>
              <w:right w:val="single" w:sz="4" w:space="0" w:color="auto"/>
            </w:tcBorders>
            <w:noWrap/>
            <w:vAlign w:val="bottom"/>
            <w:hideMark/>
          </w:tcPr>
          <w:p w14:paraId="3DE1B85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50,79%</w:t>
            </w:r>
          </w:p>
        </w:tc>
        <w:tc>
          <w:tcPr>
            <w:tcW w:w="946" w:type="dxa"/>
            <w:tcBorders>
              <w:top w:val="single" w:sz="4" w:space="0" w:color="auto"/>
              <w:left w:val="nil"/>
              <w:bottom w:val="single" w:sz="4" w:space="0" w:color="auto"/>
              <w:right w:val="single" w:sz="4" w:space="0" w:color="auto"/>
            </w:tcBorders>
            <w:noWrap/>
            <w:vAlign w:val="bottom"/>
            <w:hideMark/>
          </w:tcPr>
          <w:p w14:paraId="176AE12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22,40%</w:t>
            </w:r>
          </w:p>
        </w:tc>
      </w:tr>
      <w:tr w:rsidR="00416D67" w:rsidRPr="00416D67" w14:paraId="42969603"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717F56C7"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4.3.12 Koncesija pružanja javne usluge pražnjenja </w:t>
            </w:r>
          </w:p>
        </w:tc>
        <w:tc>
          <w:tcPr>
            <w:tcW w:w="1034" w:type="dxa"/>
            <w:tcBorders>
              <w:top w:val="single" w:sz="4" w:space="0" w:color="auto"/>
              <w:left w:val="nil"/>
              <w:bottom w:val="single" w:sz="4" w:space="0" w:color="auto"/>
              <w:right w:val="single" w:sz="4" w:space="0" w:color="auto"/>
            </w:tcBorders>
            <w:noWrap/>
            <w:vAlign w:val="bottom"/>
            <w:hideMark/>
          </w:tcPr>
          <w:p w14:paraId="3D310FB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2.585,02</w:t>
            </w:r>
          </w:p>
        </w:tc>
        <w:tc>
          <w:tcPr>
            <w:tcW w:w="1034" w:type="dxa"/>
            <w:tcBorders>
              <w:top w:val="single" w:sz="4" w:space="0" w:color="auto"/>
              <w:left w:val="nil"/>
              <w:bottom w:val="single" w:sz="4" w:space="0" w:color="auto"/>
              <w:right w:val="single" w:sz="4" w:space="0" w:color="auto"/>
            </w:tcBorders>
            <w:noWrap/>
            <w:vAlign w:val="bottom"/>
            <w:hideMark/>
          </w:tcPr>
          <w:p w14:paraId="1E35EB2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265,00</w:t>
            </w:r>
          </w:p>
        </w:tc>
        <w:tc>
          <w:tcPr>
            <w:tcW w:w="1034" w:type="dxa"/>
            <w:tcBorders>
              <w:top w:val="single" w:sz="4" w:space="0" w:color="auto"/>
              <w:left w:val="nil"/>
              <w:bottom w:val="single" w:sz="4" w:space="0" w:color="auto"/>
              <w:right w:val="single" w:sz="4" w:space="0" w:color="auto"/>
            </w:tcBorders>
            <w:noWrap/>
            <w:vAlign w:val="bottom"/>
            <w:hideMark/>
          </w:tcPr>
          <w:p w14:paraId="158C008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265,00</w:t>
            </w:r>
          </w:p>
        </w:tc>
        <w:tc>
          <w:tcPr>
            <w:tcW w:w="1034" w:type="dxa"/>
            <w:tcBorders>
              <w:top w:val="single" w:sz="4" w:space="0" w:color="auto"/>
              <w:left w:val="nil"/>
              <w:bottom w:val="single" w:sz="4" w:space="0" w:color="auto"/>
              <w:right w:val="single" w:sz="4" w:space="0" w:color="auto"/>
            </w:tcBorders>
            <w:noWrap/>
            <w:vAlign w:val="bottom"/>
            <w:hideMark/>
          </w:tcPr>
          <w:p w14:paraId="36FE0DF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25" w:type="dxa"/>
            <w:tcBorders>
              <w:top w:val="nil"/>
              <w:left w:val="nil"/>
              <w:bottom w:val="single" w:sz="4" w:space="0" w:color="auto"/>
              <w:right w:val="single" w:sz="4" w:space="0" w:color="auto"/>
            </w:tcBorders>
            <w:noWrap/>
            <w:vAlign w:val="bottom"/>
            <w:hideMark/>
          </w:tcPr>
          <w:p w14:paraId="4B69C5E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46" w:type="dxa"/>
            <w:tcBorders>
              <w:top w:val="single" w:sz="4" w:space="0" w:color="auto"/>
              <w:left w:val="nil"/>
              <w:bottom w:val="single" w:sz="4" w:space="0" w:color="auto"/>
              <w:right w:val="single" w:sz="4" w:space="0" w:color="auto"/>
            </w:tcBorders>
            <w:noWrap/>
            <w:vAlign w:val="bottom"/>
            <w:hideMark/>
          </w:tcPr>
          <w:p w14:paraId="33D9B8E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475C589D"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2605B7C0" w14:textId="77777777" w:rsidR="00416D67" w:rsidRPr="00416D67" w:rsidRDefault="00416D67" w:rsidP="00416D67">
            <w:pPr>
              <w:rPr>
                <w:rFonts w:ascii="Arial" w:hAnsi="Arial" w:cs="Arial"/>
                <w:sz w:val="14"/>
                <w:szCs w:val="14"/>
              </w:rPr>
            </w:pPr>
            <w:r w:rsidRPr="00416D67">
              <w:rPr>
                <w:rFonts w:ascii="Arial" w:hAnsi="Arial" w:cs="Arial"/>
                <w:sz w:val="14"/>
                <w:szCs w:val="14"/>
              </w:rPr>
              <w:t>Izvor 4.3.13 Naknada za koncesiju taxi prijevoz</w:t>
            </w:r>
          </w:p>
        </w:tc>
        <w:tc>
          <w:tcPr>
            <w:tcW w:w="1034" w:type="dxa"/>
            <w:tcBorders>
              <w:top w:val="single" w:sz="4" w:space="0" w:color="auto"/>
              <w:left w:val="nil"/>
              <w:bottom w:val="single" w:sz="4" w:space="0" w:color="auto"/>
              <w:right w:val="single" w:sz="4" w:space="0" w:color="auto"/>
            </w:tcBorders>
            <w:noWrap/>
            <w:vAlign w:val="bottom"/>
            <w:hideMark/>
          </w:tcPr>
          <w:p w14:paraId="4466FF3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34" w:type="dxa"/>
            <w:tcBorders>
              <w:top w:val="single" w:sz="4" w:space="0" w:color="auto"/>
              <w:left w:val="nil"/>
              <w:bottom w:val="single" w:sz="4" w:space="0" w:color="auto"/>
              <w:right w:val="single" w:sz="4" w:space="0" w:color="auto"/>
            </w:tcBorders>
            <w:noWrap/>
            <w:vAlign w:val="bottom"/>
            <w:hideMark/>
          </w:tcPr>
          <w:p w14:paraId="3E5AB3B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450,00</w:t>
            </w:r>
          </w:p>
        </w:tc>
        <w:tc>
          <w:tcPr>
            <w:tcW w:w="1034" w:type="dxa"/>
            <w:tcBorders>
              <w:top w:val="single" w:sz="4" w:space="0" w:color="auto"/>
              <w:left w:val="nil"/>
              <w:bottom w:val="single" w:sz="4" w:space="0" w:color="auto"/>
              <w:right w:val="single" w:sz="4" w:space="0" w:color="auto"/>
            </w:tcBorders>
            <w:noWrap/>
            <w:vAlign w:val="bottom"/>
            <w:hideMark/>
          </w:tcPr>
          <w:p w14:paraId="38ADEE5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450,00</w:t>
            </w:r>
          </w:p>
        </w:tc>
        <w:tc>
          <w:tcPr>
            <w:tcW w:w="1034" w:type="dxa"/>
            <w:tcBorders>
              <w:top w:val="single" w:sz="4" w:space="0" w:color="auto"/>
              <w:left w:val="nil"/>
              <w:bottom w:val="single" w:sz="4" w:space="0" w:color="auto"/>
              <w:right w:val="single" w:sz="4" w:space="0" w:color="auto"/>
            </w:tcBorders>
            <w:noWrap/>
            <w:vAlign w:val="bottom"/>
            <w:hideMark/>
          </w:tcPr>
          <w:p w14:paraId="039D5E8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450,00</w:t>
            </w:r>
          </w:p>
        </w:tc>
        <w:tc>
          <w:tcPr>
            <w:tcW w:w="925" w:type="dxa"/>
            <w:tcBorders>
              <w:top w:val="nil"/>
              <w:left w:val="nil"/>
              <w:bottom w:val="single" w:sz="4" w:space="0" w:color="auto"/>
              <w:right w:val="single" w:sz="4" w:space="0" w:color="auto"/>
            </w:tcBorders>
            <w:noWrap/>
            <w:vAlign w:val="bottom"/>
            <w:hideMark/>
          </w:tcPr>
          <w:p w14:paraId="4740B34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46" w:type="dxa"/>
            <w:tcBorders>
              <w:top w:val="single" w:sz="4" w:space="0" w:color="auto"/>
              <w:left w:val="nil"/>
              <w:bottom w:val="single" w:sz="4" w:space="0" w:color="auto"/>
              <w:right w:val="single" w:sz="4" w:space="0" w:color="auto"/>
            </w:tcBorders>
            <w:noWrap/>
            <w:vAlign w:val="bottom"/>
            <w:hideMark/>
          </w:tcPr>
          <w:p w14:paraId="182B11F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w:t>
            </w:r>
          </w:p>
        </w:tc>
      </w:tr>
      <w:tr w:rsidR="00416D67" w:rsidRPr="00416D67" w14:paraId="2563B067"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3CC067DC" w14:textId="77777777" w:rsidR="00416D67" w:rsidRPr="00416D67" w:rsidRDefault="00416D67" w:rsidP="00416D67">
            <w:pPr>
              <w:rPr>
                <w:rFonts w:ascii="Arial" w:hAnsi="Arial" w:cs="Arial"/>
                <w:sz w:val="14"/>
                <w:szCs w:val="14"/>
              </w:rPr>
            </w:pPr>
            <w:r w:rsidRPr="00416D67">
              <w:rPr>
                <w:rFonts w:ascii="Arial" w:hAnsi="Arial" w:cs="Arial"/>
                <w:sz w:val="14"/>
                <w:szCs w:val="14"/>
              </w:rPr>
              <w:t>Izvor 4.3.2 Eksploatacija mineralnih sirovina</w:t>
            </w:r>
          </w:p>
        </w:tc>
        <w:tc>
          <w:tcPr>
            <w:tcW w:w="1034" w:type="dxa"/>
            <w:tcBorders>
              <w:top w:val="single" w:sz="4" w:space="0" w:color="auto"/>
              <w:left w:val="nil"/>
              <w:bottom w:val="single" w:sz="4" w:space="0" w:color="auto"/>
              <w:right w:val="single" w:sz="4" w:space="0" w:color="auto"/>
            </w:tcBorders>
            <w:noWrap/>
            <w:vAlign w:val="bottom"/>
            <w:hideMark/>
          </w:tcPr>
          <w:p w14:paraId="3C5D412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27.524,47</w:t>
            </w:r>
          </w:p>
        </w:tc>
        <w:tc>
          <w:tcPr>
            <w:tcW w:w="1034" w:type="dxa"/>
            <w:tcBorders>
              <w:top w:val="single" w:sz="4" w:space="0" w:color="auto"/>
              <w:left w:val="nil"/>
              <w:bottom w:val="single" w:sz="4" w:space="0" w:color="auto"/>
              <w:right w:val="single" w:sz="4" w:space="0" w:color="auto"/>
            </w:tcBorders>
            <w:noWrap/>
            <w:vAlign w:val="bottom"/>
            <w:hideMark/>
          </w:tcPr>
          <w:p w14:paraId="609A6EE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56.500,00</w:t>
            </w:r>
          </w:p>
        </w:tc>
        <w:tc>
          <w:tcPr>
            <w:tcW w:w="1034" w:type="dxa"/>
            <w:tcBorders>
              <w:top w:val="single" w:sz="4" w:space="0" w:color="auto"/>
              <w:left w:val="nil"/>
              <w:bottom w:val="single" w:sz="4" w:space="0" w:color="auto"/>
              <w:right w:val="single" w:sz="4" w:space="0" w:color="auto"/>
            </w:tcBorders>
            <w:noWrap/>
            <w:vAlign w:val="bottom"/>
            <w:hideMark/>
          </w:tcPr>
          <w:p w14:paraId="1F9CA08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56.500,00</w:t>
            </w:r>
          </w:p>
        </w:tc>
        <w:tc>
          <w:tcPr>
            <w:tcW w:w="1034" w:type="dxa"/>
            <w:tcBorders>
              <w:top w:val="single" w:sz="4" w:space="0" w:color="auto"/>
              <w:left w:val="nil"/>
              <w:bottom w:val="single" w:sz="4" w:space="0" w:color="auto"/>
              <w:right w:val="single" w:sz="4" w:space="0" w:color="auto"/>
            </w:tcBorders>
            <w:noWrap/>
            <w:vAlign w:val="bottom"/>
            <w:hideMark/>
          </w:tcPr>
          <w:p w14:paraId="56C73F5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56.347,37</w:t>
            </w:r>
          </w:p>
        </w:tc>
        <w:tc>
          <w:tcPr>
            <w:tcW w:w="925" w:type="dxa"/>
            <w:tcBorders>
              <w:top w:val="nil"/>
              <w:left w:val="nil"/>
              <w:bottom w:val="single" w:sz="4" w:space="0" w:color="auto"/>
              <w:right w:val="single" w:sz="4" w:space="0" w:color="auto"/>
            </w:tcBorders>
            <w:noWrap/>
            <w:vAlign w:val="bottom"/>
            <w:hideMark/>
          </w:tcPr>
          <w:p w14:paraId="34D701A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204,72%</w:t>
            </w:r>
          </w:p>
        </w:tc>
        <w:tc>
          <w:tcPr>
            <w:tcW w:w="946" w:type="dxa"/>
            <w:tcBorders>
              <w:top w:val="single" w:sz="4" w:space="0" w:color="auto"/>
              <w:left w:val="nil"/>
              <w:bottom w:val="single" w:sz="4" w:space="0" w:color="auto"/>
              <w:right w:val="single" w:sz="4" w:space="0" w:color="auto"/>
            </w:tcBorders>
            <w:noWrap/>
            <w:vAlign w:val="bottom"/>
            <w:hideMark/>
          </w:tcPr>
          <w:p w14:paraId="3767D50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99,73%</w:t>
            </w:r>
          </w:p>
        </w:tc>
      </w:tr>
      <w:tr w:rsidR="00416D67" w:rsidRPr="00416D67" w14:paraId="0B001C40"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7C7330DD"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4.3.3 Prihodi od zakupa i </w:t>
            </w:r>
            <w:proofErr w:type="spellStart"/>
            <w:r w:rsidRPr="00416D67">
              <w:rPr>
                <w:rFonts w:ascii="Arial" w:hAnsi="Arial" w:cs="Arial"/>
                <w:sz w:val="14"/>
                <w:szCs w:val="14"/>
              </w:rPr>
              <w:t>privr.kor.poljoprivrednog</w:t>
            </w:r>
            <w:proofErr w:type="spellEnd"/>
            <w:r w:rsidRPr="00416D67">
              <w:rPr>
                <w:rFonts w:ascii="Arial" w:hAnsi="Arial" w:cs="Arial"/>
                <w:sz w:val="14"/>
                <w:szCs w:val="14"/>
              </w:rPr>
              <w:t xml:space="preserve"> zemljišta</w:t>
            </w:r>
          </w:p>
        </w:tc>
        <w:tc>
          <w:tcPr>
            <w:tcW w:w="1034" w:type="dxa"/>
            <w:tcBorders>
              <w:top w:val="single" w:sz="4" w:space="0" w:color="auto"/>
              <w:left w:val="nil"/>
              <w:bottom w:val="single" w:sz="4" w:space="0" w:color="auto"/>
              <w:right w:val="single" w:sz="4" w:space="0" w:color="auto"/>
            </w:tcBorders>
            <w:noWrap/>
            <w:vAlign w:val="bottom"/>
            <w:hideMark/>
          </w:tcPr>
          <w:p w14:paraId="6A26792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150,40</w:t>
            </w:r>
          </w:p>
        </w:tc>
        <w:tc>
          <w:tcPr>
            <w:tcW w:w="1034" w:type="dxa"/>
            <w:tcBorders>
              <w:top w:val="single" w:sz="4" w:space="0" w:color="auto"/>
              <w:left w:val="nil"/>
              <w:bottom w:val="single" w:sz="4" w:space="0" w:color="auto"/>
              <w:right w:val="single" w:sz="4" w:space="0" w:color="auto"/>
            </w:tcBorders>
            <w:noWrap/>
            <w:vAlign w:val="bottom"/>
            <w:hideMark/>
          </w:tcPr>
          <w:p w14:paraId="6101E81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200,00</w:t>
            </w:r>
          </w:p>
        </w:tc>
        <w:tc>
          <w:tcPr>
            <w:tcW w:w="1034" w:type="dxa"/>
            <w:tcBorders>
              <w:top w:val="single" w:sz="4" w:space="0" w:color="auto"/>
              <w:left w:val="nil"/>
              <w:bottom w:val="single" w:sz="4" w:space="0" w:color="auto"/>
              <w:right w:val="single" w:sz="4" w:space="0" w:color="auto"/>
            </w:tcBorders>
            <w:noWrap/>
            <w:vAlign w:val="bottom"/>
            <w:hideMark/>
          </w:tcPr>
          <w:p w14:paraId="213192E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200,00</w:t>
            </w:r>
          </w:p>
        </w:tc>
        <w:tc>
          <w:tcPr>
            <w:tcW w:w="1034" w:type="dxa"/>
            <w:tcBorders>
              <w:top w:val="single" w:sz="4" w:space="0" w:color="auto"/>
              <w:left w:val="nil"/>
              <w:bottom w:val="single" w:sz="4" w:space="0" w:color="auto"/>
              <w:right w:val="single" w:sz="4" w:space="0" w:color="auto"/>
            </w:tcBorders>
            <w:noWrap/>
            <w:vAlign w:val="bottom"/>
            <w:hideMark/>
          </w:tcPr>
          <w:p w14:paraId="05DE360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50,58</w:t>
            </w:r>
          </w:p>
        </w:tc>
        <w:tc>
          <w:tcPr>
            <w:tcW w:w="925" w:type="dxa"/>
            <w:tcBorders>
              <w:top w:val="nil"/>
              <w:left w:val="nil"/>
              <w:bottom w:val="single" w:sz="4" w:space="0" w:color="auto"/>
              <w:right w:val="single" w:sz="4" w:space="0" w:color="auto"/>
            </w:tcBorders>
            <w:noWrap/>
            <w:vAlign w:val="bottom"/>
            <w:hideMark/>
          </w:tcPr>
          <w:p w14:paraId="38CBC9F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33,63%</w:t>
            </w:r>
          </w:p>
        </w:tc>
        <w:tc>
          <w:tcPr>
            <w:tcW w:w="946" w:type="dxa"/>
            <w:tcBorders>
              <w:top w:val="single" w:sz="4" w:space="0" w:color="auto"/>
              <w:left w:val="nil"/>
              <w:bottom w:val="single" w:sz="4" w:space="0" w:color="auto"/>
              <w:right w:val="single" w:sz="4" w:space="0" w:color="auto"/>
            </w:tcBorders>
            <w:noWrap/>
            <w:vAlign w:val="bottom"/>
            <w:hideMark/>
          </w:tcPr>
          <w:p w14:paraId="7D10DD2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25,29%</w:t>
            </w:r>
          </w:p>
        </w:tc>
      </w:tr>
      <w:tr w:rsidR="00416D67" w:rsidRPr="00416D67" w14:paraId="566AF595"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1E486E09" w14:textId="77777777" w:rsidR="00416D67" w:rsidRPr="00416D67" w:rsidRDefault="00416D67" w:rsidP="00416D67">
            <w:pPr>
              <w:rPr>
                <w:rFonts w:ascii="Arial" w:hAnsi="Arial" w:cs="Arial"/>
                <w:sz w:val="14"/>
                <w:szCs w:val="14"/>
              </w:rPr>
            </w:pPr>
            <w:r w:rsidRPr="00416D67">
              <w:rPr>
                <w:rFonts w:ascii="Arial" w:hAnsi="Arial" w:cs="Arial"/>
                <w:sz w:val="14"/>
                <w:szCs w:val="14"/>
              </w:rPr>
              <w:t>Izvor 4.3.4 Vodni doprinos</w:t>
            </w:r>
          </w:p>
        </w:tc>
        <w:tc>
          <w:tcPr>
            <w:tcW w:w="1034" w:type="dxa"/>
            <w:tcBorders>
              <w:top w:val="single" w:sz="4" w:space="0" w:color="auto"/>
              <w:left w:val="nil"/>
              <w:bottom w:val="single" w:sz="4" w:space="0" w:color="auto"/>
              <w:right w:val="single" w:sz="4" w:space="0" w:color="auto"/>
            </w:tcBorders>
            <w:noWrap/>
            <w:vAlign w:val="bottom"/>
            <w:hideMark/>
          </w:tcPr>
          <w:p w14:paraId="5BB21E3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2.082,99</w:t>
            </w:r>
          </w:p>
        </w:tc>
        <w:tc>
          <w:tcPr>
            <w:tcW w:w="1034" w:type="dxa"/>
            <w:tcBorders>
              <w:top w:val="single" w:sz="4" w:space="0" w:color="auto"/>
              <w:left w:val="nil"/>
              <w:bottom w:val="single" w:sz="4" w:space="0" w:color="auto"/>
              <w:right w:val="single" w:sz="4" w:space="0" w:color="auto"/>
            </w:tcBorders>
            <w:noWrap/>
            <w:vAlign w:val="bottom"/>
            <w:hideMark/>
          </w:tcPr>
          <w:p w14:paraId="5B3F1B9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1.000,00</w:t>
            </w:r>
          </w:p>
        </w:tc>
        <w:tc>
          <w:tcPr>
            <w:tcW w:w="1034" w:type="dxa"/>
            <w:tcBorders>
              <w:top w:val="single" w:sz="4" w:space="0" w:color="auto"/>
              <w:left w:val="nil"/>
              <w:bottom w:val="single" w:sz="4" w:space="0" w:color="auto"/>
              <w:right w:val="single" w:sz="4" w:space="0" w:color="auto"/>
            </w:tcBorders>
            <w:noWrap/>
            <w:vAlign w:val="bottom"/>
            <w:hideMark/>
          </w:tcPr>
          <w:p w14:paraId="1F1285B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1.000,00</w:t>
            </w:r>
          </w:p>
        </w:tc>
        <w:tc>
          <w:tcPr>
            <w:tcW w:w="1034" w:type="dxa"/>
            <w:tcBorders>
              <w:top w:val="single" w:sz="4" w:space="0" w:color="auto"/>
              <w:left w:val="nil"/>
              <w:bottom w:val="single" w:sz="4" w:space="0" w:color="auto"/>
              <w:right w:val="single" w:sz="4" w:space="0" w:color="auto"/>
            </w:tcBorders>
            <w:noWrap/>
            <w:vAlign w:val="bottom"/>
            <w:hideMark/>
          </w:tcPr>
          <w:p w14:paraId="24A07BB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377,27</w:t>
            </w:r>
          </w:p>
        </w:tc>
        <w:tc>
          <w:tcPr>
            <w:tcW w:w="925" w:type="dxa"/>
            <w:tcBorders>
              <w:top w:val="nil"/>
              <w:left w:val="nil"/>
              <w:bottom w:val="single" w:sz="4" w:space="0" w:color="auto"/>
              <w:right w:val="single" w:sz="4" w:space="0" w:color="auto"/>
            </w:tcBorders>
            <w:noWrap/>
            <w:vAlign w:val="bottom"/>
            <w:hideMark/>
          </w:tcPr>
          <w:p w14:paraId="3BB8260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18,11%</w:t>
            </w:r>
          </w:p>
        </w:tc>
        <w:tc>
          <w:tcPr>
            <w:tcW w:w="946" w:type="dxa"/>
            <w:tcBorders>
              <w:top w:val="single" w:sz="4" w:space="0" w:color="auto"/>
              <w:left w:val="nil"/>
              <w:bottom w:val="single" w:sz="4" w:space="0" w:color="auto"/>
              <w:right w:val="single" w:sz="4" w:space="0" w:color="auto"/>
            </w:tcBorders>
            <w:noWrap/>
            <w:vAlign w:val="bottom"/>
            <w:hideMark/>
          </w:tcPr>
          <w:p w14:paraId="2298AE7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37,73%</w:t>
            </w:r>
          </w:p>
        </w:tc>
      </w:tr>
      <w:tr w:rsidR="00416D67" w:rsidRPr="00416D67" w14:paraId="10FF8331"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605C3EDA"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4.3.5 Naknada za zadržavanje nezakonito </w:t>
            </w:r>
            <w:proofErr w:type="spellStart"/>
            <w:r w:rsidRPr="00416D67">
              <w:rPr>
                <w:rFonts w:ascii="Arial" w:hAnsi="Arial" w:cs="Arial"/>
                <w:sz w:val="14"/>
                <w:szCs w:val="14"/>
              </w:rPr>
              <w:t>izgr.zgrada</w:t>
            </w:r>
            <w:proofErr w:type="spellEnd"/>
          </w:p>
        </w:tc>
        <w:tc>
          <w:tcPr>
            <w:tcW w:w="1034" w:type="dxa"/>
            <w:tcBorders>
              <w:top w:val="single" w:sz="4" w:space="0" w:color="auto"/>
              <w:left w:val="nil"/>
              <w:bottom w:val="single" w:sz="4" w:space="0" w:color="auto"/>
              <w:right w:val="single" w:sz="4" w:space="0" w:color="auto"/>
            </w:tcBorders>
            <w:noWrap/>
            <w:vAlign w:val="bottom"/>
            <w:hideMark/>
          </w:tcPr>
          <w:p w14:paraId="4DE4165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10.513,30</w:t>
            </w:r>
          </w:p>
        </w:tc>
        <w:tc>
          <w:tcPr>
            <w:tcW w:w="1034" w:type="dxa"/>
            <w:tcBorders>
              <w:top w:val="single" w:sz="4" w:space="0" w:color="auto"/>
              <w:left w:val="nil"/>
              <w:bottom w:val="single" w:sz="4" w:space="0" w:color="auto"/>
              <w:right w:val="single" w:sz="4" w:space="0" w:color="auto"/>
            </w:tcBorders>
            <w:noWrap/>
            <w:vAlign w:val="bottom"/>
            <w:hideMark/>
          </w:tcPr>
          <w:p w14:paraId="423A366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7.500,00</w:t>
            </w:r>
          </w:p>
        </w:tc>
        <w:tc>
          <w:tcPr>
            <w:tcW w:w="1034" w:type="dxa"/>
            <w:tcBorders>
              <w:top w:val="single" w:sz="4" w:space="0" w:color="auto"/>
              <w:left w:val="nil"/>
              <w:bottom w:val="single" w:sz="4" w:space="0" w:color="auto"/>
              <w:right w:val="single" w:sz="4" w:space="0" w:color="auto"/>
            </w:tcBorders>
            <w:noWrap/>
            <w:vAlign w:val="bottom"/>
            <w:hideMark/>
          </w:tcPr>
          <w:p w14:paraId="4E46516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7.500,00</w:t>
            </w:r>
          </w:p>
        </w:tc>
        <w:tc>
          <w:tcPr>
            <w:tcW w:w="1034" w:type="dxa"/>
            <w:tcBorders>
              <w:top w:val="single" w:sz="4" w:space="0" w:color="auto"/>
              <w:left w:val="nil"/>
              <w:bottom w:val="single" w:sz="4" w:space="0" w:color="auto"/>
              <w:right w:val="single" w:sz="4" w:space="0" w:color="auto"/>
            </w:tcBorders>
            <w:noWrap/>
            <w:vAlign w:val="bottom"/>
            <w:hideMark/>
          </w:tcPr>
          <w:p w14:paraId="7AAEC96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5.696,66</w:t>
            </w:r>
          </w:p>
        </w:tc>
        <w:tc>
          <w:tcPr>
            <w:tcW w:w="925" w:type="dxa"/>
            <w:tcBorders>
              <w:top w:val="nil"/>
              <w:left w:val="nil"/>
              <w:bottom w:val="single" w:sz="4" w:space="0" w:color="auto"/>
              <w:right w:val="single" w:sz="4" w:space="0" w:color="auto"/>
            </w:tcBorders>
            <w:noWrap/>
            <w:vAlign w:val="bottom"/>
            <w:hideMark/>
          </w:tcPr>
          <w:p w14:paraId="1E70F8C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54,19%</w:t>
            </w:r>
          </w:p>
        </w:tc>
        <w:tc>
          <w:tcPr>
            <w:tcW w:w="946" w:type="dxa"/>
            <w:tcBorders>
              <w:top w:val="single" w:sz="4" w:space="0" w:color="auto"/>
              <w:left w:val="nil"/>
              <w:bottom w:val="single" w:sz="4" w:space="0" w:color="auto"/>
              <w:right w:val="single" w:sz="4" w:space="0" w:color="auto"/>
            </w:tcBorders>
            <w:noWrap/>
            <w:vAlign w:val="bottom"/>
            <w:hideMark/>
          </w:tcPr>
          <w:p w14:paraId="6F043F5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75,96%</w:t>
            </w:r>
          </w:p>
        </w:tc>
      </w:tr>
      <w:tr w:rsidR="00416D67" w:rsidRPr="00416D67" w14:paraId="1FD99289"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3558AF77" w14:textId="77777777" w:rsidR="00416D67" w:rsidRPr="00416D67" w:rsidRDefault="00416D67" w:rsidP="00416D67">
            <w:pPr>
              <w:rPr>
                <w:rFonts w:ascii="Arial" w:hAnsi="Arial" w:cs="Arial"/>
                <w:sz w:val="14"/>
                <w:szCs w:val="14"/>
              </w:rPr>
            </w:pPr>
            <w:r w:rsidRPr="00416D67">
              <w:rPr>
                <w:rFonts w:ascii="Arial" w:hAnsi="Arial" w:cs="Arial"/>
                <w:sz w:val="14"/>
                <w:szCs w:val="14"/>
              </w:rPr>
              <w:t>Izvor 4.3.6 Koncesije i koncesijska odobrenja</w:t>
            </w:r>
          </w:p>
        </w:tc>
        <w:tc>
          <w:tcPr>
            <w:tcW w:w="1034" w:type="dxa"/>
            <w:tcBorders>
              <w:top w:val="single" w:sz="4" w:space="0" w:color="auto"/>
              <w:left w:val="nil"/>
              <w:bottom w:val="single" w:sz="4" w:space="0" w:color="auto"/>
              <w:right w:val="single" w:sz="4" w:space="0" w:color="auto"/>
            </w:tcBorders>
            <w:noWrap/>
            <w:vAlign w:val="bottom"/>
            <w:hideMark/>
          </w:tcPr>
          <w:p w14:paraId="265038B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21.801,49</w:t>
            </w:r>
          </w:p>
        </w:tc>
        <w:tc>
          <w:tcPr>
            <w:tcW w:w="1034" w:type="dxa"/>
            <w:tcBorders>
              <w:top w:val="single" w:sz="4" w:space="0" w:color="auto"/>
              <w:left w:val="nil"/>
              <w:bottom w:val="single" w:sz="4" w:space="0" w:color="auto"/>
              <w:right w:val="single" w:sz="4" w:space="0" w:color="auto"/>
            </w:tcBorders>
            <w:noWrap/>
            <w:vAlign w:val="bottom"/>
            <w:hideMark/>
          </w:tcPr>
          <w:p w14:paraId="6E9C2E6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28.873,40</w:t>
            </w:r>
          </w:p>
        </w:tc>
        <w:tc>
          <w:tcPr>
            <w:tcW w:w="1034" w:type="dxa"/>
            <w:tcBorders>
              <w:top w:val="single" w:sz="4" w:space="0" w:color="auto"/>
              <w:left w:val="nil"/>
              <w:bottom w:val="single" w:sz="4" w:space="0" w:color="auto"/>
              <w:right w:val="single" w:sz="4" w:space="0" w:color="auto"/>
            </w:tcBorders>
            <w:noWrap/>
            <w:vAlign w:val="bottom"/>
            <w:hideMark/>
          </w:tcPr>
          <w:p w14:paraId="78AC02A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28.873,40</w:t>
            </w:r>
          </w:p>
        </w:tc>
        <w:tc>
          <w:tcPr>
            <w:tcW w:w="1034" w:type="dxa"/>
            <w:tcBorders>
              <w:top w:val="single" w:sz="4" w:space="0" w:color="auto"/>
              <w:left w:val="nil"/>
              <w:bottom w:val="single" w:sz="4" w:space="0" w:color="auto"/>
              <w:right w:val="single" w:sz="4" w:space="0" w:color="auto"/>
            </w:tcBorders>
            <w:noWrap/>
            <w:vAlign w:val="bottom"/>
            <w:hideMark/>
          </w:tcPr>
          <w:p w14:paraId="79EF6C9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28.186,43</w:t>
            </w:r>
          </w:p>
        </w:tc>
        <w:tc>
          <w:tcPr>
            <w:tcW w:w="925" w:type="dxa"/>
            <w:tcBorders>
              <w:top w:val="nil"/>
              <w:left w:val="nil"/>
              <w:bottom w:val="single" w:sz="4" w:space="0" w:color="auto"/>
              <w:right w:val="single" w:sz="4" w:space="0" w:color="auto"/>
            </w:tcBorders>
            <w:noWrap/>
            <w:vAlign w:val="bottom"/>
            <w:hideMark/>
          </w:tcPr>
          <w:p w14:paraId="7126545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129,29%</w:t>
            </w:r>
          </w:p>
        </w:tc>
        <w:tc>
          <w:tcPr>
            <w:tcW w:w="946" w:type="dxa"/>
            <w:tcBorders>
              <w:top w:val="single" w:sz="4" w:space="0" w:color="auto"/>
              <w:left w:val="nil"/>
              <w:bottom w:val="single" w:sz="4" w:space="0" w:color="auto"/>
              <w:right w:val="single" w:sz="4" w:space="0" w:color="auto"/>
            </w:tcBorders>
            <w:noWrap/>
            <w:vAlign w:val="bottom"/>
            <w:hideMark/>
          </w:tcPr>
          <w:p w14:paraId="667E8C4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97,62%</w:t>
            </w:r>
          </w:p>
        </w:tc>
      </w:tr>
      <w:tr w:rsidR="00416D67" w:rsidRPr="00416D67" w14:paraId="04314D9B"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78D75175" w14:textId="77777777" w:rsidR="00416D67" w:rsidRPr="00416D67" w:rsidRDefault="00416D67" w:rsidP="00416D67">
            <w:pPr>
              <w:rPr>
                <w:rFonts w:ascii="Arial" w:hAnsi="Arial" w:cs="Arial"/>
                <w:sz w:val="14"/>
                <w:szCs w:val="14"/>
              </w:rPr>
            </w:pPr>
            <w:r w:rsidRPr="00416D67">
              <w:rPr>
                <w:rFonts w:ascii="Arial" w:hAnsi="Arial" w:cs="Arial"/>
                <w:sz w:val="14"/>
                <w:szCs w:val="14"/>
              </w:rPr>
              <w:t>Izvor 4.3.7 Naknada za dodjelu grobnih mjesta</w:t>
            </w:r>
          </w:p>
        </w:tc>
        <w:tc>
          <w:tcPr>
            <w:tcW w:w="1034" w:type="dxa"/>
            <w:tcBorders>
              <w:top w:val="single" w:sz="4" w:space="0" w:color="auto"/>
              <w:left w:val="nil"/>
              <w:bottom w:val="single" w:sz="4" w:space="0" w:color="auto"/>
              <w:right w:val="single" w:sz="4" w:space="0" w:color="auto"/>
            </w:tcBorders>
            <w:noWrap/>
            <w:vAlign w:val="bottom"/>
            <w:hideMark/>
          </w:tcPr>
          <w:p w14:paraId="775CDE7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11.128,69</w:t>
            </w:r>
          </w:p>
        </w:tc>
        <w:tc>
          <w:tcPr>
            <w:tcW w:w="1034" w:type="dxa"/>
            <w:tcBorders>
              <w:top w:val="single" w:sz="4" w:space="0" w:color="auto"/>
              <w:left w:val="nil"/>
              <w:bottom w:val="single" w:sz="4" w:space="0" w:color="auto"/>
              <w:right w:val="single" w:sz="4" w:space="0" w:color="auto"/>
            </w:tcBorders>
            <w:noWrap/>
            <w:vAlign w:val="bottom"/>
            <w:hideMark/>
          </w:tcPr>
          <w:p w14:paraId="40CFDA9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10.000,00</w:t>
            </w:r>
          </w:p>
        </w:tc>
        <w:tc>
          <w:tcPr>
            <w:tcW w:w="1034" w:type="dxa"/>
            <w:tcBorders>
              <w:top w:val="single" w:sz="4" w:space="0" w:color="auto"/>
              <w:left w:val="nil"/>
              <w:bottom w:val="single" w:sz="4" w:space="0" w:color="auto"/>
              <w:right w:val="single" w:sz="4" w:space="0" w:color="auto"/>
            </w:tcBorders>
            <w:noWrap/>
            <w:vAlign w:val="bottom"/>
            <w:hideMark/>
          </w:tcPr>
          <w:p w14:paraId="0101BED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10.000,00</w:t>
            </w:r>
          </w:p>
        </w:tc>
        <w:tc>
          <w:tcPr>
            <w:tcW w:w="1034" w:type="dxa"/>
            <w:tcBorders>
              <w:top w:val="single" w:sz="4" w:space="0" w:color="auto"/>
              <w:left w:val="nil"/>
              <w:bottom w:val="single" w:sz="4" w:space="0" w:color="auto"/>
              <w:right w:val="single" w:sz="4" w:space="0" w:color="auto"/>
            </w:tcBorders>
            <w:noWrap/>
            <w:vAlign w:val="bottom"/>
            <w:hideMark/>
          </w:tcPr>
          <w:p w14:paraId="3B029B0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8.727,06</w:t>
            </w:r>
          </w:p>
        </w:tc>
        <w:tc>
          <w:tcPr>
            <w:tcW w:w="925" w:type="dxa"/>
            <w:tcBorders>
              <w:top w:val="nil"/>
              <w:left w:val="nil"/>
              <w:bottom w:val="single" w:sz="4" w:space="0" w:color="auto"/>
              <w:right w:val="single" w:sz="4" w:space="0" w:color="auto"/>
            </w:tcBorders>
            <w:noWrap/>
            <w:vAlign w:val="bottom"/>
            <w:hideMark/>
          </w:tcPr>
          <w:p w14:paraId="6E02A82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78,42%</w:t>
            </w:r>
          </w:p>
        </w:tc>
        <w:tc>
          <w:tcPr>
            <w:tcW w:w="946" w:type="dxa"/>
            <w:tcBorders>
              <w:top w:val="single" w:sz="4" w:space="0" w:color="auto"/>
              <w:left w:val="nil"/>
              <w:bottom w:val="single" w:sz="4" w:space="0" w:color="auto"/>
              <w:right w:val="single" w:sz="4" w:space="0" w:color="auto"/>
            </w:tcBorders>
            <w:noWrap/>
            <w:vAlign w:val="bottom"/>
            <w:hideMark/>
          </w:tcPr>
          <w:p w14:paraId="76FA879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87,27%</w:t>
            </w:r>
          </w:p>
        </w:tc>
      </w:tr>
      <w:tr w:rsidR="00416D67" w:rsidRPr="00416D67" w14:paraId="54E70015"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727AF65E"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4.3.8 Naknada za promjenu namjene </w:t>
            </w:r>
            <w:proofErr w:type="spellStart"/>
            <w:r w:rsidRPr="00416D67">
              <w:rPr>
                <w:rFonts w:ascii="Arial" w:hAnsi="Arial" w:cs="Arial"/>
                <w:sz w:val="14"/>
                <w:szCs w:val="14"/>
              </w:rPr>
              <w:t>poljopr.zemljišta</w:t>
            </w:r>
            <w:proofErr w:type="spellEnd"/>
          </w:p>
        </w:tc>
        <w:tc>
          <w:tcPr>
            <w:tcW w:w="1034" w:type="dxa"/>
            <w:tcBorders>
              <w:top w:val="single" w:sz="4" w:space="0" w:color="auto"/>
              <w:left w:val="nil"/>
              <w:bottom w:val="single" w:sz="4" w:space="0" w:color="auto"/>
              <w:right w:val="single" w:sz="4" w:space="0" w:color="auto"/>
            </w:tcBorders>
            <w:noWrap/>
            <w:vAlign w:val="bottom"/>
            <w:hideMark/>
          </w:tcPr>
          <w:p w14:paraId="724A63C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1.154,41</w:t>
            </w:r>
          </w:p>
        </w:tc>
        <w:tc>
          <w:tcPr>
            <w:tcW w:w="1034" w:type="dxa"/>
            <w:tcBorders>
              <w:top w:val="single" w:sz="4" w:space="0" w:color="auto"/>
              <w:left w:val="nil"/>
              <w:bottom w:val="single" w:sz="4" w:space="0" w:color="auto"/>
              <w:right w:val="single" w:sz="4" w:space="0" w:color="auto"/>
            </w:tcBorders>
            <w:noWrap/>
            <w:vAlign w:val="bottom"/>
            <w:hideMark/>
          </w:tcPr>
          <w:p w14:paraId="2AE32F1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2.300,00</w:t>
            </w:r>
          </w:p>
        </w:tc>
        <w:tc>
          <w:tcPr>
            <w:tcW w:w="1034" w:type="dxa"/>
            <w:tcBorders>
              <w:top w:val="single" w:sz="4" w:space="0" w:color="auto"/>
              <w:left w:val="nil"/>
              <w:bottom w:val="single" w:sz="4" w:space="0" w:color="auto"/>
              <w:right w:val="single" w:sz="4" w:space="0" w:color="auto"/>
            </w:tcBorders>
            <w:noWrap/>
            <w:vAlign w:val="bottom"/>
            <w:hideMark/>
          </w:tcPr>
          <w:p w14:paraId="6892AF8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2.300,00</w:t>
            </w:r>
          </w:p>
        </w:tc>
        <w:tc>
          <w:tcPr>
            <w:tcW w:w="1034" w:type="dxa"/>
            <w:tcBorders>
              <w:top w:val="single" w:sz="4" w:space="0" w:color="auto"/>
              <w:left w:val="single" w:sz="4" w:space="0" w:color="auto"/>
              <w:bottom w:val="single" w:sz="4" w:space="0" w:color="auto"/>
              <w:right w:val="single" w:sz="4" w:space="0" w:color="auto"/>
            </w:tcBorders>
            <w:noWrap/>
            <w:vAlign w:val="bottom"/>
            <w:hideMark/>
          </w:tcPr>
          <w:p w14:paraId="5E64483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2.225,38</w:t>
            </w:r>
          </w:p>
        </w:tc>
        <w:tc>
          <w:tcPr>
            <w:tcW w:w="925" w:type="dxa"/>
            <w:tcBorders>
              <w:top w:val="single" w:sz="4" w:space="0" w:color="auto"/>
              <w:left w:val="single" w:sz="4" w:space="0" w:color="auto"/>
              <w:bottom w:val="single" w:sz="4" w:space="0" w:color="auto"/>
              <w:right w:val="single" w:sz="4" w:space="0" w:color="auto"/>
            </w:tcBorders>
            <w:noWrap/>
            <w:vAlign w:val="bottom"/>
            <w:hideMark/>
          </w:tcPr>
          <w:p w14:paraId="48329FE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192,77%</w:t>
            </w:r>
          </w:p>
        </w:tc>
        <w:tc>
          <w:tcPr>
            <w:tcW w:w="946" w:type="dxa"/>
            <w:tcBorders>
              <w:top w:val="single" w:sz="4" w:space="0" w:color="auto"/>
              <w:left w:val="single" w:sz="4" w:space="0" w:color="auto"/>
              <w:bottom w:val="single" w:sz="4" w:space="0" w:color="auto"/>
              <w:right w:val="single" w:sz="4" w:space="0" w:color="auto"/>
            </w:tcBorders>
            <w:noWrap/>
            <w:vAlign w:val="bottom"/>
            <w:hideMark/>
          </w:tcPr>
          <w:p w14:paraId="592E00F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96,76%</w:t>
            </w:r>
          </w:p>
        </w:tc>
      </w:tr>
      <w:tr w:rsidR="00416D67" w:rsidRPr="00416D67" w14:paraId="5BE7BABB"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3CFAFA00" w14:textId="77777777" w:rsidR="00416D67" w:rsidRPr="00416D67" w:rsidRDefault="00416D67" w:rsidP="00416D67">
            <w:pPr>
              <w:rPr>
                <w:rFonts w:ascii="Arial" w:hAnsi="Arial" w:cs="Arial"/>
                <w:sz w:val="14"/>
                <w:szCs w:val="14"/>
              </w:rPr>
            </w:pPr>
            <w:r w:rsidRPr="00416D67">
              <w:rPr>
                <w:rFonts w:ascii="Arial" w:hAnsi="Arial" w:cs="Arial"/>
                <w:sz w:val="14"/>
                <w:szCs w:val="14"/>
              </w:rPr>
              <w:t>Izvor 4.3.9 Doprinos za šume</w:t>
            </w:r>
          </w:p>
        </w:tc>
        <w:tc>
          <w:tcPr>
            <w:tcW w:w="1034" w:type="dxa"/>
            <w:tcBorders>
              <w:top w:val="single" w:sz="4" w:space="0" w:color="auto"/>
              <w:left w:val="nil"/>
              <w:bottom w:val="single" w:sz="4" w:space="0" w:color="auto"/>
              <w:right w:val="single" w:sz="4" w:space="0" w:color="auto"/>
            </w:tcBorders>
            <w:noWrap/>
            <w:vAlign w:val="bottom"/>
            <w:hideMark/>
          </w:tcPr>
          <w:p w14:paraId="035599B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123,39</w:t>
            </w:r>
          </w:p>
        </w:tc>
        <w:tc>
          <w:tcPr>
            <w:tcW w:w="1034" w:type="dxa"/>
            <w:tcBorders>
              <w:top w:val="single" w:sz="4" w:space="0" w:color="auto"/>
              <w:left w:val="nil"/>
              <w:bottom w:val="single" w:sz="4" w:space="0" w:color="auto"/>
              <w:right w:val="single" w:sz="4" w:space="0" w:color="auto"/>
            </w:tcBorders>
            <w:noWrap/>
            <w:vAlign w:val="bottom"/>
            <w:hideMark/>
          </w:tcPr>
          <w:p w14:paraId="05F6881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650,00</w:t>
            </w:r>
          </w:p>
        </w:tc>
        <w:tc>
          <w:tcPr>
            <w:tcW w:w="1034" w:type="dxa"/>
            <w:tcBorders>
              <w:top w:val="single" w:sz="4" w:space="0" w:color="auto"/>
              <w:left w:val="nil"/>
              <w:bottom w:val="single" w:sz="4" w:space="0" w:color="auto"/>
              <w:right w:val="single" w:sz="4" w:space="0" w:color="auto"/>
            </w:tcBorders>
            <w:noWrap/>
            <w:vAlign w:val="bottom"/>
            <w:hideMark/>
          </w:tcPr>
          <w:p w14:paraId="5DCF1A2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650,00</w:t>
            </w:r>
          </w:p>
        </w:tc>
        <w:tc>
          <w:tcPr>
            <w:tcW w:w="1034" w:type="dxa"/>
            <w:tcBorders>
              <w:top w:val="single" w:sz="4" w:space="0" w:color="auto"/>
              <w:left w:val="single" w:sz="4" w:space="0" w:color="auto"/>
              <w:bottom w:val="single" w:sz="4" w:space="0" w:color="auto"/>
              <w:right w:val="single" w:sz="4" w:space="0" w:color="auto"/>
            </w:tcBorders>
            <w:noWrap/>
            <w:vAlign w:val="bottom"/>
            <w:hideMark/>
          </w:tcPr>
          <w:p w14:paraId="6D2ABDB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531,61</w:t>
            </w:r>
          </w:p>
        </w:tc>
        <w:tc>
          <w:tcPr>
            <w:tcW w:w="925" w:type="dxa"/>
            <w:tcBorders>
              <w:top w:val="single" w:sz="4" w:space="0" w:color="auto"/>
              <w:left w:val="single" w:sz="4" w:space="0" w:color="auto"/>
              <w:bottom w:val="single" w:sz="4" w:space="0" w:color="auto"/>
              <w:right w:val="single" w:sz="4" w:space="0" w:color="auto"/>
            </w:tcBorders>
            <w:noWrap/>
            <w:vAlign w:val="bottom"/>
            <w:hideMark/>
          </w:tcPr>
          <w:p w14:paraId="1BBD82E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430,84%</w:t>
            </w:r>
          </w:p>
        </w:tc>
        <w:tc>
          <w:tcPr>
            <w:tcW w:w="946" w:type="dxa"/>
            <w:tcBorders>
              <w:top w:val="single" w:sz="4" w:space="0" w:color="auto"/>
              <w:left w:val="single" w:sz="4" w:space="0" w:color="auto"/>
              <w:bottom w:val="single" w:sz="4" w:space="0" w:color="auto"/>
              <w:right w:val="single" w:sz="4" w:space="0" w:color="auto"/>
            </w:tcBorders>
            <w:noWrap/>
            <w:vAlign w:val="bottom"/>
            <w:hideMark/>
          </w:tcPr>
          <w:p w14:paraId="5054AFC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81,79%</w:t>
            </w:r>
          </w:p>
        </w:tc>
      </w:tr>
      <w:tr w:rsidR="00416D67" w:rsidRPr="00416D67" w14:paraId="06416DF0"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63F3918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Izvor 4.4. Prihodi za posebne PK boravak roditelji i </w:t>
            </w:r>
            <w:proofErr w:type="spellStart"/>
            <w:r w:rsidRPr="00416D67">
              <w:rPr>
                <w:rFonts w:ascii="Arial" w:hAnsi="Arial" w:cs="Arial"/>
                <w:b/>
                <w:bCs/>
                <w:sz w:val="14"/>
                <w:szCs w:val="14"/>
              </w:rPr>
              <w:t>soc.program</w:t>
            </w:r>
            <w:proofErr w:type="spellEnd"/>
          </w:p>
        </w:tc>
        <w:tc>
          <w:tcPr>
            <w:tcW w:w="1034" w:type="dxa"/>
            <w:tcBorders>
              <w:top w:val="single" w:sz="4" w:space="0" w:color="auto"/>
              <w:left w:val="nil"/>
              <w:bottom w:val="single" w:sz="4" w:space="0" w:color="auto"/>
              <w:right w:val="single" w:sz="4" w:space="0" w:color="auto"/>
            </w:tcBorders>
            <w:noWrap/>
            <w:vAlign w:val="bottom"/>
            <w:hideMark/>
          </w:tcPr>
          <w:p w14:paraId="122353C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92.043,39</w:t>
            </w:r>
          </w:p>
        </w:tc>
        <w:tc>
          <w:tcPr>
            <w:tcW w:w="1034" w:type="dxa"/>
            <w:tcBorders>
              <w:top w:val="single" w:sz="4" w:space="0" w:color="auto"/>
              <w:left w:val="nil"/>
              <w:bottom w:val="single" w:sz="4" w:space="0" w:color="auto"/>
              <w:right w:val="single" w:sz="4" w:space="0" w:color="auto"/>
            </w:tcBorders>
            <w:noWrap/>
            <w:vAlign w:val="bottom"/>
            <w:hideMark/>
          </w:tcPr>
          <w:p w14:paraId="705170F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108.719,03</w:t>
            </w:r>
          </w:p>
        </w:tc>
        <w:tc>
          <w:tcPr>
            <w:tcW w:w="1034" w:type="dxa"/>
            <w:tcBorders>
              <w:top w:val="single" w:sz="4" w:space="0" w:color="auto"/>
              <w:left w:val="nil"/>
              <w:bottom w:val="single" w:sz="4" w:space="0" w:color="auto"/>
              <w:right w:val="single" w:sz="4" w:space="0" w:color="auto"/>
            </w:tcBorders>
            <w:noWrap/>
            <w:vAlign w:val="bottom"/>
            <w:hideMark/>
          </w:tcPr>
          <w:p w14:paraId="7F67FA7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108.719,03</w:t>
            </w:r>
          </w:p>
        </w:tc>
        <w:tc>
          <w:tcPr>
            <w:tcW w:w="1034" w:type="dxa"/>
            <w:tcBorders>
              <w:top w:val="single" w:sz="4" w:space="0" w:color="auto"/>
              <w:left w:val="nil"/>
              <w:bottom w:val="single" w:sz="4" w:space="0" w:color="auto"/>
              <w:right w:val="single" w:sz="4" w:space="0" w:color="auto"/>
            </w:tcBorders>
            <w:noWrap/>
            <w:vAlign w:val="bottom"/>
            <w:hideMark/>
          </w:tcPr>
          <w:p w14:paraId="52FF8FC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105.600,98</w:t>
            </w:r>
          </w:p>
        </w:tc>
        <w:tc>
          <w:tcPr>
            <w:tcW w:w="925" w:type="dxa"/>
            <w:tcBorders>
              <w:top w:val="single" w:sz="4" w:space="0" w:color="auto"/>
              <w:left w:val="nil"/>
              <w:bottom w:val="single" w:sz="4" w:space="0" w:color="auto"/>
              <w:right w:val="single" w:sz="4" w:space="0" w:color="auto"/>
            </w:tcBorders>
            <w:noWrap/>
            <w:vAlign w:val="bottom"/>
            <w:hideMark/>
          </w:tcPr>
          <w:p w14:paraId="313C81B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114,73%</w:t>
            </w:r>
          </w:p>
        </w:tc>
        <w:tc>
          <w:tcPr>
            <w:tcW w:w="946" w:type="dxa"/>
            <w:tcBorders>
              <w:top w:val="single" w:sz="4" w:space="0" w:color="auto"/>
              <w:left w:val="nil"/>
              <w:bottom w:val="single" w:sz="4" w:space="0" w:color="auto"/>
              <w:right w:val="single" w:sz="4" w:space="0" w:color="auto"/>
            </w:tcBorders>
            <w:noWrap/>
            <w:vAlign w:val="bottom"/>
            <w:hideMark/>
          </w:tcPr>
          <w:p w14:paraId="794925F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97,13%</w:t>
            </w:r>
          </w:p>
        </w:tc>
      </w:tr>
      <w:tr w:rsidR="00416D67" w:rsidRPr="00416D67" w14:paraId="49EFE547"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7234C8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5. Pomoći</w:t>
            </w:r>
          </w:p>
        </w:tc>
        <w:tc>
          <w:tcPr>
            <w:tcW w:w="1034" w:type="dxa"/>
            <w:tcBorders>
              <w:top w:val="single" w:sz="4" w:space="0" w:color="auto"/>
              <w:left w:val="nil"/>
              <w:bottom w:val="single" w:sz="4" w:space="0" w:color="auto"/>
              <w:right w:val="single" w:sz="4" w:space="0" w:color="auto"/>
            </w:tcBorders>
            <w:shd w:val="clear" w:color="000000" w:fill="FFFF00"/>
            <w:noWrap/>
            <w:vAlign w:val="bottom"/>
            <w:hideMark/>
          </w:tcPr>
          <w:p w14:paraId="403AD32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601.797,97</w:t>
            </w:r>
          </w:p>
        </w:tc>
        <w:tc>
          <w:tcPr>
            <w:tcW w:w="1034" w:type="dxa"/>
            <w:tcBorders>
              <w:top w:val="single" w:sz="4" w:space="0" w:color="auto"/>
              <w:left w:val="nil"/>
              <w:bottom w:val="single" w:sz="4" w:space="0" w:color="auto"/>
              <w:right w:val="single" w:sz="4" w:space="0" w:color="auto"/>
            </w:tcBorders>
            <w:shd w:val="clear" w:color="000000" w:fill="FFFF00"/>
            <w:noWrap/>
            <w:vAlign w:val="bottom"/>
            <w:hideMark/>
          </w:tcPr>
          <w:p w14:paraId="2BC3FE7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296.197,70</w:t>
            </w:r>
          </w:p>
        </w:tc>
        <w:tc>
          <w:tcPr>
            <w:tcW w:w="1034" w:type="dxa"/>
            <w:tcBorders>
              <w:top w:val="single" w:sz="4" w:space="0" w:color="auto"/>
              <w:left w:val="nil"/>
              <w:bottom w:val="single" w:sz="4" w:space="0" w:color="auto"/>
              <w:right w:val="single" w:sz="4" w:space="0" w:color="auto"/>
            </w:tcBorders>
            <w:shd w:val="clear" w:color="000000" w:fill="FFFF00"/>
            <w:noWrap/>
            <w:vAlign w:val="bottom"/>
            <w:hideMark/>
          </w:tcPr>
          <w:p w14:paraId="190555D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296.197,70</w:t>
            </w:r>
          </w:p>
        </w:tc>
        <w:tc>
          <w:tcPr>
            <w:tcW w:w="1034" w:type="dxa"/>
            <w:tcBorders>
              <w:top w:val="single" w:sz="4" w:space="0" w:color="auto"/>
              <w:left w:val="nil"/>
              <w:bottom w:val="single" w:sz="4" w:space="0" w:color="auto"/>
              <w:right w:val="single" w:sz="4" w:space="0" w:color="auto"/>
            </w:tcBorders>
            <w:shd w:val="clear" w:color="000000" w:fill="FFFF00"/>
            <w:noWrap/>
            <w:vAlign w:val="bottom"/>
            <w:hideMark/>
          </w:tcPr>
          <w:p w14:paraId="7CBB380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335.580,34</w:t>
            </w:r>
          </w:p>
        </w:tc>
        <w:tc>
          <w:tcPr>
            <w:tcW w:w="925" w:type="dxa"/>
            <w:tcBorders>
              <w:top w:val="nil"/>
              <w:left w:val="nil"/>
              <w:bottom w:val="single" w:sz="4" w:space="0" w:color="auto"/>
              <w:right w:val="single" w:sz="4" w:space="0" w:color="auto"/>
            </w:tcBorders>
            <w:shd w:val="clear" w:color="000000" w:fill="FFFF00"/>
            <w:noWrap/>
            <w:vAlign w:val="bottom"/>
            <w:hideMark/>
          </w:tcPr>
          <w:p w14:paraId="3561485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55,76%</w:t>
            </w:r>
          </w:p>
        </w:tc>
        <w:tc>
          <w:tcPr>
            <w:tcW w:w="946" w:type="dxa"/>
            <w:tcBorders>
              <w:top w:val="single" w:sz="4" w:space="0" w:color="auto"/>
              <w:left w:val="nil"/>
              <w:bottom w:val="single" w:sz="4" w:space="0" w:color="auto"/>
              <w:right w:val="single" w:sz="4" w:space="0" w:color="auto"/>
            </w:tcBorders>
            <w:shd w:val="clear" w:color="000000" w:fill="FFFF00"/>
            <w:noWrap/>
            <w:vAlign w:val="bottom"/>
            <w:hideMark/>
          </w:tcPr>
          <w:p w14:paraId="7021561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113,30%</w:t>
            </w:r>
          </w:p>
        </w:tc>
      </w:tr>
      <w:tr w:rsidR="00416D67" w:rsidRPr="00416D67" w14:paraId="25A6A645"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133BAEA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5.1. 05 Pomoći</w:t>
            </w:r>
          </w:p>
        </w:tc>
        <w:tc>
          <w:tcPr>
            <w:tcW w:w="1034" w:type="dxa"/>
            <w:tcBorders>
              <w:top w:val="single" w:sz="4" w:space="0" w:color="auto"/>
              <w:left w:val="nil"/>
              <w:bottom w:val="single" w:sz="4" w:space="0" w:color="auto"/>
              <w:right w:val="single" w:sz="4" w:space="0" w:color="auto"/>
            </w:tcBorders>
            <w:noWrap/>
            <w:vAlign w:val="bottom"/>
            <w:hideMark/>
          </w:tcPr>
          <w:p w14:paraId="73A74E8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593.524,94</w:t>
            </w:r>
          </w:p>
        </w:tc>
        <w:tc>
          <w:tcPr>
            <w:tcW w:w="1034" w:type="dxa"/>
            <w:tcBorders>
              <w:top w:val="single" w:sz="4" w:space="0" w:color="auto"/>
              <w:left w:val="nil"/>
              <w:bottom w:val="single" w:sz="4" w:space="0" w:color="auto"/>
              <w:right w:val="single" w:sz="4" w:space="0" w:color="auto"/>
            </w:tcBorders>
            <w:noWrap/>
            <w:vAlign w:val="bottom"/>
            <w:hideMark/>
          </w:tcPr>
          <w:p w14:paraId="747C441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242.796,00</w:t>
            </w:r>
          </w:p>
        </w:tc>
        <w:tc>
          <w:tcPr>
            <w:tcW w:w="1034" w:type="dxa"/>
            <w:tcBorders>
              <w:top w:val="single" w:sz="4" w:space="0" w:color="auto"/>
              <w:left w:val="nil"/>
              <w:bottom w:val="single" w:sz="4" w:space="0" w:color="auto"/>
              <w:right w:val="single" w:sz="4" w:space="0" w:color="auto"/>
            </w:tcBorders>
            <w:noWrap/>
            <w:vAlign w:val="bottom"/>
            <w:hideMark/>
          </w:tcPr>
          <w:p w14:paraId="5E4C34D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242.796,00</w:t>
            </w:r>
          </w:p>
        </w:tc>
        <w:tc>
          <w:tcPr>
            <w:tcW w:w="1034" w:type="dxa"/>
            <w:tcBorders>
              <w:top w:val="single" w:sz="4" w:space="0" w:color="auto"/>
              <w:left w:val="nil"/>
              <w:bottom w:val="single" w:sz="4" w:space="0" w:color="auto"/>
              <w:right w:val="single" w:sz="4" w:space="0" w:color="auto"/>
            </w:tcBorders>
            <w:noWrap/>
            <w:vAlign w:val="bottom"/>
            <w:hideMark/>
          </w:tcPr>
          <w:p w14:paraId="2C93EEE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282.752,75</w:t>
            </w:r>
          </w:p>
        </w:tc>
        <w:tc>
          <w:tcPr>
            <w:tcW w:w="925" w:type="dxa"/>
            <w:tcBorders>
              <w:top w:val="nil"/>
              <w:left w:val="nil"/>
              <w:bottom w:val="single" w:sz="4" w:space="0" w:color="auto"/>
              <w:right w:val="single" w:sz="4" w:space="0" w:color="auto"/>
            </w:tcBorders>
            <w:noWrap/>
            <w:vAlign w:val="bottom"/>
            <w:hideMark/>
          </w:tcPr>
          <w:p w14:paraId="4240E2B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46" w:type="dxa"/>
            <w:tcBorders>
              <w:top w:val="single" w:sz="4" w:space="0" w:color="auto"/>
              <w:left w:val="nil"/>
              <w:bottom w:val="single" w:sz="4" w:space="0" w:color="auto"/>
              <w:right w:val="single" w:sz="4" w:space="0" w:color="auto"/>
            </w:tcBorders>
            <w:noWrap/>
            <w:vAlign w:val="bottom"/>
            <w:hideMark/>
          </w:tcPr>
          <w:p w14:paraId="4E47702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01A7D982"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05456296" w14:textId="77777777" w:rsidR="00416D67" w:rsidRPr="00416D67" w:rsidRDefault="00416D67" w:rsidP="00416D67">
            <w:pPr>
              <w:rPr>
                <w:rFonts w:ascii="Arial" w:hAnsi="Arial" w:cs="Arial"/>
                <w:sz w:val="14"/>
                <w:szCs w:val="14"/>
              </w:rPr>
            </w:pPr>
            <w:r w:rsidRPr="00416D67">
              <w:rPr>
                <w:rFonts w:ascii="Arial" w:hAnsi="Arial" w:cs="Arial"/>
                <w:sz w:val="14"/>
                <w:szCs w:val="14"/>
              </w:rPr>
              <w:t>Izvor 5.1.1 Pomoći Istarska županija</w:t>
            </w:r>
          </w:p>
        </w:tc>
        <w:tc>
          <w:tcPr>
            <w:tcW w:w="1034" w:type="dxa"/>
            <w:tcBorders>
              <w:top w:val="single" w:sz="4" w:space="0" w:color="auto"/>
              <w:left w:val="nil"/>
              <w:bottom w:val="single" w:sz="4" w:space="0" w:color="auto"/>
              <w:right w:val="single" w:sz="4" w:space="0" w:color="auto"/>
            </w:tcBorders>
            <w:noWrap/>
            <w:vAlign w:val="bottom"/>
            <w:hideMark/>
          </w:tcPr>
          <w:p w14:paraId="51E3CCD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82.109,21</w:t>
            </w:r>
          </w:p>
        </w:tc>
        <w:tc>
          <w:tcPr>
            <w:tcW w:w="1034" w:type="dxa"/>
            <w:tcBorders>
              <w:top w:val="single" w:sz="4" w:space="0" w:color="auto"/>
              <w:left w:val="nil"/>
              <w:bottom w:val="single" w:sz="4" w:space="0" w:color="auto"/>
              <w:right w:val="single" w:sz="4" w:space="0" w:color="auto"/>
            </w:tcBorders>
            <w:noWrap/>
            <w:vAlign w:val="bottom"/>
            <w:hideMark/>
          </w:tcPr>
          <w:p w14:paraId="2B361E5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101.060,00</w:t>
            </w:r>
          </w:p>
        </w:tc>
        <w:tc>
          <w:tcPr>
            <w:tcW w:w="1034" w:type="dxa"/>
            <w:tcBorders>
              <w:top w:val="single" w:sz="4" w:space="0" w:color="auto"/>
              <w:left w:val="nil"/>
              <w:bottom w:val="single" w:sz="4" w:space="0" w:color="auto"/>
              <w:right w:val="single" w:sz="4" w:space="0" w:color="auto"/>
            </w:tcBorders>
            <w:noWrap/>
            <w:vAlign w:val="bottom"/>
            <w:hideMark/>
          </w:tcPr>
          <w:p w14:paraId="5637897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101.060,00</w:t>
            </w:r>
          </w:p>
        </w:tc>
        <w:tc>
          <w:tcPr>
            <w:tcW w:w="1034" w:type="dxa"/>
            <w:tcBorders>
              <w:top w:val="single" w:sz="4" w:space="0" w:color="auto"/>
              <w:left w:val="nil"/>
              <w:bottom w:val="single" w:sz="4" w:space="0" w:color="auto"/>
              <w:right w:val="single" w:sz="4" w:space="0" w:color="auto"/>
            </w:tcBorders>
            <w:noWrap/>
            <w:vAlign w:val="bottom"/>
            <w:hideMark/>
          </w:tcPr>
          <w:p w14:paraId="2BA240A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106.433,40</w:t>
            </w:r>
          </w:p>
        </w:tc>
        <w:tc>
          <w:tcPr>
            <w:tcW w:w="925" w:type="dxa"/>
            <w:tcBorders>
              <w:top w:val="nil"/>
              <w:left w:val="nil"/>
              <w:bottom w:val="single" w:sz="4" w:space="0" w:color="auto"/>
              <w:right w:val="single" w:sz="4" w:space="0" w:color="auto"/>
            </w:tcBorders>
            <w:noWrap/>
            <w:vAlign w:val="bottom"/>
            <w:hideMark/>
          </w:tcPr>
          <w:p w14:paraId="0A96072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129,62%</w:t>
            </w:r>
          </w:p>
        </w:tc>
        <w:tc>
          <w:tcPr>
            <w:tcW w:w="946" w:type="dxa"/>
            <w:tcBorders>
              <w:top w:val="single" w:sz="4" w:space="0" w:color="auto"/>
              <w:left w:val="nil"/>
              <w:bottom w:val="single" w:sz="4" w:space="0" w:color="auto"/>
              <w:right w:val="single" w:sz="4" w:space="0" w:color="auto"/>
            </w:tcBorders>
            <w:noWrap/>
            <w:vAlign w:val="bottom"/>
            <w:hideMark/>
          </w:tcPr>
          <w:p w14:paraId="389D328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105,32%</w:t>
            </w:r>
          </w:p>
        </w:tc>
      </w:tr>
      <w:tr w:rsidR="00416D67" w:rsidRPr="00416D67" w14:paraId="522205EB"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1F5004C1" w14:textId="77777777" w:rsidR="00416D67" w:rsidRPr="00416D67" w:rsidRDefault="00416D67" w:rsidP="00416D67">
            <w:pPr>
              <w:rPr>
                <w:rFonts w:ascii="Arial" w:hAnsi="Arial" w:cs="Arial"/>
                <w:sz w:val="14"/>
                <w:szCs w:val="14"/>
              </w:rPr>
            </w:pPr>
            <w:r w:rsidRPr="00416D67">
              <w:rPr>
                <w:rFonts w:ascii="Arial" w:hAnsi="Arial" w:cs="Arial"/>
                <w:sz w:val="14"/>
                <w:szCs w:val="14"/>
              </w:rPr>
              <w:t>Izvor 5.1.10 Pomoći Ministarstvo turizma i sporta</w:t>
            </w:r>
          </w:p>
        </w:tc>
        <w:tc>
          <w:tcPr>
            <w:tcW w:w="1034" w:type="dxa"/>
            <w:tcBorders>
              <w:top w:val="single" w:sz="4" w:space="0" w:color="auto"/>
              <w:left w:val="nil"/>
              <w:bottom w:val="single" w:sz="4" w:space="0" w:color="auto"/>
              <w:right w:val="single" w:sz="4" w:space="0" w:color="auto"/>
            </w:tcBorders>
            <w:noWrap/>
            <w:vAlign w:val="bottom"/>
            <w:hideMark/>
          </w:tcPr>
          <w:p w14:paraId="5BD3204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53.942,81</w:t>
            </w:r>
          </w:p>
        </w:tc>
        <w:tc>
          <w:tcPr>
            <w:tcW w:w="1034" w:type="dxa"/>
            <w:tcBorders>
              <w:top w:val="single" w:sz="4" w:space="0" w:color="auto"/>
              <w:left w:val="nil"/>
              <w:bottom w:val="single" w:sz="4" w:space="0" w:color="auto"/>
              <w:right w:val="single" w:sz="4" w:space="0" w:color="auto"/>
            </w:tcBorders>
            <w:noWrap/>
            <w:vAlign w:val="bottom"/>
            <w:hideMark/>
          </w:tcPr>
          <w:p w14:paraId="4D892F2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034" w:type="dxa"/>
            <w:tcBorders>
              <w:top w:val="single" w:sz="4" w:space="0" w:color="auto"/>
              <w:left w:val="nil"/>
              <w:bottom w:val="single" w:sz="4" w:space="0" w:color="auto"/>
              <w:right w:val="single" w:sz="4" w:space="0" w:color="auto"/>
            </w:tcBorders>
            <w:noWrap/>
            <w:vAlign w:val="bottom"/>
            <w:hideMark/>
          </w:tcPr>
          <w:p w14:paraId="22E38D2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034" w:type="dxa"/>
            <w:tcBorders>
              <w:top w:val="single" w:sz="4" w:space="0" w:color="auto"/>
              <w:left w:val="nil"/>
              <w:bottom w:val="single" w:sz="4" w:space="0" w:color="auto"/>
              <w:right w:val="single" w:sz="4" w:space="0" w:color="auto"/>
            </w:tcBorders>
            <w:noWrap/>
            <w:vAlign w:val="bottom"/>
            <w:hideMark/>
          </w:tcPr>
          <w:p w14:paraId="0EAA75F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925" w:type="dxa"/>
            <w:tcBorders>
              <w:top w:val="nil"/>
              <w:left w:val="nil"/>
              <w:bottom w:val="single" w:sz="4" w:space="0" w:color="auto"/>
              <w:right w:val="single" w:sz="4" w:space="0" w:color="auto"/>
            </w:tcBorders>
            <w:noWrap/>
            <w:vAlign w:val="bottom"/>
            <w:hideMark/>
          </w:tcPr>
          <w:p w14:paraId="3C7C876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46" w:type="dxa"/>
            <w:tcBorders>
              <w:top w:val="single" w:sz="4" w:space="0" w:color="auto"/>
              <w:left w:val="nil"/>
              <w:bottom w:val="single" w:sz="4" w:space="0" w:color="auto"/>
              <w:right w:val="single" w:sz="4" w:space="0" w:color="auto"/>
            </w:tcBorders>
            <w:noWrap/>
            <w:vAlign w:val="bottom"/>
            <w:hideMark/>
          </w:tcPr>
          <w:p w14:paraId="1063723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390BFE70"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7E49E2F5" w14:textId="77777777" w:rsidR="00416D67" w:rsidRPr="00416D67" w:rsidRDefault="00416D67" w:rsidP="00416D67">
            <w:pPr>
              <w:rPr>
                <w:rFonts w:ascii="Arial" w:hAnsi="Arial" w:cs="Arial"/>
                <w:sz w:val="14"/>
                <w:szCs w:val="14"/>
              </w:rPr>
            </w:pPr>
            <w:r w:rsidRPr="00416D67">
              <w:rPr>
                <w:rFonts w:ascii="Arial" w:hAnsi="Arial" w:cs="Arial"/>
                <w:sz w:val="14"/>
                <w:szCs w:val="14"/>
              </w:rPr>
              <w:lastRenderedPageBreak/>
              <w:t>Izvor 5.1.11 Pomoći Ministarstvo graditeljstva</w:t>
            </w:r>
          </w:p>
        </w:tc>
        <w:tc>
          <w:tcPr>
            <w:tcW w:w="1034" w:type="dxa"/>
            <w:tcBorders>
              <w:top w:val="single" w:sz="4" w:space="0" w:color="auto"/>
              <w:left w:val="nil"/>
              <w:bottom w:val="single" w:sz="4" w:space="0" w:color="auto"/>
              <w:right w:val="single" w:sz="4" w:space="0" w:color="auto"/>
            </w:tcBorders>
            <w:noWrap/>
            <w:vAlign w:val="bottom"/>
            <w:hideMark/>
          </w:tcPr>
          <w:p w14:paraId="7394C1F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34" w:type="dxa"/>
            <w:tcBorders>
              <w:top w:val="single" w:sz="4" w:space="0" w:color="auto"/>
              <w:left w:val="nil"/>
              <w:bottom w:val="single" w:sz="4" w:space="0" w:color="auto"/>
              <w:right w:val="single" w:sz="4" w:space="0" w:color="auto"/>
            </w:tcBorders>
            <w:noWrap/>
            <w:vAlign w:val="bottom"/>
            <w:hideMark/>
          </w:tcPr>
          <w:p w14:paraId="2CE32A2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32.000,00</w:t>
            </w:r>
          </w:p>
        </w:tc>
        <w:tc>
          <w:tcPr>
            <w:tcW w:w="1034" w:type="dxa"/>
            <w:tcBorders>
              <w:top w:val="single" w:sz="4" w:space="0" w:color="auto"/>
              <w:left w:val="nil"/>
              <w:bottom w:val="single" w:sz="4" w:space="0" w:color="auto"/>
              <w:right w:val="single" w:sz="4" w:space="0" w:color="auto"/>
            </w:tcBorders>
            <w:noWrap/>
            <w:vAlign w:val="bottom"/>
            <w:hideMark/>
          </w:tcPr>
          <w:p w14:paraId="21D5F8C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32.000,00</w:t>
            </w:r>
          </w:p>
        </w:tc>
        <w:tc>
          <w:tcPr>
            <w:tcW w:w="1034" w:type="dxa"/>
            <w:tcBorders>
              <w:top w:val="single" w:sz="4" w:space="0" w:color="auto"/>
              <w:left w:val="nil"/>
              <w:bottom w:val="single" w:sz="4" w:space="0" w:color="auto"/>
              <w:right w:val="single" w:sz="4" w:space="0" w:color="auto"/>
            </w:tcBorders>
            <w:noWrap/>
            <w:vAlign w:val="bottom"/>
            <w:hideMark/>
          </w:tcPr>
          <w:p w14:paraId="28B5005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925" w:type="dxa"/>
            <w:tcBorders>
              <w:top w:val="nil"/>
              <w:left w:val="nil"/>
              <w:bottom w:val="single" w:sz="4" w:space="0" w:color="auto"/>
              <w:right w:val="single" w:sz="4" w:space="0" w:color="auto"/>
            </w:tcBorders>
            <w:noWrap/>
            <w:vAlign w:val="bottom"/>
            <w:hideMark/>
          </w:tcPr>
          <w:p w14:paraId="42DB0FF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46" w:type="dxa"/>
            <w:tcBorders>
              <w:top w:val="single" w:sz="4" w:space="0" w:color="auto"/>
              <w:left w:val="nil"/>
              <w:bottom w:val="single" w:sz="4" w:space="0" w:color="auto"/>
              <w:right w:val="single" w:sz="4" w:space="0" w:color="auto"/>
            </w:tcBorders>
            <w:noWrap/>
            <w:vAlign w:val="bottom"/>
            <w:hideMark/>
          </w:tcPr>
          <w:p w14:paraId="68FFD14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0D24503F"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1C2CD546" w14:textId="77777777" w:rsidR="00416D67" w:rsidRPr="00416D67" w:rsidRDefault="00416D67" w:rsidP="00416D67">
            <w:pPr>
              <w:rPr>
                <w:rFonts w:ascii="Arial" w:hAnsi="Arial" w:cs="Arial"/>
                <w:sz w:val="14"/>
                <w:szCs w:val="14"/>
              </w:rPr>
            </w:pPr>
            <w:r w:rsidRPr="00416D67">
              <w:rPr>
                <w:rFonts w:ascii="Arial" w:hAnsi="Arial" w:cs="Arial"/>
                <w:sz w:val="14"/>
                <w:szCs w:val="14"/>
              </w:rPr>
              <w:t>Izvor 5.1.12 Pomoć državni proračun troškovi ogrijeva</w:t>
            </w:r>
          </w:p>
        </w:tc>
        <w:tc>
          <w:tcPr>
            <w:tcW w:w="1034" w:type="dxa"/>
            <w:tcBorders>
              <w:top w:val="single" w:sz="4" w:space="0" w:color="auto"/>
              <w:left w:val="nil"/>
              <w:bottom w:val="single" w:sz="4" w:space="0" w:color="auto"/>
              <w:right w:val="single" w:sz="4" w:space="0" w:color="auto"/>
            </w:tcBorders>
            <w:noWrap/>
            <w:vAlign w:val="bottom"/>
            <w:hideMark/>
          </w:tcPr>
          <w:p w14:paraId="7EFE95F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1.440,00</w:t>
            </w:r>
          </w:p>
        </w:tc>
        <w:tc>
          <w:tcPr>
            <w:tcW w:w="1034" w:type="dxa"/>
            <w:tcBorders>
              <w:top w:val="single" w:sz="4" w:space="0" w:color="auto"/>
              <w:left w:val="nil"/>
              <w:bottom w:val="single" w:sz="4" w:space="0" w:color="auto"/>
              <w:right w:val="single" w:sz="4" w:space="0" w:color="auto"/>
            </w:tcBorders>
            <w:noWrap/>
            <w:vAlign w:val="bottom"/>
            <w:hideMark/>
          </w:tcPr>
          <w:p w14:paraId="07CB7BF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034" w:type="dxa"/>
            <w:tcBorders>
              <w:top w:val="single" w:sz="4" w:space="0" w:color="auto"/>
              <w:left w:val="nil"/>
              <w:bottom w:val="single" w:sz="4" w:space="0" w:color="auto"/>
              <w:right w:val="single" w:sz="4" w:space="0" w:color="auto"/>
            </w:tcBorders>
            <w:noWrap/>
            <w:vAlign w:val="bottom"/>
            <w:hideMark/>
          </w:tcPr>
          <w:p w14:paraId="245FBA2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034" w:type="dxa"/>
            <w:tcBorders>
              <w:top w:val="single" w:sz="4" w:space="0" w:color="auto"/>
              <w:left w:val="nil"/>
              <w:bottom w:val="single" w:sz="4" w:space="0" w:color="auto"/>
              <w:right w:val="single" w:sz="4" w:space="0" w:color="auto"/>
            </w:tcBorders>
            <w:noWrap/>
            <w:vAlign w:val="bottom"/>
            <w:hideMark/>
          </w:tcPr>
          <w:p w14:paraId="0774401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1.600,00</w:t>
            </w:r>
          </w:p>
        </w:tc>
        <w:tc>
          <w:tcPr>
            <w:tcW w:w="925" w:type="dxa"/>
            <w:tcBorders>
              <w:top w:val="nil"/>
              <w:left w:val="nil"/>
              <w:bottom w:val="single" w:sz="4" w:space="0" w:color="auto"/>
              <w:right w:val="single" w:sz="4" w:space="0" w:color="auto"/>
            </w:tcBorders>
            <w:noWrap/>
            <w:vAlign w:val="bottom"/>
            <w:hideMark/>
          </w:tcPr>
          <w:p w14:paraId="11CB330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111,11%</w:t>
            </w:r>
          </w:p>
        </w:tc>
        <w:tc>
          <w:tcPr>
            <w:tcW w:w="946" w:type="dxa"/>
            <w:tcBorders>
              <w:top w:val="single" w:sz="4" w:space="0" w:color="auto"/>
              <w:left w:val="nil"/>
              <w:bottom w:val="single" w:sz="4" w:space="0" w:color="auto"/>
              <w:right w:val="single" w:sz="4" w:space="0" w:color="auto"/>
            </w:tcBorders>
            <w:noWrap/>
            <w:vAlign w:val="bottom"/>
            <w:hideMark/>
          </w:tcPr>
          <w:p w14:paraId="3B7185B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2233840A"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45273749"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5.1.13 Kapitalne pomoći drugih proračuna </w:t>
            </w:r>
          </w:p>
        </w:tc>
        <w:tc>
          <w:tcPr>
            <w:tcW w:w="1034" w:type="dxa"/>
            <w:tcBorders>
              <w:top w:val="single" w:sz="4" w:space="0" w:color="auto"/>
              <w:left w:val="nil"/>
              <w:bottom w:val="single" w:sz="4" w:space="0" w:color="auto"/>
              <w:right w:val="single" w:sz="4" w:space="0" w:color="auto"/>
            </w:tcBorders>
            <w:noWrap/>
            <w:vAlign w:val="bottom"/>
            <w:hideMark/>
          </w:tcPr>
          <w:p w14:paraId="0C80C06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034" w:type="dxa"/>
            <w:tcBorders>
              <w:top w:val="single" w:sz="4" w:space="0" w:color="auto"/>
              <w:left w:val="nil"/>
              <w:bottom w:val="single" w:sz="4" w:space="0" w:color="auto"/>
              <w:right w:val="single" w:sz="4" w:space="0" w:color="auto"/>
            </w:tcBorders>
            <w:noWrap/>
            <w:vAlign w:val="bottom"/>
            <w:hideMark/>
          </w:tcPr>
          <w:p w14:paraId="426274A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034" w:type="dxa"/>
            <w:tcBorders>
              <w:top w:val="single" w:sz="4" w:space="0" w:color="auto"/>
              <w:left w:val="nil"/>
              <w:bottom w:val="single" w:sz="4" w:space="0" w:color="auto"/>
              <w:right w:val="single" w:sz="4" w:space="0" w:color="auto"/>
            </w:tcBorders>
            <w:noWrap/>
            <w:vAlign w:val="bottom"/>
            <w:hideMark/>
          </w:tcPr>
          <w:p w14:paraId="5621215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034" w:type="dxa"/>
            <w:tcBorders>
              <w:top w:val="single" w:sz="4" w:space="0" w:color="auto"/>
              <w:left w:val="nil"/>
              <w:bottom w:val="single" w:sz="4" w:space="0" w:color="auto"/>
              <w:right w:val="single" w:sz="4" w:space="0" w:color="auto"/>
            </w:tcBorders>
            <w:noWrap/>
            <w:vAlign w:val="bottom"/>
            <w:hideMark/>
          </w:tcPr>
          <w:p w14:paraId="5008490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64.513,75</w:t>
            </w:r>
          </w:p>
        </w:tc>
        <w:tc>
          <w:tcPr>
            <w:tcW w:w="925" w:type="dxa"/>
            <w:tcBorders>
              <w:top w:val="nil"/>
              <w:left w:val="nil"/>
              <w:bottom w:val="single" w:sz="4" w:space="0" w:color="auto"/>
              <w:right w:val="single" w:sz="4" w:space="0" w:color="auto"/>
            </w:tcBorders>
            <w:noWrap/>
            <w:vAlign w:val="bottom"/>
            <w:hideMark/>
          </w:tcPr>
          <w:p w14:paraId="68E5EC7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46" w:type="dxa"/>
            <w:tcBorders>
              <w:top w:val="single" w:sz="4" w:space="0" w:color="auto"/>
              <w:left w:val="nil"/>
              <w:bottom w:val="single" w:sz="4" w:space="0" w:color="auto"/>
              <w:right w:val="single" w:sz="4" w:space="0" w:color="auto"/>
            </w:tcBorders>
            <w:noWrap/>
            <w:vAlign w:val="bottom"/>
            <w:hideMark/>
          </w:tcPr>
          <w:p w14:paraId="57ACFB5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08C8B3D6"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2D5D2D08"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5.1.2 Pomoći državni  proračun </w:t>
            </w:r>
            <w:proofErr w:type="spellStart"/>
            <w:r w:rsidRPr="00416D67">
              <w:rPr>
                <w:rFonts w:ascii="Arial" w:hAnsi="Arial" w:cs="Arial"/>
                <w:sz w:val="14"/>
                <w:szCs w:val="14"/>
              </w:rPr>
              <w:t>min.kulture</w:t>
            </w:r>
            <w:proofErr w:type="spellEnd"/>
          </w:p>
        </w:tc>
        <w:tc>
          <w:tcPr>
            <w:tcW w:w="1034" w:type="dxa"/>
            <w:tcBorders>
              <w:top w:val="single" w:sz="4" w:space="0" w:color="auto"/>
              <w:left w:val="nil"/>
              <w:bottom w:val="single" w:sz="4" w:space="0" w:color="auto"/>
              <w:right w:val="single" w:sz="4" w:space="0" w:color="auto"/>
            </w:tcBorders>
            <w:noWrap/>
            <w:vAlign w:val="bottom"/>
            <w:hideMark/>
          </w:tcPr>
          <w:p w14:paraId="6A9544A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66.184,69</w:t>
            </w:r>
          </w:p>
        </w:tc>
        <w:tc>
          <w:tcPr>
            <w:tcW w:w="1034" w:type="dxa"/>
            <w:tcBorders>
              <w:top w:val="single" w:sz="4" w:space="0" w:color="auto"/>
              <w:left w:val="nil"/>
              <w:bottom w:val="single" w:sz="4" w:space="0" w:color="auto"/>
              <w:right w:val="single" w:sz="4" w:space="0" w:color="auto"/>
            </w:tcBorders>
            <w:noWrap/>
            <w:vAlign w:val="bottom"/>
            <w:hideMark/>
          </w:tcPr>
          <w:p w14:paraId="7B769B3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45.000,00</w:t>
            </w:r>
          </w:p>
        </w:tc>
        <w:tc>
          <w:tcPr>
            <w:tcW w:w="1034" w:type="dxa"/>
            <w:tcBorders>
              <w:top w:val="single" w:sz="4" w:space="0" w:color="auto"/>
              <w:left w:val="nil"/>
              <w:bottom w:val="single" w:sz="4" w:space="0" w:color="auto"/>
              <w:right w:val="single" w:sz="4" w:space="0" w:color="auto"/>
            </w:tcBorders>
            <w:noWrap/>
            <w:vAlign w:val="bottom"/>
            <w:hideMark/>
          </w:tcPr>
          <w:p w14:paraId="102D9F2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45.000,00</w:t>
            </w:r>
          </w:p>
        </w:tc>
        <w:tc>
          <w:tcPr>
            <w:tcW w:w="1034" w:type="dxa"/>
            <w:tcBorders>
              <w:top w:val="single" w:sz="4" w:space="0" w:color="auto"/>
              <w:left w:val="nil"/>
              <w:bottom w:val="single" w:sz="4" w:space="0" w:color="auto"/>
              <w:right w:val="single" w:sz="4" w:space="0" w:color="auto"/>
            </w:tcBorders>
            <w:noWrap/>
            <w:vAlign w:val="bottom"/>
            <w:hideMark/>
          </w:tcPr>
          <w:p w14:paraId="413FF6C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45.000,00</w:t>
            </w:r>
          </w:p>
        </w:tc>
        <w:tc>
          <w:tcPr>
            <w:tcW w:w="925" w:type="dxa"/>
            <w:tcBorders>
              <w:top w:val="nil"/>
              <w:left w:val="nil"/>
              <w:bottom w:val="single" w:sz="4" w:space="0" w:color="auto"/>
              <w:right w:val="single" w:sz="4" w:space="0" w:color="auto"/>
            </w:tcBorders>
            <w:noWrap/>
            <w:vAlign w:val="bottom"/>
            <w:hideMark/>
          </w:tcPr>
          <w:p w14:paraId="4DEB3F6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67,99%</w:t>
            </w:r>
          </w:p>
        </w:tc>
        <w:tc>
          <w:tcPr>
            <w:tcW w:w="946" w:type="dxa"/>
            <w:tcBorders>
              <w:top w:val="single" w:sz="4" w:space="0" w:color="auto"/>
              <w:left w:val="nil"/>
              <w:bottom w:val="single" w:sz="4" w:space="0" w:color="auto"/>
              <w:right w:val="single" w:sz="4" w:space="0" w:color="auto"/>
            </w:tcBorders>
            <w:noWrap/>
            <w:vAlign w:val="bottom"/>
            <w:hideMark/>
          </w:tcPr>
          <w:p w14:paraId="54EC501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w:t>
            </w:r>
          </w:p>
        </w:tc>
      </w:tr>
      <w:tr w:rsidR="00416D67" w:rsidRPr="00416D67" w14:paraId="0CBB560B"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16A7BE6F" w14:textId="77777777" w:rsidR="00416D67" w:rsidRPr="00416D67" w:rsidRDefault="00416D67" w:rsidP="00416D67">
            <w:pPr>
              <w:rPr>
                <w:rFonts w:ascii="Arial" w:hAnsi="Arial" w:cs="Arial"/>
                <w:sz w:val="14"/>
                <w:szCs w:val="14"/>
              </w:rPr>
            </w:pPr>
            <w:r w:rsidRPr="00416D67">
              <w:rPr>
                <w:rFonts w:ascii="Arial" w:hAnsi="Arial" w:cs="Arial"/>
                <w:sz w:val="14"/>
                <w:szCs w:val="14"/>
              </w:rPr>
              <w:t>Izvor 5.1.3 Pomoć izravnanja decentralizirana sredstva JVP</w:t>
            </w:r>
          </w:p>
        </w:tc>
        <w:tc>
          <w:tcPr>
            <w:tcW w:w="1034" w:type="dxa"/>
            <w:tcBorders>
              <w:top w:val="single" w:sz="4" w:space="0" w:color="auto"/>
              <w:left w:val="nil"/>
              <w:bottom w:val="single" w:sz="4" w:space="0" w:color="auto"/>
              <w:right w:val="single" w:sz="4" w:space="0" w:color="auto"/>
            </w:tcBorders>
            <w:noWrap/>
            <w:vAlign w:val="bottom"/>
            <w:hideMark/>
          </w:tcPr>
          <w:p w14:paraId="3C4169D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56.405,30</w:t>
            </w:r>
          </w:p>
        </w:tc>
        <w:tc>
          <w:tcPr>
            <w:tcW w:w="1034" w:type="dxa"/>
            <w:tcBorders>
              <w:top w:val="single" w:sz="4" w:space="0" w:color="auto"/>
              <w:left w:val="nil"/>
              <w:bottom w:val="single" w:sz="4" w:space="0" w:color="auto"/>
              <w:right w:val="single" w:sz="4" w:space="0" w:color="auto"/>
            </w:tcBorders>
            <w:noWrap/>
            <w:vAlign w:val="bottom"/>
            <w:hideMark/>
          </w:tcPr>
          <w:p w14:paraId="348520F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24.500,00</w:t>
            </w:r>
          </w:p>
        </w:tc>
        <w:tc>
          <w:tcPr>
            <w:tcW w:w="1034" w:type="dxa"/>
            <w:tcBorders>
              <w:top w:val="single" w:sz="4" w:space="0" w:color="auto"/>
              <w:left w:val="nil"/>
              <w:bottom w:val="single" w:sz="4" w:space="0" w:color="auto"/>
              <w:right w:val="single" w:sz="4" w:space="0" w:color="auto"/>
            </w:tcBorders>
            <w:noWrap/>
            <w:vAlign w:val="bottom"/>
            <w:hideMark/>
          </w:tcPr>
          <w:p w14:paraId="724E536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24.500,00</w:t>
            </w:r>
          </w:p>
        </w:tc>
        <w:tc>
          <w:tcPr>
            <w:tcW w:w="1034" w:type="dxa"/>
            <w:tcBorders>
              <w:top w:val="single" w:sz="4" w:space="0" w:color="auto"/>
              <w:left w:val="nil"/>
              <w:bottom w:val="single" w:sz="4" w:space="0" w:color="auto"/>
              <w:right w:val="single" w:sz="4" w:space="0" w:color="auto"/>
            </w:tcBorders>
            <w:noWrap/>
            <w:vAlign w:val="bottom"/>
            <w:hideMark/>
          </w:tcPr>
          <w:p w14:paraId="41E1C48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24.969,60</w:t>
            </w:r>
          </w:p>
        </w:tc>
        <w:tc>
          <w:tcPr>
            <w:tcW w:w="925" w:type="dxa"/>
            <w:tcBorders>
              <w:top w:val="nil"/>
              <w:left w:val="nil"/>
              <w:bottom w:val="single" w:sz="4" w:space="0" w:color="auto"/>
              <w:right w:val="single" w:sz="4" w:space="0" w:color="auto"/>
            </w:tcBorders>
            <w:noWrap/>
            <w:vAlign w:val="bottom"/>
            <w:hideMark/>
          </w:tcPr>
          <w:p w14:paraId="0D3D0E2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44,27%</w:t>
            </w:r>
          </w:p>
        </w:tc>
        <w:tc>
          <w:tcPr>
            <w:tcW w:w="946" w:type="dxa"/>
            <w:tcBorders>
              <w:top w:val="single" w:sz="4" w:space="0" w:color="auto"/>
              <w:left w:val="nil"/>
              <w:bottom w:val="single" w:sz="4" w:space="0" w:color="auto"/>
              <w:right w:val="single" w:sz="4" w:space="0" w:color="auto"/>
            </w:tcBorders>
            <w:noWrap/>
            <w:vAlign w:val="bottom"/>
            <w:hideMark/>
          </w:tcPr>
          <w:p w14:paraId="7A543D2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101,92%</w:t>
            </w:r>
          </w:p>
        </w:tc>
      </w:tr>
      <w:tr w:rsidR="00416D67" w:rsidRPr="00416D67" w14:paraId="08F3CDA5"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09E09920" w14:textId="77777777" w:rsidR="00416D67" w:rsidRPr="00416D67" w:rsidRDefault="00416D67" w:rsidP="00416D67">
            <w:pPr>
              <w:rPr>
                <w:rFonts w:ascii="Arial" w:hAnsi="Arial" w:cs="Arial"/>
                <w:sz w:val="14"/>
                <w:szCs w:val="14"/>
              </w:rPr>
            </w:pPr>
            <w:r w:rsidRPr="00416D67">
              <w:rPr>
                <w:rFonts w:ascii="Arial" w:hAnsi="Arial" w:cs="Arial"/>
                <w:sz w:val="14"/>
                <w:szCs w:val="14"/>
              </w:rPr>
              <w:t>Izvor 5.1.4 Pomoći Fond za zaštitu okoliša</w:t>
            </w:r>
          </w:p>
        </w:tc>
        <w:tc>
          <w:tcPr>
            <w:tcW w:w="1034" w:type="dxa"/>
            <w:tcBorders>
              <w:top w:val="single" w:sz="4" w:space="0" w:color="auto"/>
              <w:left w:val="nil"/>
              <w:bottom w:val="single" w:sz="4" w:space="0" w:color="auto"/>
              <w:right w:val="single" w:sz="4" w:space="0" w:color="auto"/>
            </w:tcBorders>
            <w:noWrap/>
            <w:vAlign w:val="bottom"/>
            <w:hideMark/>
          </w:tcPr>
          <w:p w14:paraId="085F0BC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13.160,00</w:t>
            </w:r>
          </w:p>
        </w:tc>
        <w:tc>
          <w:tcPr>
            <w:tcW w:w="1034" w:type="dxa"/>
            <w:tcBorders>
              <w:top w:val="single" w:sz="4" w:space="0" w:color="auto"/>
              <w:left w:val="nil"/>
              <w:bottom w:val="single" w:sz="4" w:space="0" w:color="auto"/>
              <w:right w:val="single" w:sz="4" w:space="0" w:color="auto"/>
            </w:tcBorders>
            <w:noWrap/>
            <w:vAlign w:val="bottom"/>
            <w:hideMark/>
          </w:tcPr>
          <w:p w14:paraId="4153E97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034" w:type="dxa"/>
            <w:tcBorders>
              <w:top w:val="single" w:sz="4" w:space="0" w:color="auto"/>
              <w:left w:val="nil"/>
              <w:bottom w:val="single" w:sz="4" w:space="0" w:color="auto"/>
              <w:right w:val="single" w:sz="4" w:space="0" w:color="auto"/>
            </w:tcBorders>
            <w:noWrap/>
            <w:vAlign w:val="bottom"/>
            <w:hideMark/>
          </w:tcPr>
          <w:p w14:paraId="4B309D6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034" w:type="dxa"/>
            <w:tcBorders>
              <w:top w:val="single" w:sz="4" w:space="0" w:color="auto"/>
              <w:left w:val="nil"/>
              <w:bottom w:val="single" w:sz="4" w:space="0" w:color="auto"/>
              <w:right w:val="single" w:sz="4" w:space="0" w:color="auto"/>
            </w:tcBorders>
            <w:noWrap/>
            <w:vAlign w:val="bottom"/>
            <w:hideMark/>
          </w:tcPr>
          <w:p w14:paraId="2314299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25" w:type="dxa"/>
            <w:tcBorders>
              <w:top w:val="nil"/>
              <w:left w:val="nil"/>
              <w:bottom w:val="single" w:sz="4" w:space="0" w:color="auto"/>
              <w:right w:val="single" w:sz="4" w:space="0" w:color="auto"/>
            </w:tcBorders>
            <w:noWrap/>
            <w:vAlign w:val="bottom"/>
            <w:hideMark/>
          </w:tcPr>
          <w:p w14:paraId="578CCBF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46" w:type="dxa"/>
            <w:tcBorders>
              <w:top w:val="single" w:sz="4" w:space="0" w:color="auto"/>
              <w:left w:val="nil"/>
              <w:bottom w:val="single" w:sz="4" w:space="0" w:color="auto"/>
              <w:right w:val="single" w:sz="4" w:space="0" w:color="auto"/>
            </w:tcBorders>
            <w:noWrap/>
            <w:vAlign w:val="bottom"/>
            <w:hideMark/>
          </w:tcPr>
          <w:p w14:paraId="4F79A67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5F32BE16"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0C24DF14" w14:textId="77777777" w:rsidR="00416D67" w:rsidRPr="00416D67" w:rsidRDefault="00416D67" w:rsidP="00416D67">
            <w:pPr>
              <w:rPr>
                <w:rFonts w:ascii="Arial" w:hAnsi="Arial" w:cs="Arial"/>
                <w:sz w:val="14"/>
                <w:szCs w:val="14"/>
              </w:rPr>
            </w:pPr>
            <w:r w:rsidRPr="00416D67">
              <w:rPr>
                <w:rFonts w:ascii="Arial" w:hAnsi="Arial" w:cs="Arial"/>
                <w:sz w:val="14"/>
                <w:szCs w:val="14"/>
              </w:rPr>
              <w:t>Izvor 5.1.8 Pomoć Županijska uprava za ceste IŽ</w:t>
            </w:r>
          </w:p>
        </w:tc>
        <w:tc>
          <w:tcPr>
            <w:tcW w:w="1034" w:type="dxa"/>
            <w:tcBorders>
              <w:top w:val="single" w:sz="4" w:space="0" w:color="auto"/>
              <w:left w:val="nil"/>
              <w:bottom w:val="single" w:sz="4" w:space="0" w:color="auto"/>
              <w:right w:val="single" w:sz="4" w:space="0" w:color="auto"/>
            </w:tcBorders>
            <w:noWrap/>
            <w:vAlign w:val="bottom"/>
            <w:hideMark/>
          </w:tcPr>
          <w:p w14:paraId="7D8EB53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285.536,93</w:t>
            </w:r>
          </w:p>
        </w:tc>
        <w:tc>
          <w:tcPr>
            <w:tcW w:w="1034" w:type="dxa"/>
            <w:tcBorders>
              <w:top w:val="single" w:sz="4" w:space="0" w:color="auto"/>
              <w:left w:val="nil"/>
              <w:bottom w:val="single" w:sz="4" w:space="0" w:color="auto"/>
              <w:right w:val="single" w:sz="4" w:space="0" w:color="auto"/>
            </w:tcBorders>
            <w:noWrap/>
            <w:vAlign w:val="bottom"/>
            <w:hideMark/>
          </w:tcPr>
          <w:p w14:paraId="66CAEC9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034" w:type="dxa"/>
            <w:tcBorders>
              <w:top w:val="single" w:sz="4" w:space="0" w:color="auto"/>
              <w:left w:val="nil"/>
              <w:bottom w:val="single" w:sz="4" w:space="0" w:color="auto"/>
              <w:right w:val="single" w:sz="4" w:space="0" w:color="auto"/>
            </w:tcBorders>
            <w:noWrap/>
            <w:vAlign w:val="bottom"/>
            <w:hideMark/>
          </w:tcPr>
          <w:p w14:paraId="11E39FE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1034" w:type="dxa"/>
            <w:tcBorders>
              <w:top w:val="single" w:sz="4" w:space="0" w:color="auto"/>
              <w:left w:val="nil"/>
              <w:bottom w:val="single" w:sz="4" w:space="0" w:color="auto"/>
              <w:right w:val="single" w:sz="4" w:space="0" w:color="auto"/>
            </w:tcBorders>
            <w:noWrap/>
            <w:vAlign w:val="bottom"/>
            <w:hideMark/>
          </w:tcPr>
          <w:p w14:paraId="6479E6C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925" w:type="dxa"/>
            <w:tcBorders>
              <w:top w:val="nil"/>
              <w:left w:val="nil"/>
              <w:bottom w:val="single" w:sz="4" w:space="0" w:color="auto"/>
              <w:right w:val="single" w:sz="4" w:space="0" w:color="auto"/>
            </w:tcBorders>
            <w:noWrap/>
            <w:vAlign w:val="bottom"/>
            <w:hideMark/>
          </w:tcPr>
          <w:p w14:paraId="3396A72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946" w:type="dxa"/>
            <w:tcBorders>
              <w:top w:val="single" w:sz="4" w:space="0" w:color="auto"/>
              <w:left w:val="nil"/>
              <w:bottom w:val="single" w:sz="4" w:space="0" w:color="auto"/>
              <w:right w:val="single" w:sz="4" w:space="0" w:color="auto"/>
            </w:tcBorders>
            <w:noWrap/>
            <w:vAlign w:val="bottom"/>
            <w:hideMark/>
          </w:tcPr>
          <w:p w14:paraId="359639C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77D252AC"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38B34070" w14:textId="77777777" w:rsidR="00416D67" w:rsidRPr="00416D67" w:rsidRDefault="00416D67" w:rsidP="00416D67">
            <w:pPr>
              <w:rPr>
                <w:rFonts w:ascii="Arial" w:hAnsi="Arial" w:cs="Arial"/>
                <w:sz w:val="14"/>
                <w:szCs w:val="14"/>
              </w:rPr>
            </w:pPr>
            <w:r w:rsidRPr="00416D67">
              <w:rPr>
                <w:rFonts w:ascii="Arial" w:hAnsi="Arial" w:cs="Arial"/>
                <w:sz w:val="14"/>
                <w:szCs w:val="14"/>
              </w:rPr>
              <w:t>Izvor 5.1.9 Pomoći fiskalna održivost dječjih vrtića</w:t>
            </w:r>
          </w:p>
        </w:tc>
        <w:tc>
          <w:tcPr>
            <w:tcW w:w="1034" w:type="dxa"/>
            <w:tcBorders>
              <w:top w:val="single" w:sz="4" w:space="0" w:color="auto"/>
              <w:left w:val="nil"/>
              <w:bottom w:val="single" w:sz="4" w:space="0" w:color="auto"/>
              <w:right w:val="single" w:sz="4" w:space="0" w:color="auto"/>
            </w:tcBorders>
            <w:noWrap/>
            <w:vAlign w:val="bottom"/>
            <w:hideMark/>
          </w:tcPr>
          <w:p w14:paraId="4FBBD87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34.746,00</w:t>
            </w:r>
          </w:p>
        </w:tc>
        <w:tc>
          <w:tcPr>
            <w:tcW w:w="1034" w:type="dxa"/>
            <w:tcBorders>
              <w:top w:val="single" w:sz="4" w:space="0" w:color="auto"/>
              <w:left w:val="nil"/>
              <w:bottom w:val="single" w:sz="4" w:space="0" w:color="auto"/>
              <w:right w:val="single" w:sz="4" w:space="0" w:color="auto"/>
            </w:tcBorders>
            <w:noWrap/>
            <w:vAlign w:val="bottom"/>
            <w:hideMark/>
          </w:tcPr>
          <w:p w14:paraId="746CF80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40.236,00</w:t>
            </w:r>
          </w:p>
        </w:tc>
        <w:tc>
          <w:tcPr>
            <w:tcW w:w="1034" w:type="dxa"/>
            <w:tcBorders>
              <w:top w:val="single" w:sz="4" w:space="0" w:color="auto"/>
              <w:left w:val="nil"/>
              <w:bottom w:val="single" w:sz="4" w:space="0" w:color="auto"/>
              <w:right w:val="single" w:sz="4" w:space="0" w:color="auto"/>
            </w:tcBorders>
            <w:noWrap/>
            <w:vAlign w:val="bottom"/>
            <w:hideMark/>
          </w:tcPr>
          <w:p w14:paraId="1374A68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40.236,00</w:t>
            </w:r>
          </w:p>
        </w:tc>
        <w:tc>
          <w:tcPr>
            <w:tcW w:w="1034" w:type="dxa"/>
            <w:tcBorders>
              <w:top w:val="single" w:sz="4" w:space="0" w:color="auto"/>
              <w:left w:val="nil"/>
              <w:bottom w:val="single" w:sz="4" w:space="0" w:color="auto"/>
              <w:right w:val="single" w:sz="4" w:space="0" w:color="auto"/>
            </w:tcBorders>
            <w:noWrap/>
            <w:vAlign w:val="bottom"/>
            <w:hideMark/>
          </w:tcPr>
          <w:p w14:paraId="7D25252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40.236,00</w:t>
            </w:r>
          </w:p>
        </w:tc>
        <w:tc>
          <w:tcPr>
            <w:tcW w:w="925" w:type="dxa"/>
            <w:tcBorders>
              <w:top w:val="nil"/>
              <w:left w:val="nil"/>
              <w:bottom w:val="single" w:sz="4" w:space="0" w:color="auto"/>
              <w:right w:val="single" w:sz="4" w:space="0" w:color="auto"/>
            </w:tcBorders>
            <w:noWrap/>
            <w:vAlign w:val="bottom"/>
            <w:hideMark/>
          </w:tcPr>
          <w:p w14:paraId="150EB45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115,80%</w:t>
            </w:r>
          </w:p>
        </w:tc>
        <w:tc>
          <w:tcPr>
            <w:tcW w:w="946" w:type="dxa"/>
            <w:tcBorders>
              <w:top w:val="single" w:sz="4" w:space="0" w:color="auto"/>
              <w:left w:val="nil"/>
              <w:bottom w:val="single" w:sz="4" w:space="0" w:color="auto"/>
              <w:right w:val="single" w:sz="4" w:space="0" w:color="auto"/>
            </w:tcBorders>
            <w:noWrap/>
            <w:vAlign w:val="bottom"/>
            <w:hideMark/>
          </w:tcPr>
          <w:p w14:paraId="7029348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w:t>
            </w:r>
          </w:p>
        </w:tc>
      </w:tr>
      <w:tr w:rsidR="00416D67" w:rsidRPr="00416D67" w14:paraId="463B09D1"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5ABA931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5.2. Tekuće pomoći državni proračun PK</w:t>
            </w:r>
          </w:p>
        </w:tc>
        <w:tc>
          <w:tcPr>
            <w:tcW w:w="1034" w:type="dxa"/>
            <w:tcBorders>
              <w:top w:val="single" w:sz="4" w:space="0" w:color="auto"/>
              <w:left w:val="nil"/>
              <w:bottom w:val="single" w:sz="4" w:space="0" w:color="auto"/>
              <w:right w:val="single" w:sz="4" w:space="0" w:color="auto"/>
            </w:tcBorders>
            <w:noWrap/>
            <w:vAlign w:val="bottom"/>
            <w:hideMark/>
          </w:tcPr>
          <w:p w14:paraId="42A97D8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1.791,60</w:t>
            </w:r>
          </w:p>
        </w:tc>
        <w:tc>
          <w:tcPr>
            <w:tcW w:w="1034" w:type="dxa"/>
            <w:tcBorders>
              <w:top w:val="single" w:sz="4" w:space="0" w:color="auto"/>
              <w:left w:val="nil"/>
              <w:bottom w:val="single" w:sz="4" w:space="0" w:color="auto"/>
              <w:right w:val="single" w:sz="4" w:space="0" w:color="auto"/>
            </w:tcBorders>
            <w:noWrap/>
            <w:vAlign w:val="bottom"/>
            <w:hideMark/>
          </w:tcPr>
          <w:p w14:paraId="7B42336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6.164,00</w:t>
            </w:r>
          </w:p>
        </w:tc>
        <w:tc>
          <w:tcPr>
            <w:tcW w:w="1034" w:type="dxa"/>
            <w:tcBorders>
              <w:top w:val="single" w:sz="4" w:space="0" w:color="auto"/>
              <w:left w:val="nil"/>
              <w:bottom w:val="single" w:sz="4" w:space="0" w:color="auto"/>
              <w:right w:val="single" w:sz="4" w:space="0" w:color="auto"/>
            </w:tcBorders>
            <w:noWrap/>
            <w:vAlign w:val="bottom"/>
            <w:hideMark/>
          </w:tcPr>
          <w:p w14:paraId="35BBFF6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6.164,00</w:t>
            </w:r>
          </w:p>
        </w:tc>
        <w:tc>
          <w:tcPr>
            <w:tcW w:w="1034" w:type="dxa"/>
            <w:tcBorders>
              <w:top w:val="single" w:sz="4" w:space="0" w:color="auto"/>
              <w:left w:val="nil"/>
              <w:bottom w:val="single" w:sz="4" w:space="0" w:color="auto"/>
              <w:right w:val="single" w:sz="4" w:space="0" w:color="auto"/>
            </w:tcBorders>
            <w:noWrap/>
            <w:vAlign w:val="bottom"/>
            <w:hideMark/>
          </w:tcPr>
          <w:p w14:paraId="08427A7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5.858,40</w:t>
            </w:r>
          </w:p>
        </w:tc>
        <w:tc>
          <w:tcPr>
            <w:tcW w:w="925" w:type="dxa"/>
            <w:tcBorders>
              <w:top w:val="nil"/>
              <w:left w:val="nil"/>
              <w:bottom w:val="single" w:sz="4" w:space="0" w:color="auto"/>
              <w:right w:val="single" w:sz="4" w:space="0" w:color="auto"/>
            </w:tcBorders>
            <w:noWrap/>
            <w:vAlign w:val="bottom"/>
            <w:hideMark/>
          </w:tcPr>
          <w:p w14:paraId="79613C2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326,99%</w:t>
            </w:r>
          </w:p>
        </w:tc>
        <w:tc>
          <w:tcPr>
            <w:tcW w:w="946" w:type="dxa"/>
            <w:tcBorders>
              <w:top w:val="single" w:sz="4" w:space="0" w:color="auto"/>
              <w:left w:val="nil"/>
              <w:bottom w:val="single" w:sz="4" w:space="0" w:color="auto"/>
              <w:right w:val="single" w:sz="4" w:space="0" w:color="auto"/>
            </w:tcBorders>
            <w:noWrap/>
            <w:vAlign w:val="bottom"/>
            <w:hideMark/>
          </w:tcPr>
          <w:p w14:paraId="224EDB2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95,04%</w:t>
            </w:r>
          </w:p>
        </w:tc>
      </w:tr>
      <w:tr w:rsidR="00416D67" w:rsidRPr="00416D67" w14:paraId="270B5911"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61F460C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Izvor 5.3. Tekuće pomoći PK JLP(R)S </w:t>
            </w:r>
          </w:p>
        </w:tc>
        <w:tc>
          <w:tcPr>
            <w:tcW w:w="1034" w:type="dxa"/>
            <w:tcBorders>
              <w:top w:val="single" w:sz="4" w:space="0" w:color="auto"/>
              <w:left w:val="nil"/>
              <w:bottom w:val="single" w:sz="4" w:space="0" w:color="auto"/>
              <w:right w:val="single" w:sz="4" w:space="0" w:color="auto"/>
            </w:tcBorders>
            <w:noWrap/>
            <w:vAlign w:val="bottom"/>
            <w:hideMark/>
          </w:tcPr>
          <w:p w14:paraId="77329C6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5.481,43</w:t>
            </w:r>
          </w:p>
        </w:tc>
        <w:tc>
          <w:tcPr>
            <w:tcW w:w="1034" w:type="dxa"/>
            <w:tcBorders>
              <w:top w:val="single" w:sz="4" w:space="0" w:color="auto"/>
              <w:left w:val="nil"/>
              <w:bottom w:val="single" w:sz="4" w:space="0" w:color="auto"/>
              <w:right w:val="single" w:sz="4" w:space="0" w:color="auto"/>
            </w:tcBorders>
            <w:noWrap/>
            <w:vAlign w:val="bottom"/>
            <w:hideMark/>
          </w:tcPr>
          <w:p w14:paraId="6BA7B00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14.750,00</w:t>
            </w:r>
          </w:p>
        </w:tc>
        <w:tc>
          <w:tcPr>
            <w:tcW w:w="1034" w:type="dxa"/>
            <w:tcBorders>
              <w:top w:val="single" w:sz="4" w:space="0" w:color="auto"/>
              <w:left w:val="nil"/>
              <w:bottom w:val="single" w:sz="4" w:space="0" w:color="auto"/>
              <w:right w:val="single" w:sz="4" w:space="0" w:color="auto"/>
            </w:tcBorders>
            <w:noWrap/>
            <w:vAlign w:val="bottom"/>
            <w:hideMark/>
          </w:tcPr>
          <w:p w14:paraId="1B19D43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14.750,00</w:t>
            </w:r>
          </w:p>
        </w:tc>
        <w:tc>
          <w:tcPr>
            <w:tcW w:w="1034" w:type="dxa"/>
            <w:tcBorders>
              <w:top w:val="single" w:sz="4" w:space="0" w:color="auto"/>
              <w:left w:val="nil"/>
              <w:bottom w:val="single" w:sz="4" w:space="0" w:color="auto"/>
              <w:right w:val="single" w:sz="4" w:space="0" w:color="auto"/>
            </w:tcBorders>
            <w:noWrap/>
            <w:vAlign w:val="bottom"/>
            <w:hideMark/>
          </w:tcPr>
          <w:p w14:paraId="48F0093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14.481,50</w:t>
            </w:r>
          </w:p>
        </w:tc>
        <w:tc>
          <w:tcPr>
            <w:tcW w:w="925" w:type="dxa"/>
            <w:tcBorders>
              <w:top w:val="nil"/>
              <w:left w:val="nil"/>
              <w:bottom w:val="single" w:sz="4" w:space="0" w:color="auto"/>
              <w:right w:val="single" w:sz="4" w:space="0" w:color="auto"/>
            </w:tcBorders>
            <w:noWrap/>
            <w:vAlign w:val="bottom"/>
            <w:hideMark/>
          </w:tcPr>
          <w:p w14:paraId="3B9D7F4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264,19%</w:t>
            </w:r>
          </w:p>
        </w:tc>
        <w:tc>
          <w:tcPr>
            <w:tcW w:w="946" w:type="dxa"/>
            <w:tcBorders>
              <w:top w:val="single" w:sz="4" w:space="0" w:color="auto"/>
              <w:left w:val="nil"/>
              <w:bottom w:val="single" w:sz="4" w:space="0" w:color="auto"/>
              <w:right w:val="single" w:sz="4" w:space="0" w:color="auto"/>
            </w:tcBorders>
            <w:noWrap/>
            <w:vAlign w:val="bottom"/>
            <w:hideMark/>
          </w:tcPr>
          <w:p w14:paraId="2427D46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98,18%</w:t>
            </w:r>
          </w:p>
        </w:tc>
      </w:tr>
      <w:tr w:rsidR="00416D67" w:rsidRPr="00416D67" w14:paraId="28ACCFAA"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7964B41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Izvor 5.4. Tekuće pomoći PK JLP(R)S </w:t>
            </w:r>
            <w:proofErr w:type="spellStart"/>
            <w:r w:rsidRPr="00416D67">
              <w:rPr>
                <w:rFonts w:ascii="Arial" w:hAnsi="Arial" w:cs="Arial"/>
                <w:b/>
                <w:bCs/>
                <w:sz w:val="14"/>
                <w:szCs w:val="14"/>
              </w:rPr>
              <w:t>Ist.županija</w:t>
            </w:r>
            <w:proofErr w:type="spellEnd"/>
          </w:p>
        </w:tc>
        <w:tc>
          <w:tcPr>
            <w:tcW w:w="1034" w:type="dxa"/>
            <w:tcBorders>
              <w:top w:val="single" w:sz="4" w:space="0" w:color="auto"/>
              <w:left w:val="nil"/>
              <w:bottom w:val="single" w:sz="4" w:space="0" w:color="auto"/>
              <w:right w:val="single" w:sz="4" w:space="0" w:color="auto"/>
            </w:tcBorders>
            <w:noWrap/>
            <w:vAlign w:val="bottom"/>
            <w:hideMark/>
          </w:tcPr>
          <w:p w14:paraId="275EE60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1034" w:type="dxa"/>
            <w:tcBorders>
              <w:top w:val="single" w:sz="4" w:space="0" w:color="auto"/>
              <w:left w:val="nil"/>
              <w:bottom w:val="single" w:sz="4" w:space="0" w:color="auto"/>
              <w:right w:val="single" w:sz="4" w:space="0" w:color="auto"/>
            </w:tcBorders>
            <w:noWrap/>
            <w:vAlign w:val="bottom"/>
            <w:hideMark/>
          </w:tcPr>
          <w:p w14:paraId="7EAB493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1034" w:type="dxa"/>
            <w:tcBorders>
              <w:top w:val="single" w:sz="4" w:space="0" w:color="auto"/>
              <w:left w:val="nil"/>
              <w:bottom w:val="single" w:sz="4" w:space="0" w:color="auto"/>
              <w:right w:val="single" w:sz="4" w:space="0" w:color="auto"/>
            </w:tcBorders>
            <w:noWrap/>
            <w:vAlign w:val="bottom"/>
            <w:hideMark/>
          </w:tcPr>
          <w:p w14:paraId="0C24EFC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1034" w:type="dxa"/>
            <w:tcBorders>
              <w:top w:val="single" w:sz="4" w:space="0" w:color="auto"/>
              <w:left w:val="nil"/>
              <w:bottom w:val="single" w:sz="4" w:space="0" w:color="auto"/>
              <w:right w:val="single" w:sz="4" w:space="0" w:color="auto"/>
            </w:tcBorders>
            <w:noWrap/>
            <w:vAlign w:val="bottom"/>
            <w:hideMark/>
          </w:tcPr>
          <w:p w14:paraId="000F06F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925" w:type="dxa"/>
            <w:tcBorders>
              <w:top w:val="nil"/>
              <w:left w:val="nil"/>
              <w:bottom w:val="single" w:sz="4" w:space="0" w:color="auto"/>
              <w:right w:val="single" w:sz="4" w:space="0" w:color="auto"/>
            </w:tcBorders>
            <w:noWrap/>
            <w:vAlign w:val="bottom"/>
            <w:hideMark/>
          </w:tcPr>
          <w:p w14:paraId="5B8A5C7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c>
          <w:tcPr>
            <w:tcW w:w="946" w:type="dxa"/>
            <w:tcBorders>
              <w:top w:val="single" w:sz="4" w:space="0" w:color="auto"/>
              <w:left w:val="nil"/>
              <w:bottom w:val="single" w:sz="4" w:space="0" w:color="auto"/>
              <w:right w:val="single" w:sz="4" w:space="0" w:color="auto"/>
            </w:tcBorders>
            <w:noWrap/>
            <w:vAlign w:val="bottom"/>
            <w:hideMark/>
          </w:tcPr>
          <w:p w14:paraId="6609FFF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17A27793" w14:textId="77777777" w:rsidTr="00BB1392">
        <w:trPr>
          <w:trHeight w:val="585"/>
          <w:jc w:val="center"/>
        </w:trPr>
        <w:tc>
          <w:tcPr>
            <w:tcW w:w="4601" w:type="dxa"/>
            <w:tcBorders>
              <w:top w:val="single" w:sz="4" w:space="0" w:color="auto"/>
              <w:left w:val="single" w:sz="4" w:space="0" w:color="auto"/>
              <w:bottom w:val="single" w:sz="4" w:space="0" w:color="auto"/>
              <w:right w:val="single" w:sz="4" w:space="0" w:color="auto"/>
            </w:tcBorders>
            <w:vAlign w:val="bottom"/>
            <w:hideMark/>
          </w:tcPr>
          <w:p w14:paraId="08A7840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Izvor 5.6.6 Pomoći EU  (program razvoja kružnog </w:t>
            </w:r>
            <w:proofErr w:type="spellStart"/>
            <w:r w:rsidRPr="00416D67">
              <w:rPr>
                <w:rFonts w:ascii="Arial" w:hAnsi="Arial" w:cs="Arial"/>
                <w:b/>
                <w:bCs/>
                <w:sz w:val="14"/>
                <w:szCs w:val="14"/>
              </w:rPr>
              <w:t>gospod</w:t>
            </w:r>
            <w:proofErr w:type="spellEnd"/>
            <w:r w:rsidRPr="00416D67">
              <w:rPr>
                <w:rFonts w:ascii="Arial" w:hAnsi="Arial" w:cs="Arial"/>
                <w:b/>
                <w:bCs/>
                <w:sz w:val="14"/>
                <w:szCs w:val="14"/>
              </w:rPr>
              <w:t xml:space="preserve"> prostorom i </w:t>
            </w:r>
            <w:proofErr w:type="spellStart"/>
            <w:r w:rsidRPr="00416D67">
              <w:rPr>
                <w:rFonts w:ascii="Arial" w:hAnsi="Arial" w:cs="Arial"/>
                <w:b/>
                <w:bCs/>
                <w:sz w:val="14"/>
                <w:szCs w:val="14"/>
              </w:rPr>
              <w:t>zgrad</w:t>
            </w:r>
            <w:proofErr w:type="spellEnd"/>
          </w:p>
        </w:tc>
        <w:tc>
          <w:tcPr>
            <w:tcW w:w="1034" w:type="dxa"/>
            <w:tcBorders>
              <w:top w:val="single" w:sz="4" w:space="0" w:color="auto"/>
              <w:left w:val="nil"/>
              <w:bottom w:val="single" w:sz="4" w:space="0" w:color="auto"/>
              <w:right w:val="single" w:sz="4" w:space="0" w:color="auto"/>
            </w:tcBorders>
            <w:noWrap/>
            <w:vAlign w:val="bottom"/>
            <w:hideMark/>
          </w:tcPr>
          <w:p w14:paraId="1D81B1A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034" w:type="dxa"/>
            <w:tcBorders>
              <w:top w:val="single" w:sz="4" w:space="0" w:color="auto"/>
              <w:left w:val="nil"/>
              <w:bottom w:val="single" w:sz="4" w:space="0" w:color="auto"/>
              <w:right w:val="single" w:sz="4" w:space="0" w:color="auto"/>
            </w:tcBorders>
            <w:noWrap/>
            <w:vAlign w:val="bottom"/>
            <w:hideMark/>
          </w:tcPr>
          <w:p w14:paraId="13891FB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31.487,70</w:t>
            </w:r>
          </w:p>
        </w:tc>
        <w:tc>
          <w:tcPr>
            <w:tcW w:w="1034" w:type="dxa"/>
            <w:tcBorders>
              <w:top w:val="single" w:sz="4" w:space="0" w:color="auto"/>
              <w:left w:val="nil"/>
              <w:bottom w:val="single" w:sz="4" w:space="0" w:color="auto"/>
              <w:right w:val="single" w:sz="4" w:space="0" w:color="auto"/>
            </w:tcBorders>
            <w:noWrap/>
            <w:vAlign w:val="bottom"/>
            <w:hideMark/>
          </w:tcPr>
          <w:p w14:paraId="0E92BDB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31.487,70</w:t>
            </w:r>
          </w:p>
        </w:tc>
        <w:tc>
          <w:tcPr>
            <w:tcW w:w="1034" w:type="dxa"/>
            <w:tcBorders>
              <w:top w:val="single" w:sz="4" w:space="0" w:color="auto"/>
              <w:left w:val="nil"/>
              <w:bottom w:val="single" w:sz="4" w:space="0" w:color="auto"/>
              <w:right w:val="single" w:sz="4" w:space="0" w:color="auto"/>
            </w:tcBorders>
            <w:noWrap/>
            <w:vAlign w:val="bottom"/>
            <w:hideMark/>
          </w:tcPr>
          <w:p w14:paraId="2E84261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31.487,69</w:t>
            </w:r>
          </w:p>
        </w:tc>
        <w:tc>
          <w:tcPr>
            <w:tcW w:w="925" w:type="dxa"/>
            <w:tcBorders>
              <w:top w:val="nil"/>
              <w:left w:val="nil"/>
              <w:bottom w:val="single" w:sz="4" w:space="0" w:color="auto"/>
              <w:right w:val="single" w:sz="4" w:space="0" w:color="auto"/>
            </w:tcBorders>
            <w:noWrap/>
            <w:vAlign w:val="bottom"/>
            <w:hideMark/>
          </w:tcPr>
          <w:p w14:paraId="1EB509D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46" w:type="dxa"/>
            <w:tcBorders>
              <w:top w:val="single" w:sz="4" w:space="0" w:color="auto"/>
              <w:left w:val="nil"/>
              <w:bottom w:val="single" w:sz="4" w:space="0" w:color="auto"/>
              <w:right w:val="single" w:sz="4" w:space="0" w:color="auto"/>
            </w:tcBorders>
            <w:noWrap/>
            <w:vAlign w:val="bottom"/>
            <w:hideMark/>
          </w:tcPr>
          <w:p w14:paraId="2246F7F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3C39AA74"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ED1FD8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6. Donacije</w:t>
            </w:r>
          </w:p>
        </w:tc>
        <w:tc>
          <w:tcPr>
            <w:tcW w:w="1034" w:type="dxa"/>
            <w:tcBorders>
              <w:top w:val="single" w:sz="4" w:space="0" w:color="auto"/>
              <w:left w:val="nil"/>
              <w:bottom w:val="single" w:sz="4" w:space="0" w:color="auto"/>
              <w:right w:val="single" w:sz="4" w:space="0" w:color="auto"/>
            </w:tcBorders>
            <w:shd w:val="clear" w:color="000000" w:fill="FFFF00"/>
            <w:noWrap/>
            <w:vAlign w:val="bottom"/>
            <w:hideMark/>
          </w:tcPr>
          <w:p w14:paraId="68F7BD3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4.715,58</w:t>
            </w:r>
          </w:p>
        </w:tc>
        <w:tc>
          <w:tcPr>
            <w:tcW w:w="1034" w:type="dxa"/>
            <w:tcBorders>
              <w:top w:val="single" w:sz="4" w:space="0" w:color="auto"/>
              <w:left w:val="nil"/>
              <w:bottom w:val="single" w:sz="4" w:space="0" w:color="auto"/>
              <w:right w:val="single" w:sz="4" w:space="0" w:color="auto"/>
            </w:tcBorders>
            <w:shd w:val="clear" w:color="000000" w:fill="FFFF00"/>
            <w:noWrap/>
            <w:vAlign w:val="bottom"/>
            <w:hideMark/>
          </w:tcPr>
          <w:p w14:paraId="0322E86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w:t>
            </w:r>
          </w:p>
        </w:tc>
        <w:tc>
          <w:tcPr>
            <w:tcW w:w="1034" w:type="dxa"/>
            <w:tcBorders>
              <w:top w:val="single" w:sz="4" w:space="0" w:color="auto"/>
              <w:left w:val="nil"/>
              <w:bottom w:val="single" w:sz="4" w:space="0" w:color="auto"/>
              <w:right w:val="single" w:sz="4" w:space="0" w:color="auto"/>
            </w:tcBorders>
            <w:shd w:val="clear" w:color="000000" w:fill="FFFF00"/>
            <w:noWrap/>
            <w:vAlign w:val="bottom"/>
            <w:hideMark/>
          </w:tcPr>
          <w:p w14:paraId="6D39C5A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w:t>
            </w:r>
          </w:p>
        </w:tc>
        <w:tc>
          <w:tcPr>
            <w:tcW w:w="1034" w:type="dxa"/>
            <w:tcBorders>
              <w:top w:val="single" w:sz="4" w:space="0" w:color="auto"/>
              <w:left w:val="nil"/>
              <w:bottom w:val="single" w:sz="4" w:space="0" w:color="auto"/>
              <w:right w:val="single" w:sz="4" w:space="0" w:color="auto"/>
            </w:tcBorders>
            <w:shd w:val="clear" w:color="000000" w:fill="FFFF00"/>
            <w:noWrap/>
            <w:vAlign w:val="bottom"/>
            <w:hideMark/>
          </w:tcPr>
          <w:p w14:paraId="5C61620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925" w:type="dxa"/>
            <w:tcBorders>
              <w:top w:val="nil"/>
              <w:left w:val="nil"/>
              <w:bottom w:val="single" w:sz="4" w:space="0" w:color="auto"/>
              <w:right w:val="single" w:sz="4" w:space="0" w:color="auto"/>
            </w:tcBorders>
            <w:shd w:val="clear" w:color="000000" w:fill="FFFF00"/>
            <w:noWrap/>
            <w:vAlign w:val="bottom"/>
            <w:hideMark/>
          </w:tcPr>
          <w:p w14:paraId="1EFA91C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46" w:type="dxa"/>
            <w:tcBorders>
              <w:top w:val="single" w:sz="4" w:space="0" w:color="auto"/>
              <w:left w:val="nil"/>
              <w:bottom w:val="single" w:sz="4" w:space="0" w:color="auto"/>
              <w:right w:val="single" w:sz="4" w:space="0" w:color="auto"/>
            </w:tcBorders>
            <w:shd w:val="clear" w:color="000000" w:fill="FFFF00"/>
            <w:noWrap/>
            <w:vAlign w:val="bottom"/>
            <w:hideMark/>
          </w:tcPr>
          <w:p w14:paraId="0DB6E34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27F7A275"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0B4CFC8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6.1. 06 Donacije</w:t>
            </w:r>
          </w:p>
        </w:tc>
        <w:tc>
          <w:tcPr>
            <w:tcW w:w="1034" w:type="dxa"/>
            <w:tcBorders>
              <w:top w:val="single" w:sz="4" w:space="0" w:color="auto"/>
              <w:left w:val="nil"/>
              <w:bottom w:val="single" w:sz="4" w:space="0" w:color="auto"/>
              <w:right w:val="single" w:sz="4" w:space="0" w:color="auto"/>
            </w:tcBorders>
            <w:noWrap/>
            <w:vAlign w:val="bottom"/>
            <w:hideMark/>
          </w:tcPr>
          <w:p w14:paraId="2381BA5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4.715,58</w:t>
            </w:r>
          </w:p>
        </w:tc>
        <w:tc>
          <w:tcPr>
            <w:tcW w:w="1034" w:type="dxa"/>
            <w:tcBorders>
              <w:top w:val="single" w:sz="4" w:space="0" w:color="auto"/>
              <w:left w:val="nil"/>
              <w:bottom w:val="single" w:sz="4" w:space="0" w:color="auto"/>
              <w:right w:val="single" w:sz="4" w:space="0" w:color="auto"/>
            </w:tcBorders>
            <w:noWrap/>
            <w:vAlign w:val="bottom"/>
            <w:hideMark/>
          </w:tcPr>
          <w:p w14:paraId="42D56A0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1034" w:type="dxa"/>
            <w:tcBorders>
              <w:top w:val="single" w:sz="4" w:space="0" w:color="auto"/>
              <w:left w:val="nil"/>
              <w:bottom w:val="single" w:sz="4" w:space="0" w:color="auto"/>
              <w:right w:val="single" w:sz="4" w:space="0" w:color="auto"/>
            </w:tcBorders>
            <w:noWrap/>
            <w:vAlign w:val="bottom"/>
            <w:hideMark/>
          </w:tcPr>
          <w:p w14:paraId="105155A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1034" w:type="dxa"/>
            <w:tcBorders>
              <w:top w:val="single" w:sz="4" w:space="0" w:color="auto"/>
              <w:left w:val="nil"/>
              <w:bottom w:val="single" w:sz="4" w:space="0" w:color="auto"/>
              <w:right w:val="single" w:sz="4" w:space="0" w:color="auto"/>
            </w:tcBorders>
            <w:noWrap/>
            <w:vAlign w:val="bottom"/>
            <w:hideMark/>
          </w:tcPr>
          <w:p w14:paraId="1B4FA99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925" w:type="dxa"/>
            <w:tcBorders>
              <w:top w:val="nil"/>
              <w:left w:val="nil"/>
              <w:bottom w:val="single" w:sz="4" w:space="0" w:color="auto"/>
              <w:right w:val="single" w:sz="4" w:space="0" w:color="auto"/>
            </w:tcBorders>
            <w:noWrap/>
            <w:vAlign w:val="bottom"/>
            <w:hideMark/>
          </w:tcPr>
          <w:p w14:paraId="5A2A732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46" w:type="dxa"/>
            <w:tcBorders>
              <w:top w:val="single" w:sz="4" w:space="0" w:color="auto"/>
              <w:left w:val="nil"/>
              <w:bottom w:val="single" w:sz="4" w:space="0" w:color="auto"/>
              <w:right w:val="single" w:sz="4" w:space="0" w:color="auto"/>
            </w:tcBorders>
            <w:noWrap/>
            <w:vAlign w:val="bottom"/>
            <w:hideMark/>
          </w:tcPr>
          <w:p w14:paraId="299082D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01923CEF"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6220391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6.2. Donacije PK</w:t>
            </w:r>
          </w:p>
        </w:tc>
        <w:tc>
          <w:tcPr>
            <w:tcW w:w="1034" w:type="dxa"/>
            <w:tcBorders>
              <w:top w:val="single" w:sz="4" w:space="0" w:color="auto"/>
              <w:left w:val="nil"/>
              <w:bottom w:val="single" w:sz="4" w:space="0" w:color="auto"/>
              <w:right w:val="single" w:sz="4" w:space="0" w:color="auto"/>
            </w:tcBorders>
            <w:noWrap/>
            <w:vAlign w:val="bottom"/>
            <w:hideMark/>
          </w:tcPr>
          <w:p w14:paraId="093C333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1034" w:type="dxa"/>
            <w:tcBorders>
              <w:top w:val="single" w:sz="4" w:space="0" w:color="auto"/>
              <w:left w:val="nil"/>
              <w:bottom w:val="single" w:sz="4" w:space="0" w:color="auto"/>
              <w:right w:val="single" w:sz="4" w:space="0" w:color="auto"/>
            </w:tcBorders>
            <w:noWrap/>
            <w:vAlign w:val="bottom"/>
            <w:hideMark/>
          </w:tcPr>
          <w:p w14:paraId="65851CA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w:t>
            </w:r>
          </w:p>
        </w:tc>
        <w:tc>
          <w:tcPr>
            <w:tcW w:w="1034" w:type="dxa"/>
            <w:tcBorders>
              <w:top w:val="single" w:sz="4" w:space="0" w:color="auto"/>
              <w:left w:val="nil"/>
              <w:bottom w:val="single" w:sz="4" w:space="0" w:color="auto"/>
              <w:right w:val="single" w:sz="4" w:space="0" w:color="auto"/>
            </w:tcBorders>
            <w:noWrap/>
            <w:vAlign w:val="bottom"/>
            <w:hideMark/>
          </w:tcPr>
          <w:p w14:paraId="3EA9B09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w:t>
            </w:r>
          </w:p>
        </w:tc>
        <w:tc>
          <w:tcPr>
            <w:tcW w:w="1034" w:type="dxa"/>
            <w:tcBorders>
              <w:top w:val="single" w:sz="4" w:space="0" w:color="auto"/>
              <w:left w:val="nil"/>
              <w:bottom w:val="single" w:sz="4" w:space="0" w:color="auto"/>
              <w:right w:val="single" w:sz="4" w:space="0" w:color="auto"/>
            </w:tcBorders>
            <w:noWrap/>
            <w:vAlign w:val="bottom"/>
            <w:hideMark/>
          </w:tcPr>
          <w:p w14:paraId="0EE8CDA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925" w:type="dxa"/>
            <w:tcBorders>
              <w:top w:val="nil"/>
              <w:left w:val="nil"/>
              <w:bottom w:val="single" w:sz="4" w:space="0" w:color="auto"/>
              <w:right w:val="single" w:sz="4" w:space="0" w:color="auto"/>
            </w:tcBorders>
            <w:noWrap/>
            <w:vAlign w:val="bottom"/>
            <w:hideMark/>
          </w:tcPr>
          <w:p w14:paraId="1427358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946" w:type="dxa"/>
            <w:tcBorders>
              <w:top w:val="single" w:sz="4" w:space="0" w:color="auto"/>
              <w:left w:val="nil"/>
              <w:bottom w:val="single" w:sz="4" w:space="0" w:color="auto"/>
              <w:right w:val="single" w:sz="4" w:space="0" w:color="auto"/>
            </w:tcBorders>
            <w:noWrap/>
            <w:vAlign w:val="bottom"/>
            <w:hideMark/>
          </w:tcPr>
          <w:p w14:paraId="3F3C263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62CD97C3" w14:textId="77777777" w:rsidTr="00BB1392">
        <w:trPr>
          <w:trHeight w:val="510"/>
          <w:jc w:val="center"/>
        </w:trPr>
        <w:tc>
          <w:tcPr>
            <w:tcW w:w="4601"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62385E7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7. Prihodi od prodaje ili zamjene nefinancijske imovine i naknade s naslova osiguranja</w:t>
            </w:r>
          </w:p>
        </w:tc>
        <w:tc>
          <w:tcPr>
            <w:tcW w:w="1034" w:type="dxa"/>
            <w:tcBorders>
              <w:top w:val="single" w:sz="4" w:space="0" w:color="auto"/>
              <w:left w:val="nil"/>
              <w:bottom w:val="single" w:sz="4" w:space="0" w:color="auto"/>
              <w:right w:val="single" w:sz="4" w:space="0" w:color="auto"/>
            </w:tcBorders>
            <w:shd w:val="clear" w:color="000000" w:fill="FFFF00"/>
            <w:noWrap/>
            <w:vAlign w:val="bottom"/>
            <w:hideMark/>
          </w:tcPr>
          <w:p w14:paraId="278CB33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8.886,01</w:t>
            </w:r>
          </w:p>
        </w:tc>
        <w:tc>
          <w:tcPr>
            <w:tcW w:w="1034" w:type="dxa"/>
            <w:tcBorders>
              <w:top w:val="single" w:sz="4" w:space="0" w:color="auto"/>
              <w:left w:val="nil"/>
              <w:bottom w:val="single" w:sz="4" w:space="0" w:color="auto"/>
              <w:right w:val="single" w:sz="4" w:space="0" w:color="auto"/>
            </w:tcBorders>
            <w:shd w:val="clear" w:color="000000" w:fill="FFFF00"/>
            <w:noWrap/>
            <w:vAlign w:val="bottom"/>
            <w:hideMark/>
          </w:tcPr>
          <w:p w14:paraId="5BC3AB2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1.683.370,00</w:t>
            </w:r>
          </w:p>
        </w:tc>
        <w:tc>
          <w:tcPr>
            <w:tcW w:w="1034" w:type="dxa"/>
            <w:tcBorders>
              <w:top w:val="single" w:sz="4" w:space="0" w:color="auto"/>
              <w:left w:val="nil"/>
              <w:bottom w:val="single" w:sz="4" w:space="0" w:color="auto"/>
              <w:right w:val="single" w:sz="4" w:space="0" w:color="auto"/>
            </w:tcBorders>
            <w:shd w:val="clear" w:color="000000" w:fill="FFFF00"/>
            <w:noWrap/>
            <w:vAlign w:val="bottom"/>
            <w:hideMark/>
          </w:tcPr>
          <w:p w14:paraId="7C88F7A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1.683.370,00</w:t>
            </w:r>
          </w:p>
        </w:tc>
        <w:tc>
          <w:tcPr>
            <w:tcW w:w="1034" w:type="dxa"/>
            <w:tcBorders>
              <w:top w:val="single" w:sz="4" w:space="0" w:color="auto"/>
              <w:left w:val="nil"/>
              <w:bottom w:val="single" w:sz="4" w:space="0" w:color="auto"/>
              <w:right w:val="single" w:sz="4" w:space="0" w:color="auto"/>
            </w:tcBorders>
            <w:shd w:val="clear" w:color="000000" w:fill="FFFF00"/>
            <w:noWrap/>
            <w:vAlign w:val="bottom"/>
            <w:hideMark/>
          </w:tcPr>
          <w:p w14:paraId="2D91229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1.632.646,65</w:t>
            </w:r>
          </w:p>
        </w:tc>
        <w:tc>
          <w:tcPr>
            <w:tcW w:w="925" w:type="dxa"/>
            <w:tcBorders>
              <w:top w:val="nil"/>
              <w:left w:val="nil"/>
              <w:bottom w:val="single" w:sz="4" w:space="0" w:color="auto"/>
              <w:right w:val="single" w:sz="4" w:space="0" w:color="auto"/>
            </w:tcBorders>
            <w:shd w:val="clear" w:color="000000" w:fill="FFFF00"/>
            <w:noWrap/>
            <w:vAlign w:val="bottom"/>
            <w:hideMark/>
          </w:tcPr>
          <w:p w14:paraId="33E82CB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18373,23%</w:t>
            </w:r>
          </w:p>
        </w:tc>
        <w:tc>
          <w:tcPr>
            <w:tcW w:w="946" w:type="dxa"/>
            <w:tcBorders>
              <w:top w:val="single" w:sz="4" w:space="0" w:color="auto"/>
              <w:left w:val="nil"/>
              <w:bottom w:val="single" w:sz="4" w:space="0" w:color="auto"/>
              <w:right w:val="single" w:sz="4" w:space="0" w:color="auto"/>
            </w:tcBorders>
            <w:shd w:val="clear" w:color="000000" w:fill="FFFF00"/>
            <w:noWrap/>
            <w:vAlign w:val="bottom"/>
            <w:hideMark/>
          </w:tcPr>
          <w:p w14:paraId="6D07E44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96,99%</w:t>
            </w:r>
          </w:p>
        </w:tc>
      </w:tr>
      <w:tr w:rsidR="00416D67" w:rsidRPr="00416D67" w14:paraId="2C1B6AD1" w14:textId="77777777" w:rsidTr="00BB1392">
        <w:trPr>
          <w:trHeight w:val="510"/>
          <w:jc w:val="center"/>
        </w:trPr>
        <w:tc>
          <w:tcPr>
            <w:tcW w:w="4601" w:type="dxa"/>
            <w:tcBorders>
              <w:top w:val="single" w:sz="4" w:space="0" w:color="auto"/>
              <w:left w:val="single" w:sz="4" w:space="0" w:color="auto"/>
              <w:bottom w:val="single" w:sz="4" w:space="0" w:color="auto"/>
              <w:right w:val="single" w:sz="4" w:space="0" w:color="auto"/>
            </w:tcBorders>
            <w:vAlign w:val="bottom"/>
            <w:hideMark/>
          </w:tcPr>
          <w:p w14:paraId="04440C8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7.1. 07 prihodi od prodaje ili zamjene nefinancijske imovine i naknade s naslova osiguranja</w:t>
            </w:r>
          </w:p>
        </w:tc>
        <w:tc>
          <w:tcPr>
            <w:tcW w:w="1034" w:type="dxa"/>
            <w:tcBorders>
              <w:top w:val="single" w:sz="4" w:space="0" w:color="auto"/>
              <w:left w:val="nil"/>
              <w:bottom w:val="single" w:sz="4" w:space="0" w:color="auto"/>
              <w:right w:val="single" w:sz="4" w:space="0" w:color="auto"/>
            </w:tcBorders>
            <w:noWrap/>
            <w:vAlign w:val="bottom"/>
            <w:hideMark/>
          </w:tcPr>
          <w:p w14:paraId="41A2489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2.140,00</w:t>
            </w:r>
          </w:p>
        </w:tc>
        <w:tc>
          <w:tcPr>
            <w:tcW w:w="1034" w:type="dxa"/>
            <w:tcBorders>
              <w:top w:val="single" w:sz="4" w:space="0" w:color="auto"/>
              <w:left w:val="nil"/>
              <w:bottom w:val="single" w:sz="4" w:space="0" w:color="auto"/>
              <w:right w:val="single" w:sz="4" w:space="0" w:color="auto"/>
            </w:tcBorders>
            <w:noWrap/>
            <w:vAlign w:val="bottom"/>
            <w:hideMark/>
          </w:tcPr>
          <w:p w14:paraId="09C80B7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1.679.870,00</w:t>
            </w:r>
          </w:p>
        </w:tc>
        <w:tc>
          <w:tcPr>
            <w:tcW w:w="1034" w:type="dxa"/>
            <w:tcBorders>
              <w:top w:val="single" w:sz="4" w:space="0" w:color="auto"/>
              <w:left w:val="nil"/>
              <w:bottom w:val="single" w:sz="4" w:space="0" w:color="auto"/>
              <w:right w:val="single" w:sz="4" w:space="0" w:color="auto"/>
            </w:tcBorders>
            <w:noWrap/>
            <w:vAlign w:val="bottom"/>
            <w:hideMark/>
          </w:tcPr>
          <w:p w14:paraId="5A6BE38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1.679.870,00</w:t>
            </w:r>
          </w:p>
        </w:tc>
        <w:tc>
          <w:tcPr>
            <w:tcW w:w="1034" w:type="dxa"/>
            <w:tcBorders>
              <w:top w:val="single" w:sz="4" w:space="0" w:color="auto"/>
              <w:left w:val="nil"/>
              <w:bottom w:val="single" w:sz="4" w:space="0" w:color="auto"/>
              <w:right w:val="single" w:sz="4" w:space="0" w:color="auto"/>
            </w:tcBorders>
            <w:noWrap/>
            <w:vAlign w:val="bottom"/>
            <w:hideMark/>
          </w:tcPr>
          <w:p w14:paraId="7804F7C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1.629.700,00</w:t>
            </w:r>
          </w:p>
        </w:tc>
        <w:tc>
          <w:tcPr>
            <w:tcW w:w="925" w:type="dxa"/>
            <w:tcBorders>
              <w:top w:val="nil"/>
              <w:left w:val="nil"/>
              <w:bottom w:val="single" w:sz="4" w:space="0" w:color="auto"/>
              <w:right w:val="single" w:sz="4" w:space="0" w:color="auto"/>
            </w:tcBorders>
            <w:noWrap/>
            <w:vAlign w:val="bottom"/>
            <w:hideMark/>
          </w:tcPr>
          <w:p w14:paraId="71A2748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76154,21%</w:t>
            </w:r>
          </w:p>
        </w:tc>
        <w:tc>
          <w:tcPr>
            <w:tcW w:w="946" w:type="dxa"/>
            <w:tcBorders>
              <w:top w:val="single" w:sz="4" w:space="0" w:color="auto"/>
              <w:left w:val="nil"/>
              <w:bottom w:val="single" w:sz="4" w:space="0" w:color="auto"/>
              <w:right w:val="single" w:sz="4" w:space="0" w:color="auto"/>
            </w:tcBorders>
            <w:noWrap/>
            <w:vAlign w:val="bottom"/>
            <w:hideMark/>
          </w:tcPr>
          <w:p w14:paraId="005DDE0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97,01%</w:t>
            </w:r>
          </w:p>
        </w:tc>
      </w:tr>
      <w:tr w:rsidR="00416D67" w:rsidRPr="00416D67" w14:paraId="42E0C1D3" w14:textId="77777777" w:rsidTr="00BB1392">
        <w:trPr>
          <w:trHeight w:val="195"/>
          <w:jc w:val="center"/>
        </w:trPr>
        <w:tc>
          <w:tcPr>
            <w:tcW w:w="4601" w:type="dxa"/>
            <w:tcBorders>
              <w:top w:val="single" w:sz="4" w:space="0" w:color="auto"/>
              <w:left w:val="single" w:sz="4" w:space="0" w:color="auto"/>
              <w:bottom w:val="single" w:sz="4" w:space="0" w:color="auto"/>
              <w:right w:val="single" w:sz="4" w:space="0" w:color="auto"/>
            </w:tcBorders>
            <w:noWrap/>
            <w:vAlign w:val="bottom"/>
            <w:hideMark/>
          </w:tcPr>
          <w:p w14:paraId="32DD973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Izvor 7.2. Prodaja državnog </w:t>
            </w:r>
            <w:proofErr w:type="spellStart"/>
            <w:r w:rsidRPr="00416D67">
              <w:rPr>
                <w:rFonts w:ascii="Arial" w:hAnsi="Arial" w:cs="Arial"/>
                <w:b/>
                <w:bCs/>
                <w:sz w:val="14"/>
                <w:szCs w:val="14"/>
              </w:rPr>
              <w:t>poljopr.zemljišta</w:t>
            </w:r>
            <w:proofErr w:type="spellEnd"/>
            <w:r w:rsidRPr="00416D67">
              <w:rPr>
                <w:rFonts w:ascii="Arial" w:hAnsi="Arial" w:cs="Arial"/>
                <w:b/>
                <w:bCs/>
                <w:sz w:val="14"/>
                <w:szCs w:val="14"/>
              </w:rPr>
              <w:t xml:space="preserve"> 6457</w:t>
            </w:r>
          </w:p>
        </w:tc>
        <w:tc>
          <w:tcPr>
            <w:tcW w:w="1034" w:type="dxa"/>
            <w:tcBorders>
              <w:top w:val="single" w:sz="4" w:space="0" w:color="auto"/>
              <w:left w:val="nil"/>
              <w:bottom w:val="single" w:sz="4" w:space="0" w:color="auto"/>
              <w:right w:val="single" w:sz="4" w:space="0" w:color="auto"/>
            </w:tcBorders>
            <w:noWrap/>
            <w:vAlign w:val="bottom"/>
            <w:hideMark/>
          </w:tcPr>
          <w:p w14:paraId="79FEDF2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6.746,01</w:t>
            </w:r>
          </w:p>
        </w:tc>
        <w:tc>
          <w:tcPr>
            <w:tcW w:w="1034" w:type="dxa"/>
            <w:tcBorders>
              <w:top w:val="single" w:sz="4" w:space="0" w:color="auto"/>
              <w:left w:val="nil"/>
              <w:bottom w:val="single" w:sz="4" w:space="0" w:color="auto"/>
              <w:right w:val="single" w:sz="4" w:space="0" w:color="auto"/>
            </w:tcBorders>
            <w:noWrap/>
            <w:vAlign w:val="bottom"/>
            <w:hideMark/>
          </w:tcPr>
          <w:p w14:paraId="41C515D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3.500,00</w:t>
            </w:r>
          </w:p>
        </w:tc>
        <w:tc>
          <w:tcPr>
            <w:tcW w:w="1034" w:type="dxa"/>
            <w:tcBorders>
              <w:top w:val="single" w:sz="4" w:space="0" w:color="auto"/>
              <w:left w:val="nil"/>
              <w:bottom w:val="single" w:sz="4" w:space="0" w:color="auto"/>
              <w:right w:val="single" w:sz="4" w:space="0" w:color="auto"/>
            </w:tcBorders>
            <w:noWrap/>
            <w:vAlign w:val="bottom"/>
            <w:hideMark/>
          </w:tcPr>
          <w:p w14:paraId="40E3DE6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3.500,00</w:t>
            </w:r>
          </w:p>
        </w:tc>
        <w:tc>
          <w:tcPr>
            <w:tcW w:w="1034" w:type="dxa"/>
            <w:tcBorders>
              <w:top w:val="single" w:sz="4" w:space="0" w:color="auto"/>
              <w:left w:val="nil"/>
              <w:bottom w:val="single" w:sz="4" w:space="0" w:color="auto"/>
              <w:right w:val="single" w:sz="4" w:space="0" w:color="auto"/>
            </w:tcBorders>
            <w:noWrap/>
            <w:vAlign w:val="bottom"/>
            <w:hideMark/>
          </w:tcPr>
          <w:p w14:paraId="00D7F49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2.946,65</w:t>
            </w:r>
          </w:p>
        </w:tc>
        <w:tc>
          <w:tcPr>
            <w:tcW w:w="925" w:type="dxa"/>
            <w:tcBorders>
              <w:top w:val="nil"/>
              <w:left w:val="nil"/>
              <w:bottom w:val="single" w:sz="4" w:space="0" w:color="auto"/>
              <w:right w:val="single" w:sz="4" w:space="0" w:color="auto"/>
            </w:tcBorders>
            <w:noWrap/>
            <w:vAlign w:val="bottom"/>
            <w:hideMark/>
          </w:tcPr>
          <w:p w14:paraId="77CE9F7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43,68%</w:t>
            </w:r>
          </w:p>
        </w:tc>
        <w:tc>
          <w:tcPr>
            <w:tcW w:w="946" w:type="dxa"/>
            <w:tcBorders>
              <w:top w:val="single" w:sz="4" w:space="0" w:color="auto"/>
              <w:left w:val="nil"/>
              <w:bottom w:val="single" w:sz="4" w:space="0" w:color="auto"/>
              <w:right w:val="single" w:sz="4" w:space="0" w:color="auto"/>
            </w:tcBorders>
            <w:noWrap/>
            <w:vAlign w:val="bottom"/>
            <w:hideMark/>
          </w:tcPr>
          <w:p w14:paraId="4CC87FE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84,19%</w:t>
            </w:r>
          </w:p>
        </w:tc>
      </w:tr>
    </w:tbl>
    <w:p w14:paraId="437898DD" w14:textId="77777777" w:rsidR="00416D67" w:rsidRPr="00416D67" w:rsidRDefault="00416D67" w:rsidP="00416D67">
      <w:pPr>
        <w:rPr>
          <w:b/>
          <w:bCs/>
        </w:rPr>
      </w:pPr>
    </w:p>
    <w:p w14:paraId="048D2EA1" w14:textId="77777777" w:rsidR="00416D67" w:rsidRPr="00416D67" w:rsidRDefault="00416D67" w:rsidP="00416D67">
      <w:pPr>
        <w:rPr>
          <w:b/>
          <w:bCs/>
        </w:rPr>
      </w:pPr>
      <w:r w:rsidRPr="00416D67">
        <w:rPr>
          <w:b/>
          <w:bCs/>
        </w:rPr>
        <w:t>Tablica 4.  Pregled planiranih i ostvarenih rashoda/izdataka po izvorima financiranja u 2025. godini</w:t>
      </w:r>
    </w:p>
    <w:p w14:paraId="37428FE2" w14:textId="77777777" w:rsidR="00416D67" w:rsidRPr="00416D67" w:rsidRDefault="00416D67" w:rsidP="00416D67">
      <w:pPr>
        <w:jc w:val="both"/>
      </w:pPr>
    </w:p>
    <w:tbl>
      <w:tblPr>
        <w:tblW w:w="9770" w:type="dxa"/>
        <w:jc w:val="center"/>
        <w:tblLook w:val="04A0" w:firstRow="1" w:lastRow="0" w:firstColumn="1" w:lastColumn="0" w:noHBand="0" w:noVBand="1"/>
      </w:tblPr>
      <w:tblGrid>
        <w:gridCol w:w="5056"/>
        <w:gridCol w:w="1034"/>
        <w:gridCol w:w="1034"/>
        <w:gridCol w:w="1034"/>
        <w:gridCol w:w="1034"/>
        <w:gridCol w:w="925"/>
        <w:gridCol w:w="769"/>
      </w:tblGrid>
      <w:tr w:rsidR="00416D67" w:rsidRPr="00416D67" w14:paraId="261C44AF" w14:textId="77777777" w:rsidTr="00BB1392">
        <w:trPr>
          <w:trHeight w:val="720"/>
          <w:jc w:val="center"/>
        </w:trPr>
        <w:tc>
          <w:tcPr>
            <w:tcW w:w="5056"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0F96B030"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 xml:space="preserve">Rashodi  prema izvorima financiranja </w:t>
            </w:r>
          </w:p>
        </w:tc>
        <w:tc>
          <w:tcPr>
            <w:tcW w:w="848" w:type="dxa"/>
            <w:tcBorders>
              <w:top w:val="single" w:sz="4" w:space="0" w:color="auto"/>
              <w:left w:val="nil"/>
              <w:bottom w:val="single" w:sz="4" w:space="0" w:color="auto"/>
              <w:right w:val="single" w:sz="4" w:space="0" w:color="auto"/>
            </w:tcBorders>
            <w:shd w:val="clear" w:color="000000" w:fill="C0C0C0"/>
            <w:vAlign w:val="center"/>
            <w:hideMark/>
          </w:tcPr>
          <w:p w14:paraId="22F1E82C"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2024. godina</w:t>
            </w:r>
          </w:p>
        </w:tc>
        <w:tc>
          <w:tcPr>
            <w:tcW w:w="848" w:type="dxa"/>
            <w:tcBorders>
              <w:top w:val="single" w:sz="4" w:space="0" w:color="auto"/>
              <w:left w:val="nil"/>
              <w:bottom w:val="single" w:sz="4" w:space="0" w:color="auto"/>
              <w:right w:val="single" w:sz="4" w:space="0" w:color="auto"/>
            </w:tcBorders>
            <w:shd w:val="clear" w:color="000000" w:fill="C0C0C0"/>
            <w:vAlign w:val="center"/>
            <w:hideMark/>
          </w:tcPr>
          <w:p w14:paraId="3564A572"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848" w:type="dxa"/>
            <w:tcBorders>
              <w:top w:val="single" w:sz="4" w:space="0" w:color="auto"/>
              <w:left w:val="nil"/>
              <w:bottom w:val="single" w:sz="4" w:space="0" w:color="auto"/>
              <w:right w:val="single" w:sz="4" w:space="0" w:color="auto"/>
            </w:tcBorders>
            <w:shd w:val="clear" w:color="000000" w:fill="C0C0C0"/>
            <w:vAlign w:val="center"/>
            <w:hideMark/>
          </w:tcPr>
          <w:p w14:paraId="712BC880"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848" w:type="dxa"/>
            <w:tcBorders>
              <w:top w:val="single" w:sz="4" w:space="0" w:color="auto"/>
              <w:left w:val="nil"/>
              <w:bottom w:val="single" w:sz="4" w:space="0" w:color="auto"/>
              <w:right w:val="single" w:sz="4" w:space="0" w:color="auto"/>
            </w:tcBorders>
            <w:shd w:val="clear" w:color="000000" w:fill="C0C0C0"/>
            <w:vAlign w:val="center"/>
            <w:hideMark/>
          </w:tcPr>
          <w:p w14:paraId="37B7B848"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739" w:type="dxa"/>
            <w:tcBorders>
              <w:top w:val="single" w:sz="4" w:space="0" w:color="auto"/>
              <w:left w:val="nil"/>
              <w:bottom w:val="single" w:sz="4" w:space="0" w:color="auto"/>
              <w:right w:val="single" w:sz="4" w:space="0" w:color="auto"/>
            </w:tcBorders>
            <w:shd w:val="clear" w:color="000000" w:fill="C0C0C0"/>
            <w:vAlign w:val="center"/>
            <w:hideMark/>
          </w:tcPr>
          <w:p w14:paraId="1E257DA5"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4/1</w:t>
            </w:r>
          </w:p>
        </w:tc>
        <w:tc>
          <w:tcPr>
            <w:tcW w:w="583" w:type="dxa"/>
            <w:tcBorders>
              <w:top w:val="single" w:sz="4" w:space="0" w:color="auto"/>
              <w:left w:val="nil"/>
              <w:bottom w:val="single" w:sz="4" w:space="0" w:color="auto"/>
              <w:right w:val="single" w:sz="4" w:space="0" w:color="auto"/>
            </w:tcBorders>
            <w:shd w:val="clear" w:color="000000" w:fill="C0C0C0"/>
            <w:vAlign w:val="center"/>
            <w:hideMark/>
          </w:tcPr>
          <w:p w14:paraId="1F51F477"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4/3</w:t>
            </w:r>
          </w:p>
        </w:tc>
      </w:tr>
      <w:tr w:rsidR="00416D67" w:rsidRPr="00416D67" w14:paraId="1587D990"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583C40B"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 xml:space="preserve"> </w:t>
            </w:r>
          </w:p>
        </w:tc>
        <w:tc>
          <w:tcPr>
            <w:tcW w:w="848" w:type="dxa"/>
            <w:tcBorders>
              <w:top w:val="single" w:sz="4" w:space="0" w:color="auto"/>
              <w:left w:val="nil"/>
              <w:bottom w:val="single" w:sz="4" w:space="0" w:color="auto"/>
              <w:right w:val="single" w:sz="4" w:space="0" w:color="auto"/>
            </w:tcBorders>
            <w:shd w:val="clear" w:color="000000" w:fill="C0C0C0"/>
            <w:noWrap/>
            <w:vAlign w:val="bottom"/>
            <w:hideMark/>
          </w:tcPr>
          <w:p w14:paraId="4B04A500"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1</w:t>
            </w:r>
          </w:p>
        </w:tc>
        <w:tc>
          <w:tcPr>
            <w:tcW w:w="848" w:type="dxa"/>
            <w:tcBorders>
              <w:top w:val="single" w:sz="4" w:space="0" w:color="auto"/>
              <w:left w:val="nil"/>
              <w:bottom w:val="single" w:sz="4" w:space="0" w:color="auto"/>
              <w:right w:val="single" w:sz="4" w:space="0" w:color="auto"/>
            </w:tcBorders>
            <w:shd w:val="clear" w:color="000000" w:fill="C0C0C0"/>
            <w:noWrap/>
            <w:vAlign w:val="bottom"/>
            <w:hideMark/>
          </w:tcPr>
          <w:p w14:paraId="0C3AC406"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2</w:t>
            </w:r>
          </w:p>
        </w:tc>
        <w:tc>
          <w:tcPr>
            <w:tcW w:w="848" w:type="dxa"/>
            <w:tcBorders>
              <w:top w:val="single" w:sz="4" w:space="0" w:color="auto"/>
              <w:left w:val="nil"/>
              <w:bottom w:val="single" w:sz="4" w:space="0" w:color="auto"/>
              <w:right w:val="single" w:sz="4" w:space="0" w:color="auto"/>
            </w:tcBorders>
            <w:shd w:val="clear" w:color="000000" w:fill="C0C0C0"/>
            <w:noWrap/>
            <w:vAlign w:val="bottom"/>
            <w:hideMark/>
          </w:tcPr>
          <w:p w14:paraId="457ED78C"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3</w:t>
            </w:r>
          </w:p>
        </w:tc>
        <w:tc>
          <w:tcPr>
            <w:tcW w:w="848" w:type="dxa"/>
            <w:tcBorders>
              <w:top w:val="single" w:sz="4" w:space="0" w:color="auto"/>
              <w:left w:val="nil"/>
              <w:bottom w:val="single" w:sz="4" w:space="0" w:color="auto"/>
              <w:right w:val="single" w:sz="4" w:space="0" w:color="auto"/>
            </w:tcBorders>
            <w:shd w:val="clear" w:color="000000" w:fill="C0C0C0"/>
            <w:noWrap/>
            <w:vAlign w:val="bottom"/>
            <w:hideMark/>
          </w:tcPr>
          <w:p w14:paraId="2E1FE6A2"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4</w:t>
            </w:r>
          </w:p>
        </w:tc>
        <w:tc>
          <w:tcPr>
            <w:tcW w:w="739" w:type="dxa"/>
            <w:tcBorders>
              <w:top w:val="nil"/>
              <w:left w:val="nil"/>
              <w:bottom w:val="single" w:sz="4" w:space="0" w:color="auto"/>
              <w:right w:val="single" w:sz="4" w:space="0" w:color="auto"/>
            </w:tcBorders>
            <w:shd w:val="clear" w:color="000000" w:fill="C0C0C0"/>
            <w:noWrap/>
            <w:vAlign w:val="bottom"/>
            <w:hideMark/>
          </w:tcPr>
          <w:p w14:paraId="18DFA75A"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5</w:t>
            </w:r>
          </w:p>
        </w:tc>
        <w:tc>
          <w:tcPr>
            <w:tcW w:w="583" w:type="dxa"/>
            <w:tcBorders>
              <w:top w:val="single" w:sz="4" w:space="0" w:color="auto"/>
              <w:left w:val="nil"/>
              <w:bottom w:val="single" w:sz="4" w:space="0" w:color="auto"/>
              <w:right w:val="single" w:sz="4" w:space="0" w:color="auto"/>
            </w:tcBorders>
            <w:shd w:val="clear" w:color="000000" w:fill="C0C0C0"/>
            <w:noWrap/>
            <w:vAlign w:val="bottom"/>
            <w:hideMark/>
          </w:tcPr>
          <w:p w14:paraId="5723DAA5" w14:textId="77777777" w:rsidR="00416D67" w:rsidRPr="00416D67" w:rsidRDefault="00416D67" w:rsidP="00416D67">
            <w:pPr>
              <w:jc w:val="center"/>
              <w:rPr>
                <w:rFonts w:ascii="Arial" w:hAnsi="Arial" w:cs="Arial"/>
                <w:i/>
                <w:iCs/>
                <w:sz w:val="14"/>
                <w:szCs w:val="14"/>
              </w:rPr>
            </w:pPr>
            <w:r w:rsidRPr="00416D67">
              <w:rPr>
                <w:rFonts w:ascii="Arial" w:hAnsi="Arial" w:cs="Arial"/>
                <w:i/>
                <w:iCs/>
                <w:sz w:val="14"/>
                <w:szCs w:val="14"/>
              </w:rPr>
              <w:t>6</w:t>
            </w:r>
          </w:p>
        </w:tc>
      </w:tr>
      <w:tr w:rsidR="00416D67" w:rsidRPr="00416D67" w14:paraId="21A3E1D6"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17B2393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 SVEUKUPNI RASHODI</w:t>
            </w:r>
          </w:p>
        </w:tc>
        <w:tc>
          <w:tcPr>
            <w:tcW w:w="848" w:type="dxa"/>
            <w:tcBorders>
              <w:top w:val="single" w:sz="4" w:space="0" w:color="auto"/>
              <w:left w:val="nil"/>
              <w:bottom w:val="single" w:sz="4" w:space="0" w:color="auto"/>
              <w:right w:val="single" w:sz="4" w:space="0" w:color="auto"/>
            </w:tcBorders>
            <w:noWrap/>
            <w:vAlign w:val="bottom"/>
            <w:hideMark/>
          </w:tcPr>
          <w:p w14:paraId="2B48B20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5.250.264,10</w:t>
            </w:r>
          </w:p>
        </w:tc>
        <w:tc>
          <w:tcPr>
            <w:tcW w:w="848" w:type="dxa"/>
            <w:tcBorders>
              <w:top w:val="single" w:sz="4" w:space="0" w:color="auto"/>
              <w:left w:val="nil"/>
              <w:bottom w:val="single" w:sz="4" w:space="0" w:color="auto"/>
              <w:right w:val="single" w:sz="4" w:space="0" w:color="auto"/>
            </w:tcBorders>
            <w:noWrap/>
            <w:vAlign w:val="bottom"/>
            <w:hideMark/>
          </w:tcPr>
          <w:p w14:paraId="1EE30E0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8.896.596,24</w:t>
            </w:r>
          </w:p>
        </w:tc>
        <w:tc>
          <w:tcPr>
            <w:tcW w:w="848" w:type="dxa"/>
            <w:tcBorders>
              <w:top w:val="single" w:sz="4" w:space="0" w:color="auto"/>
              <w:left w:val="nil"/>
              <w:bottom w:val="single" w:sz="4" w:space="0" w:color="auto"/>
              <w:right w:val="single" w:sz="4" w:space="0" w:color="auto"/>
            </w:tcBorders>
            <w:noWrap/>
            <w:vAlign w:val="bottom"/>
            <w:hideMark/>
          </w:tcPr>
          <w:p w14:paraId="079E586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8.896.596,24</w:t>
            </w:r>
          </w:p>
        </w:tc>
        <w:tc>
          <w:tcPr>
            <w:tcW w:w="848" w:type="dxa"/>
            <w:tcBorders>
              <w:top w:val="single" w:sz="4" w:space="0" w:color="auto"/>
              <w:left w:val="nil"/>
              <w:bottom w:val="single" w:sz="4" w:space="0" w:color="auto"/>
              <w:right w:val="single" w:sz="4" w:space="0" w:color="auto"/>
            </w:tcBorders>
            <w:noWrap/>
            <w:vAlign w:val="bottom"/>
            <w:hideMark/>
          </w:tcPr>
          <w:p w14:paraId="60B1EE7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6.587.292,79</w:t>
            </w:r>
          </w:p>
        </w:tc>
        <w:tc>
          <w:tcPr>
            <w:tcW w:w="739" w:type="dxa"/>
            <w:tcBorders>
              <w:top w:val="nil"/>
              <w:left w:val="nil"/>
              <w:bottom w:val="single" w:sz="4" w:space="0" w:color="auto"/>
              <w:right w:val="single" w:sz="4" w:space="0" w:color="auto"/>
            </w:tcBorders>
            <w:noWrap/>
            <w:vAlign w:val="bottom"/>
            <w:hideMark/>
          </w:tcPr>
          <w:p w14:paraId="2516018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121,14%</w:t>
            </w:r>
          </w:p>
        </w:tc>
        <w:tc>
          <w:tcPr>
            <w:tcW w:w="583" w:type="dxa"/>
            <w:tcBorders>
              <w:top w:val="single" w:sz="4" w:space="0" w:color="auto"/>
              <w:left w:val="nil"/>
              <w:bottom w:val="single" w:sz="4" w:space="0" w:color="auto"/>
              <w:right w:val="single" w:sz="4" w:space="0" w:color="auto"/>
            </w:tcBorders>
            <w:noWrap/>
            <w:vAlign w:val="bottom"/>
            <w:hideMark/>
          </w:tcPr>
          <w:p w14:paraId="5846728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71,49%</w:t>
            </w:r>
          </w:p>
        </w:tc>
      </w:tr>
      <w:tr w:rsidR="00416D67" w:rsidRPr="00416D67" w14:paraId="40129C17"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71B84D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1. Opći prihodi i primici</w:t>
            </w:r>
          </w:p>
        </w:tc>
        <w:tc>
          <w:tcPr>
            <w:tcW w:w="848" w:type="dxa"/>
            <w:tcBorders>
              <w:top w:val="single" w:sz="4" w:space="0" w:color="auto"/>
              <w:left w:val="nil"/>
              <w:bottom w:val="single" w:sz="4" w:space="0" w:color="auto"/>
              <w:right w:val="single" w:sz="4" w:space="0" w:color="auto"/>
            </w:tcBorders>
            <w:shd w:val="clear" w:color="000000" w:fill="FFFF00"/>
            <w:noWrap/>
            <w:vAlign w:val="bottom"/>
            <w:hideMark/>
          </w:tcPr>
          <w:p w14:paraId="65C40B7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3.069.305,49</w:t>
            </w:r>
          </w:p>
        </w:tc>
        <w:tc>
          <w:tcPr>
            <w:tcW w:w="848" w:type="dxa"/>
            <w:tcBorders>
              <w:top w:val="single" w:sz="4" w:space="0" w:color="auto"/>
              <w:left w:val="nil"/>
              <w:bottom w:val="single" w:sz="4" w:space="0" w:color="auto"/>
              <w:right w:val="single" w:sz="4" w:space="0" w:color="auto"/>
            </w:tcBorders>
            <w:shd w:val="clear" w:color="000000" w:fill="FFFF00"/>
            <w:noWrap/>
            <w:vAlign w:val="bottom"/>
            <w:hideMark/>
          </w:tcPr>
          <w:p w14:paraId="2CF99D0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3.883.017,09</w:t>
            </w:r>
          </w:p>
        </w:tc>
        <w:tc>
          <w:tcPr>
            <w:tcW w:w="848" w:type="dxa"/>
            <w:tcBorders>
              <w:top w:val="single" w:sz="4" w:space="0" w:color="auto"/>
              <w:left w:val="nil"/>
              <w:bottom w:val="single" w:sz="4" w:space="0" w:color="auto"/>
              <w:right w:val="single" w:sz="4" w:space="0" w:color="auto"/>
            </w:tcBorders>
            <w:shd w:val="clear" w:color="000000" w:fill="FFFF00"/>
            <w:noWrap/>
            <w:vAlign w:val="bottom"/>
            <w:hideMark/>
          </w:tcPr>
          <w:p w14:paraId="7F097DC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3.883.017,09</w:t>
            </w:r>
          </w:p>
        </w:tc>
        <w:tc>
          <w:tcPr>
            <w:tcW w:w="848" w:type="dxa"/>
            <w:tcBorders>
              <w:top w:val="single" w:sz="4" w:space="0" w:color="auto"/>
              <w:left w:val="nil"/>
              <w:bottom w:val="single" w:sz="4" w:space="0" w:color="auto"/>
              <w:right w:val="single" w:sz="4" w:space="0" w:color="auto"/>
            </w:tcBorders>
            <w:shd w:val="clear" w:color="000000" w:fill="FFFF00"/>
            <w:noWrap/>
            <w:vAlign w:val="bottom"/>
            <w:hideMark/>
          </w:tcPr>
          <w:p w14:paraId="2A2B985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3.322.345,06</w:t>
            </w:r>
          </w:p>
        </w:tc>
        <w:tc>
          <w:tcPr>
            <w:tcW w:w="739" w:type="dxa"/>
            <w:tcBorders>
              <w:top w:val="nil"/>
              <w:left w:val="nil"/>
              <w:bottom w:val="single" w:sz="4" w:space="0" w:color="auto"/>
              <w:right w:val="single" w:sz="4" w:space="0" w:color="auto"/>
            </w:tcBorders>
            <w:shd w:val="clear" w:color="000000" w:fill="FFFF00"/>
            <w:noWrap/>
            <w:vAlign w:val="bottom"/>
            <w:hideMark/>
          </w:tcPr>
          <w:p w14:paraId="657FC8B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105,36%</w:t>
            </w:r>
          </w:p>
        </w:tc>
        <w:tc>
          <w:tcPr>
            <w:tcW w:w="583" w:type="dxa"/>
            <w:tcBorders>
              <w:top w:val="single" w:sz="4" w:space="0" w:color="auto"/>
              <w:left w:val="nil"/>
              <w:bottom w:val="single" w:sz="4" w:space="0" w:color="auto"/>
              <w:right w:val="single" w:sz="4" w:space="0" w:color="auto"/>
            </w:tcBorders>
            <w:shd w:val="clear" w:color="000000" w:fill="FFFF00"/>
            <w:noWrap/>
            <w:vAlign w:val="bottom"/>
            <w:hideMark/>
          </w:tcPr>
          <w:p w14:paraId="724444D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83,28%</w:t>
            </w:r>
          </w:p>
        </w:tc>
      </w:tr>
      <w:tr w:rsidR="00416D67" w:rsidRPr="00416D67" w14:paraId="0DD202A2"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24FAF50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1.1. 01 Opći prihodi i primici</w:t>
            </w:r>
          </w:p>
        </w:tc>
        <w:tc>
          <w:tcPr>
            <w:tcW w:w="848" w:type="dxa"/>
            <w:tcBorders>
              <w:top w:val="single" w:sz="4" w:space="0" w:color="auto"/>
              <w:left w:val="nil"/>
              <w:bottom w:val="single" w:sz="4" w:space="0" w:color="auto"/>
              <w:right w:val="single" w:sz="4" w:space="0" w:color="auto"/>
            </w:tcBorders>
            <w:noWrap/>
            <w:vAlign w:val="bottom"/>
            <w:hideMark/>
          </w:tcPr>
          <w:p w14:paraId="4A97AD4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3.069.305,49</w:t>
            </w:r>
          </w:p>
        </w:tc>
        <w:tc>
          <w:tcPr>
            <w:tcW w:w="848" w:type="dxa"/>
            <w:tcBorders>
              <w:top w:val="single" w:sz="4" w:space="0" w:color="auto"/>
              <w:left w:val="nil"/>
              <w:bottom w:val="single" w:sz="4" w:space="0" w:color="auto"/>
              <w:right w:val="single" w:sz="4" w:space="0" w:color="auto"/>
            </w:tcBorders>
            <w:noWrap/>
            <w:vAlign w:val="bottom"/>
            <w:hideMark/>
          </w:tcPr>
          <w:p w14:paraId="37DEF6B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3.883.017,09</w:t>
            </w:r>
          </w:p>
        </w:tc>
        <w:tc>
          <w:tcPr>
            <w:tcW w:w="848" w:type="dxa"/>
            <w:tcBorders>
              <w:top w:val="single" w:sz="4" w:space="0" w:color="auto"/>
              <w:left w:val="nil"/>
              <w:bottom w:val="single" w:sz="4" w:space="0" w:color="auto"/>
              <w:right w:val="single" w:sz="4" w:space="0" w:color="auto"/>
            </w:tcBorders>
            <w:noWrap/>
            <w:vAlign w:val="bottom"/>
            <w:hideMark/>
          </w:tcPr>
          <w:p w14:paraId="7FABFC0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3.883.017,09</w:t>
            </w:r>
          </w:p>
        </w:tc>
        <w:tc>
          <w:tcPr>
            <w:tcW w:w="848" w:type="dxa"/>
            <w:tcBorders>
              <w:top w:val="single" w:sz="4" w:space="0" w:color="auto"/>
              <w:left w:val="nil"/>
              <w:bottom w:val="single" w:sz="4" w:space="0" w:color="auto"/>
              <w:right w:val="single" w:sz="4" w:space="0" w:color="auto"/>
            </w:tcBorders>
            <w:noWrap/>
            <w:vAlign w:val="bottom"/>
            <w:hideMark/>
          </w:tcPr>
          <w:p w14:paraId="03F1B80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3.290.728,51</w:t>
            </w:r>
          </w:p>
        </w:tc>
        <w:tc>
          <w:tcPr>
            <w:tcW w:w="739" w:type="dxa"/>
            <w:tcBorders>
              <w:top w:val="nil"/>
              <w:left w:val="nil"/>
              <w:bottom w:val="single" w:sz="4" w:space="0" w:color="auto"/>
              <w:right w:val="single" w:sz="4" w:space="0" w:color="auto"/>
            </w:tcBorders>
            <w:noWrap/>
            <w:vAlign w:val="bottom"/>
            <w:hideMark/>
          </w:tcPr>
          <w:p w14:paraId="6B2D794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105,36%</w:t>
            </w:r>
          </w:p>
        </w:tc>
        <w:tc>
          <w:tcPr>
            <w:tcW w:w="583" w:type="dxa"/>
            <w:tcBorders>
              <w:top w:val="single" w:sz="4" w:space="0" w:color="auto"/>
              <w:left w:val="nil"/>
              <w:bottom w:val="single" w:sz="4" w:space="0" w:color="auto"/>
              <w:right w:val="single" w:sz="4" w:space="0" w:color="auto"/>
            </w:tcBorders>
            <w:noWrap/>
            <w:vAlign w:val="bottom"/>
            <w:hideMark/>
          </w:tcPr>
          <w:p w14:paraId="4A933E8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83,28%</w:t>
            </w:r>
          </w:p>
        </w:tc>
      </w:tr>
      <w:tr w:rsidR="00416D67" w:rsidRPr="00416D67" w14:paraId="275ED75F"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4CBBA89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1.1.3 Porez ustupljeni dio za vatrogasne postrojbe</w:t>
            </w:r>
          </w:p>
        </w:tc>
        <w:tc>
          <w:tcPr>
            <w:tcW w:w="848" w:type="dxa"/>
            <w:tcBorders>
              <w:top w:val="single" w:sz="4" w:space="0" w:color="auto"/>
              <w:left w:val="nil"/>
              <w:bottom w:val="single" w:sz="4" w:space="0" w:color="auto"/>
              <w:right w:val="single" w:sz="4" w:space="0" w:color="auto"/>
            </w:tcBorders>
            <w:noWrap/>
            <w:vAlign w:val="bottom"/>
            <w:hideMark/>
          </w:tcPr>
          <w:p w14:paraId="563E807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848" w:type="dxa"/>
            <w:tcBorders>
              <w:top w:val="single" w:sz="4" w:space="0" w:color="auto"/>
              <w:left w:val="nil"/>
              <w:bottom w:val="single" w:sz="4" w:space="0" w:color="auto"/>
              <w:right w:val="single" w:sz="4" w:space="0" w:color="auto"/>
            </w:tcBorders>
            <w:noWrap/>
            <w:vAlign w:val="bottom"/>
            <w:hideMark/>
          </w:tcPr>
          <w:p w14:paraId="36D435F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37.500,00</w:t>
            </w:r>
          </w:p>
        </w:tc>
        <w:tc>
          <w:tcPr>
            <w:tcW w:w="848" w:type="dxa"/>
            <w:tcBorders>
              <w:top w:val="single" w:sz="4" w:space="0" w:color="auto"/>
              <w:left w:val="nil"/>
              <w:bottom w:val="single" w:sz="4" w:space="0" w:color="auto"/>
              <w:right w:val="single" w:sz="4" w:space="0" w:color="auto"/>
            </w:tcBorders>
            <w:noWrap/>
            <w:vAlign w:val="bottom"/>
            <w:hideMark/>
          </w:tcPr>
          <w:p w14:paraId="0628316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37.500,00</w:t>
            </w:r>
          </w:p>
        </w:tc>
        <w:tc>
          <w:tcPr>
            <w:tcW w:w="848" w:type="dxa"/>
            <w:tcBorders>
              <w:top w:val="single" w:sz="4" w:space="0" w:color="auto"/>
              <w:left w:val="nil"/>
              <w:bottom w:val="single" w:sz="4" w:space="0" w:color="auto"/>
              <w:right w:val="single" w:sz="4" w:space="0" w:color="auto"/>
            </w:tcBorders>
            <w:noWrap/>
            <w:vAlign w:val="bottom"/>
            <w:hideMark/>
          </w:tcPr>
          <w:p w14:paraId="4EFC3E5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31.616,55</w:t>
            </w:r>
          </w:p>
        </w:tc>
        <w:tc>
          <w:tcPr>
            <w:tcW w:w="739" w:type="dxa"/>
            <w:tcBorders>
              <w:top w:val="nil"/>
              <w:left w:val="nil"/>
              <w:bottom w:val="single" w:sz="4" w:space="0" w:color="auto"/>
              <w:right w:val="single" w:sz="4" w:space="0" w:color="auto"/>
            </w:tcBorders>
            <w:noWrap/>
            <w:vAlign w:val="bottom"/>
            <w:hideMark/>
          </w:tcPr>
          <w:p w14:paraId="3DF08E7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583" w:type="dxa"/>
            <w:tcBorders>
              <w:top w:val="single" w:sz="4" w:space="0" w:color="auto"/>
              <w:left w:val="nil"/>
              <w:bottom w:val="single" w:sz="4" w:space="0" w:color="auto"/>
              <w:right w:val="single" w:sz="4" w:space="0" w:color="auto"/>
            </w:tcBorders>
            <w:noWrap/>
            <w:vAlign w:val="bottom"/>
            <w:hideMark/>
          </w:tcPr>
          <w:p w14:paraId="50960C3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7F81C488"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C791EF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3. Vlastiti prihodi</w:t>
            </w:r>
          </w:p>
        </w:tc>
        <w:tc>
          <w:tcPr>
            <w:tcW w:w="848" w:type="dxa"/>
            <w:tcBorders>
              <w:top w:val="single" w:sz="4" w:space="0" w:color="auto"/>
              <w:left w:val="nil"/>
              <w:bottom w:val="single" w:sz="4" w:space="0" w:color="auto"/>
              <w:right w:val="single" w:sz="4" w:space="0" w:color="auto"/>
            </w:tcBorders>
            <w:shd w:val="clear" w:color="000000" w:fill="FFFF00"/>
            <w:noWrap/>
            <w:vAlign w:val="bottom"/>
            <w:hideMark/>
          </w:tcPr>
          <w:p w14:paraId="4DA6DB0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41.992,50</w:t>
            </w:r>
          </w:p>
        </w:tc>
        <w:tc>
          <w:tcPr>
            <w:tcW w:w="848" w:type="dxa"/>
            <w:tcBorders>
              <w:top w:val="single" w:sz="4" w:space="0" w:color="auto"/>
              <w:left w:val="nil"/>
              <w:bottom w:val="single" w:sz="4" w:space="0" w:color="auto"/>
              <w:right w:val="single" w:sz="4" w:space="0" w:color="auto"/>
            </w:tcBorders>
            <w:shd w:val="clear" w:color="000000" w:fill="FFFF00"/>
            <w:noWrap/>
            <w:vAlign w:val="bottom"/>
            <w:hideMark/>
          </w:tcPr>
          <w:p w14:paraId="152E676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43.830,20</w:t>
            </w:r>
          </w:p>
        </w:tc>
        <w:tc>
          <w:tcPr>
            <w:tcW w:w="848" w:type="dxa"/>
            <w:tcBorders>
              <w:top w:val="single" w:sz="4" w:space="0" w:color="auto"/>
              <w:left w:val="nil"/>
              <w:bottom w:val="single" w:sz="4" w:space="0" w:color="auto"/>
              <w:right w:val="single" w:sz="4" w:space="0" w:color="auto"/>
            </w:tcBorders>
            <w:shd w:val="clear" w:color="000000" w:fill="FFFF00"/>
            <w:noWrap/>
            <w:vAlign w:val="bottom"/>
            <w:hideMark/>
          </w:tcPr>
          <w:p w14:paraId="3041A08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43.830,20</w:t>
            </w:r>
          </w:p>
        </w:tc>
        <w:tc>
          <w:tcPr>
            <w:tcW w:w="848" w:type="dxa"/>
            <w:tcBorders>
              <w:top w:val="single" w:sz="4" w:space="0" w:color="auto"/>
              <w:left w:val="nil"/>
              <w:bottom w:val="single" w:sz="4" w:space="0" w:color="auto"/>
              <w:right w:val="single" w:sz="4" w:space="0" w:color="auto"/>
            </w:tcBorders>
            <w:shd w:val="clear" w:color="000000" w:fill="FFFF00"/>
            <w:noWrap/>
            <w:vAlign w:val="bottom"/>
            <w:hideMark/>
          </w:tcPr>
          <w:p w14:paraId="60B91BA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42.174,92</w:t>
            </w:r>
          </w:p>
        </w:tc>
        <w:tc>
          <w:tcPr>
            <w:tcW w:w="739" w:type="dxa"/>
            <w:tcBorders>
              <w:top w:val="nil"/>
              <w:left w:val="nil"/>
              <w:bottom w:val="single" w:sz="4" w:space="0" w:color="auto"/>
              <w:right w:val="single" w:sz="4" w:space="0" w:color="auto"/>
            </w:tcBorders>
            <w:shd w:val="clear" w:color="000000" w:fill="FFFF00"/>
            <w:noWrap/>
            <w:vAlign w:val="bottom"/>
            <w:hideMark/>
          </w:tcPr>
          <w:p w14:paraId="3867057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100,43%</w:t>
            </w:r>
          </w:p>
        </w:tc>
        <w:tc>
          <w:tcPr>
            <w:tcW w:w="583" w:type="dxa"/>
            <w:tcBorders>
              <w:top w:val="single" w:sz="4" w:space="0" w:color="auto"/>
              <w:left w:val="nil"/>
              <w:bottom w:val="single" w:sz="4" w:space="0" w:color="auto"/>
              <w:right w:val="single" w:sz="4" w:space="0" w:color="auto"/>
            </w:tcBorders>
            <w:shd w:val="clear" w:color="000000" w:fill="FFFF00"/>
            <w:noWrap/>
            <w:vAlign w:val="bottom"/>
            <w:hideMark/>
          </w:tcPr>
          <w:p w14:paraId="6348EB8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96,22%</w:t>
            </w:r>
          </w:p>
        </w:tc>
      </w:tr>
      <w:tr w:rsidR="00416D67" w:rsidRPr="00416D67" w14:paraId="38AE3782"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305D91B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3.1. 03 Vlastiti prihodi</w:t>
            </w:r>
          </w:p>
        </w:tc>
        <w:tc>
          <w:tcPr>
            <w:tcW w:w="848" w:type="dxa"/>
            <w:tcBorders>
              <w:top w:val="single" w:sz="4" w:space="0" w:color="auto"/>
              <w:left w:val="nil"/>
              <w:bottom w:val="single" w:sz="4" w:space="0" w:color="auto"/>
              <w:right w:val="single" w:sz="4" w:space="0" w:color="auto"/>
            </w:tcBorders>
            <w:noWrap/>
            <w:vAlign w:val="bottom"/>
            <w:hideMark/>
          </w:tcPr>
          <w:p w14:paraId="10ABDA2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13.175,67</w:t>
            </w:r>
          </w:p>
        </w:tc>
        <w:tc>
          <w:tcPr>
            <w:tcW w:w="848" w:type="dxa"/>
            <w:tcBorders>
              <w:top w:val="single" w:sz="4" w:space="0" w:color="auto"/>
              <w:left w:val="nil"/>
              <w:bottom w:val="single" w:sz="4" w:space="0" w:color="auto"/>
              <w:right w:val="single" w:sz="4" w:space="0" w:color="auto"/>
            </w:tcBorders>
            <w:noWrap/>
            <w:vAlign w:val="bottom"/>
            <w:hideMark/>
          </w:tcPr>
          <w:p w14:paraId="2BDC8DE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15.830,20</w:t>
            </w:r>
          </w:p>
        </w:tc>
        <w:tc>
          <w:tcPr>
            <w:tcW w:w="848" w:type="dxa"/>
            <w:tcBorders>
              <w:top w:val="single" w:sz="4" w:space="0" w:color="auto"/>
              <w:left w:val="nil"/>
              <w:bottom w:val="single" w:sz="4" w:space="0" w:color="auto"/>
              <w:right w:val="single" w:sz="4" w:space="0" w:color="auto"/>
            </w:tcBorders>
            <w:noWrap/>
            <w:vAlign w:val="bottom"/>
            <w:hideMark/>
          </w:tcPr>
          <w:p w14:paraId="473D26F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15.830,20</w:t>
            </w:r>
          </w:p>
        </w:tc>
        <w:tc>
          <w:tcPr>
            <w:tcW w:w="848" w:type="dxa"/>
            <w:tcBorders>
              <w:top w:val="single" w:sz="4" w:space="0" w:color="auto"/>
              <w:left w:val="nil"/>
              <w:bottom w:val="single" w:sz="4" w:space="0" w:color="auto"/>
              <w:right w:val="single" w:sz="4" w:space="0" w:color="auto"/>
            </w:tcBorders>
            <w:noWrap/>
            <w:vAlign w:val="bottom"/>
            <w:hideMark/>
          </w:tcPr>
          <w:p w14:paraId="100DC81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14.770,52</w:t>
            </w:r>
          </w:p>
        </w:tc>
        <w:tc>
          <w:tcPr>
            <w:tcW w:w="739" w:type="dxa"/>
            <w:tcBorders>
              <w:top w:val="nil"/>
              <w:left w:val="nil"/>
              <w:bottom w:val="single" w:sz="4" w:space="0" w:color="auto"/>
              <w:right w:val="single" w:sz="4" w:space="0" w:color="auto"/>
            </w:tcBorders>
            <w:noWrap/>
            <w:vAlign w:val="bottom"/>
            <w:hideMark/>
          </w:tcPr>
          <w:p w14:paraId="7BC146A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112,10%</w:t>
            </w:r>
          </w:p>
        </w:tc>
        <w:tc>
          <w:tcPr>
            <w:tcW w:w="583" w:type="dxa"/>
            <w:tcBorders>
              <w:top w:val="single" w:sz="4" w:space="0" w:color="auto"/>
              <w:left w:val="nil"/>
              <w:bottom w:val="single" w:sz="4" w:space="0" w:color="auto"/>
              <w:right w:val="single" w:sz="4" w:space="0" w:color="auto"/>
            </w:tcBorders>
            <w:noWrap/>
            <w:vAlign w:val="bottom"/>
            <w:hideMark/>
          </w:tcPr>
          <w:p w14:paraId="40C09F5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93,31%</w:t>
            </w:r>
          </w:p>
        </w:tc>
      </w:tr>
      <w:tr w:rsidR="00416D67" w:rsidRPr="00416D67" w14:paraId="01DF5A97"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0E943AB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3.4. Vlastiti prihodi PK</w:t>
            </w:r>
          </w:p>
        </w:tc>
        <w:tc>
          <w:tcPr>
            <w:tcW w:w="848" w:type="dxa"/>
            <w:tcBorders>
              <w:top w:val="single" w:sz="4" w:space="0" w:color="auto"/>
              <w:left w:val="nil"/>
              <w:bottom w:val="single" w:sz="4" w:space="0" w:color="auto"/>
              <w:right w:val="single" w:sz="4" w:space="0" w:color="auto"/>
            </w:tcBorders>
            <w:noWrap/>
            <w:vAlign w:val="bottom"/>
            <w:hideMark/>
          </w:tcPr>
          <w:p w14:paraId="679D32B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28.816,83</w:t>
            </w:r>
          </w:p>
        </w:tc>
        <w:tc>
          <w:tcPr>
            <w:tcW w:w="848" w:type="dxa"/>
            <w:tcBorders>
              <w:top w:val="single" w:sz="4" w:space="0" w:color="auto"/>
              <w:left w:val="nil"/>
              <w:bottom w:val="single" w:sz="4" w:space="0" w:color="auto"/>
              <w:right w:val="single" w:sz="4" w:space="0" w:color="auto"/>
            </w:tcBorders>
            <w:noWrap/>
            <w:vAlign w:val="bottom"/>
            <w:hideMark/>
          </w:tcPr>
          <w:p w14:paraId="14AF146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28.000,00</w:t>
            </w:r>
          </w:p>
        </w:tc>
        <w:tc>
          <w:tcPr>
            <w:tcW w:w="848" w:type="dxa"/>
            <w:tcBorders>
              <w:top w:val="single" w:sz="4" w:space="0" w:color="auto"/>
              <w:left w:val="nil"/>
              <w:bottom w:val="single" w:sz="4" w:space="0" w:color="auto"/>
              <w:right w:val="single" w:sz="4" w:space="0" w:color="auto"/>
            </w:tcBorders>
            <w:noWrap/>
            <w:vAlign w:val="bottom"/>
            <w:hideMark/>
          </w:tcPr>
          <w:p w14:paraId="1BADCA2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28.000,00</w:t>
            </w:r>
          </w:p>
        </w:tc>
        <w:tc>
          <w:tcPr>
            <w:tcW w:w="848" w:type="dxa"/>
            <w:tcBorders>
              <w:top w:val="single" w:sz="4" w:space="0" w:color="auto"/>
              <w:left w:val="nil"/>
              <w:bottom w:val="single" w:sz="4" w:space="0" w:color="auto"/>
              <w:right w:val="single" w:sz="4" w:space="0" w:color="auto"/>
            </w:tcBorders>
            <w:noWrap/>
            <w:vAlign w:val="bottom"/>
            <w:hideMark/>
          </w:tcPr>
          <w:p w14:paraId="7530BF6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27.404,40</w:t>
            </w:r>
          </w:p>
        </w:tc>
        <w:tc>
          <w:tcPr>
            <w:tcW w:w="739" w:type="dxa"/>
            <w:tcBorders>
              <w:top w:val="nil"/>
              <w:left w:val="nil"/>
              <w:bottom w:val="single" w:sz="4" w:space="0" w:color="auto"/>
              <w:right w:val="single" w:sz="4" w:space="0" w:color="auto"/>
            </w:tcBorders>
            <w:noWrap/>
            <w:vAlign w:val="bottom"/>
            <w:hideMark/>
          </w:tcPr>
          <w:p w14:paraId="6A2C146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95,10%</w:t>
            </w:r>
          </w:p>
        </w:tc>
        <w:tc>
          <w:tcPr>
            <w:tcW w:w="583" w:type="dxa"/>
            <w:tcBorders>
              <w:top w:val="single" w:sz="4" w:space="0" w:color="auto"/>
              <w:left w:val="nil"/>
              <w:bottom w:val="single" w:sz="4" w:space="0" w:color="auto"/>
              <w:right w:val="single" w:sz="4" w:space="0" w:color="auto"/>
            </w:tcBorders>
            <w:noWrap/>
            <w:vAlign w:val="bottom"/>
            <w:hideMark/>
          </w:tcPr>
          <w:p w14:paraId="3817BDF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97,87%</w:t>
            </w:r>
          </w:p>
        </w:tc>
      </w:tr>
      <w:tr w:rsidR="00416D67" w:rsidRPr="00416D67" w14:paraId="69F6E9EB"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0A30C9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4. Prihodi za posebne namjene</w:t>
            </w:r>
          </w:p>
        </w:tc>
        <w:tc>
          <w:tcPr>
            <w:tcW w:w="848" w:type="dxa"/>
            <w:tcBorders>
              <w:top w:val="single" w:sz="4" w:space="0" w:color="auto"/>
              <w:left w:val="nil"/>
              <w:bottom w:val="single" w:sz="4" w:space="0" w:color="auto"/>
              <w:right w:val="single" w:sz="4" w:space="0" w:color="auto"/>
            </w:tcBorders>
            <w:shd w:val="clear" w:color="000000" w:fill="FFFF00"/>
            <w:noWrap/>
            <w:vAlign w:val="bottom"/>
            <w:hideMark/>
          </w:tcPr>
          <w:p w14:paraId="3A2831B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1.259.301,51</w:t>
            </w:r>
          </w:p>
        </w:tc>
        <w:tc>
          <w:tcPr>
            <w:tcW w:w="848" w:type="dxa"/>
            <w:tcBorders>
              <w:top w:val="single" w:sz="4" w:space="0" w:color="auto"/>
              <w:left w:val="nil"/>
              <w:bottom w:val="single" w:sz="4" w:space="0" w:color="auto"/>
              <w:right w:val="single" w:sz="4" w:space="0" w:color="auto"/>
            </w:tcBorders>
            <w:shd w:val="clear" w:color="000000" w:fill="FFFF00"/>
            <w:noWrap/>
            <w:vAlign w:val="bottom"/>
            <w:hideMark/>
          </w:tcPr>
          <w:p w14:paraId="33071C8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1.351.541,43</w:t>
            </w:r>
          </w:p>
        </w:tc>
        <w:tc>
          <w:tcPr>
            <w:tcW w:w="848" w:type="dxa"/>
            <w:tcBorders>
              <w:top w:val="single" w:sz="4" w:space="0" w:color="auto"/>
              <w:left w:val="nil"/>
              <w:bottom w:val="single" w:sz="4" w:space="0" w:color="auto"/>
              <w:right w:val="single" w:sz="4" w:space="0" w:color="auto"/>
            </w:tcBorders>
            <w:shd w:val="clear" w:color="000000" w:fill="FFFF00"/>
            <w:noWrap/>
            <w:vAlign w:val="bottom"/>
            <w:hideMark/>
          </w:tcPr>
          <w:p w14:paraId="32DD6C7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1.351.541,43</w:t>
            </w:r>
          </w:p>
        </w:tc>
        <w:tc>
          <w:tcPr>
            <w:tcW w:w="848" w:type="dxa"/>
            <w:tcBorders>
              <w:top w:val="single" w:sz="4" w:space="0" w:color="auto"/>
              <w:left w:val="nil"/>
              <w:bottom w:val="single" w:sz="4" w:space="0" w:color="auto"/>
              <w:right w:val="single" w:sz="4" w:space="0" w:color="auto"/>
            </w:tcBorders>
            <w:shd w:val="clear" w:color="000000" w:fill="FFFF00"/>
            <w:noWrap/>
            <w:vAlign w:val="bottom"/>
            <w:hideMark/>
          </w:tcPr>
          <w:p w14:paraId="7396BE6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1.356.024,47</w:t>
            </w:r>
          </w:p>
        </w:tc>
        <w:tc>
          <w:tcPr>
            <w:tcW w:w="739" w:type="dxa"/>
            <w:tcBorders>
              <w:top w:val="nil"/>
              <w:left w:val="nil"/>
              <w:bottom w:val="single" w:sz="4" w:space="0" w:color="auto"/>
              <w:right w:val="single" w:sz="4" w:space="0" w:color="auto"/>
            </w:tcBorders>
            <w:shd w:val="clear" w:color="000000" w:fill="FFFF00"/>
            <w:noWrap/>
            <w:vAlign w:val="bottom"/>
            <w:hideMark/>
          </w:tcPr>
          <w:p w14:paraId="7913B04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107,68%</w:t>
            </w:r>
          </w:p>
        </w:tc>
        <w:tc>
          <w:tcPr>
            <w:tcW w:w="583" w:type="dxa"/>
            <w:tcBorders>
              <w:top w:val="single" w:sz="4" w:space="0" w:color="auto"/>
              <w:left w:val="nil"/>
              <w:bottom w:val="single" w:sz="4" w:space="0" w:color="auto"/>
              <w:right w:val="single" w:sz="4" w:space="0" w:color="auto"/>
            </w:tcBorders>
            <w:shd w:val="clear" w:color="000000" w:fill="FFFF00"/>
            <w:noWrap/>
            <w:vAlign w:val="bottom"/>
            <w:hideMark/>
          </w:tcPr>
          <w:p w14:paraId="035EE15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100,33%</w:t>
            </w:r>
          </w:p>
        </w:tc>
      </w:tr>
      <w:tr w:rsidR="00416D67" w:rsidRPr="00416D67" w14:paraId="43CE309C"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4078C22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4.1. Prihodi za posebne namjene komunalna naknada</w:t>
            </w:r>
          </w:p>
        </w:tc>
        <w:tc>
          <w:tcPr>
            <w:tcW w:w="848" w:type="dxa"/>
            <w:tcBorders>
              <w:top w:val="single" w:sz="4" w:space="0" w:color="auto"/>
              <w:left w:val="nil"/>
              <w:bottom w:val="single" w:sz="4" w:space="0" w:color="auto"/>
              <w:right w:val="single" w:sz="4" w:space="0" w:color="auto"/>
            </w:tcBorders>
            <w:noWrap/>
            <w:vAlign w:val="bottom"/>
            <w:hideMark/>
          </w:tcPr>
          <w:p w14:paraId="73BC12B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191.099,55</w:t>
            </w:r>
          </w:p>
        </w:tc>
        <w:tc>
          <w:tcPr>
            <w:tcW w:w="848" w:type="dxa"/>
            <w:tcBorders>
              <w:top w:val="single" w:sz="4" w:space="0" w:color="auto"/>
              <w:left w:val="nil"/>
              <w:bottom w:val="single" w:sz="4" w:space="0" w:color="auto"/>
              <w:right w:val="single" w:sz="4" w:space="0" w:color="auto"/>
            </w:tcBorders>
            <w:noWrap/>
            <w:vAlign w:val="bottom"/>
            <w:hideMark/>
          </w:tcPr>
          <w:p w14:paraId="11273FE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210.000,00</w:t>
            </w:r>
          </w:p>
        </w:tc>
        <w:tc>
          <w:tcPr>
            <w:tcW w:w="848" w:type="dxa"/>
            <w:tcBorders>
              <w:top w:val="single" w:sz="4" w:space="0" w:color="auto"/>
              <w:left w:val="nil"/>
              <w:bottom w:val="single" w:sz="4" w:space="0" w:color="auto"/>
              <w:right w:val="single" w:sz="4" w:space="0" w:color="auto"/>
            </w:tcBorders>
            <w:noWrap/>
            <w:vAlign w:val="bottom"/>
            <w:hideMark/>
          </w:tcPr>
          <w:p w14:paraId="29CACAE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210.000,00</w:t>
            </w:r>
          </w:p>
        </w:tc>
        <w:tc>
          <w:tcPr>
            <w:tcW w:w="848" w:type="dxa"/>
            <w:tcBorders>
              <w:top w:val="single" w:sz="4" w:space="0" w:color="auto"/>
              <w:left w:val="nil"/>
              <w:bottom w:val="single" w:sz="4" w:space="0" w:color="auto"/>
              <w:right w:val="single" w:sz="4" w:space="0" w:color="auto"/>
            </w:tcBorders>
            <w:noWrap/>
            <w:vAlign w:val="bottom"/>
            <w:hideMark/>
          </w:tcPr>
          <w:p w14:paraId="63D68E7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195.690,03</w:t>
            </w:r>
          </w:p>
        </w:tc>
        <w:tc>
          <w:tcPr>
            <w:tcW w:w="739" w:type="dxa"/>
            <w:tcBorders>
              <w:top w:val="nil"/>
              <w:left w:val="nil"/>
              <w:bottom w:val="single" w:sz="4" w:space="0" w:color="auto"/>
              <w:right w:val="single" w:sz="4" w:space="0" w:color="auto"/>
            </w:tcBorders>
            <w:noWrap/>
            <w:vAlign w:val="bottom"/>
            <w:hideMark/>
          </w:tcPr>
          <w:p w14:paraId="3923DB1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102,40%</w:t>
            </w:r>
          </w:p>
        </w:tc>
        <w:tc>
          <w:tcPr>
            <w:tcW w:w="583" w:type="dxa"/>
            <w:tcBorders>
              <w:top w:val="single" w:sz="4" w:space="0" w:color="auto"/>
              <w:left w:val="nil"/>
              <w:bottom w:val="single" w:sz="4" w:space="0" w:color="auto"/>
              <w:right w:val="single" w:sz="4" w:space="0" w:color="auto"/>
            </w:tcBorders>
            <w:noWrap/>
            <w:vAlign w:val="bottom"/>
            <w:hideMark/>
          </w:tcPr>
          <w:p w14:paraId="2F9A0C1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93,19%</w:t>
            </w:r>
          </w:p>
        </w:tc>
      </w:tr>
      <w:tr w:rsidR="00416D67" w:rsidRPr="00416D67" w14:paraId="1526168A"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582BA63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4.2. Prihodi za posebne namjene komunalni doprinos</w:t>
            </w:r>
          </w:p>
        </w:tc>
        <w:tc>
          <w:tcPr>
            <w:tcW w:w="848" w:type="dxa"/>
            <w:tcBorders>
              <w:top w:val="single" w:sz="4" w:space="0" w:color="auto"/>
              <w:left w:val="nil"/>
              <w:bottom w:val="single" w:sz="4" w:space="0" w:color="auto"/>
              <w:right w:val="single" w:sz="4" w:space="0" w:color="auto"/>
            </w:tcBorders>
            <w:noWrap/>
            <w:vAlign w:val="bottom"/>
            <w:hideMark/>
          </w:tcPr>
          <w:p w14:paraId="1D955CA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836.800,70</w:t>
            </w:r>
          </w:p>
        </w:tc>
        <w:tc>
          <w:tcPr>
            <w:tcW w:w="848" w:type="dxa"/>
            <w:tcBorders>
              <w:top w:val="single" w:sz="4" w:space="0" w:color="auto"/>
              <w:left w:val="nil"/>
              <w:bottom w:val="single" w:sz="4" w:space="0" w:color="auto"/>
              <w:right w:val="single" w:sz="4" w:space="0" w:color="auto"/>
            </w:tcBorders>
            <w:noWrap/>
            <w:vAlign w:val="bottom"/>
            <w:hideMark/>
          </w:tcPr>
          <w:p w14:paraId="060F90F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850.000,00</w:t>
            </w:r>
          </w:p>
        </w:tc>
        <w:tc>
          <w:tcPr>
            <w:tcW w:w="848" w:type="dxa"/>
            <w:tcBorders>
              <w:top w:val="single" w:sz="4" w:space="0" w:color="auto"/>
              <w:left w:val="nil"/>
              <w:bottom w:val="single" w:sz="4" w:space="0" w:color="auto"/>
              <w:right w:val="single" w:sz="4" w:space="0" w:color="auto"/>
            </w:tcBorders>
            <w:noWrap/>
            <w:vAlign w:val="bottom"/>
            <w:hideMark/>
          </w:tcPr>
          <w:p w14:paraId="1E390C9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850.000,00</w:t>
            </w:r>
          </w:p>
        </w:tc>
        <w:tc>
          <w:tcPr>
            <w:tcW w:w="848" w:type="dxa"/>
            <w:tcBorders>
              <w:top w:val="single" w:sz="4" w:space="0" w:color="auto"/>
              <w:left w:val="nil"/>
              <w:bottom w:val="single" w:sz="4" w:space="0" w:color="auto"/>
              <w:right w:val="single" w:sz="4" w:space="0" w:color="auto"/>
            </w:tcBorders>
            <w:noWrap/>
            <w:vAlign w:val="bottom"/>
            <w:hideMark/>
          </w:tcPr>
          <w:p w14:paraId="0DA5449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892.583,16</w:t>
            </w:r>
          </w:p>
        </w:tc>
        <w:tc>
          <w:tcPr>
            <w:tcW w:w="739" w:type="dxa"/>
            <w:tcBorders>
              <w:top w:val="nil"/>
              <w:left w:val="nil"/>
              <w:bottom w:val="single" w:sz="4" w:space="0" w:color="auto"/>
              <w:right w:val="single" w:sz="4" w:space="0" w:color="auto"/>
            </w:tcBorders>
            <w:noWrap/>
            <w:vAlign w:val="bottom"/>
            <w:hideMark/>
          </w:tcPr>
          <w:p w14:paraId="18461E9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106,67%</w:t>
            </w:r>
          </w:p>
        </w:tc>
        <w:tc>
          <w:tcPr>
            <w:tcW w:w="583" w:type="dxa"/>
            <w:tcBorders>
              <w:top w:val="single" w:sz="4" w:space="0" w:color="auto"/>
              <w:left w:val="nil"/>
              <w:bottom w:val="single" w:sz="4" w:space="0" w:color="auto"/>
              <w:right w:val="single" w:sz="4" w:space="0" w:color="auto"/>
            </w:tcBorders>
            <w:noWrap/>
            <w:vAlign w:val="bottom"/>
            <w:hideMark/>
          </w:tcPr>
          <w:p w14:paraId="5511563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105,01%</w:t>
            </w:r>
          </w:p>
        </w:tc>
      </w:tr>
      <w:tr w:rsidR="00416D67" w:rsidRPr="00416D67" w14:paraId="0CABF06B"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713B5E5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Izvor 4.3. Prihodi za </w:t>
            </w:r>
            <w:proofErr w:type="spellStart"/>
            <w:r w:rsidRPr="00416D67">
              <w:rPr>
                <w:rFonts w:ascii="Arial" w:hAnsi="Arial" w:cs="Arial"/>
                <w:b/>
                <w:bCs/>
                <w:sz w:val="14"/>
                <w:szCs w:val="14"/>
              </w:rPr>
              <w:t>pos.namjene</w:t>
            </w:r>
            <w:proofErr w:type="spellEnd"/>
            <w:r w:rsidRPr="00416D67">
              <w:rPr>
                <w:rFonts w:ascii="Arial" w:hAnsi="Arial" w:cs="Arial"/>
                <w:b/>
                <w:bCs/>
                <w:sz w:val="14"/>
                <w:szCs w:val="14"/>
              </w:rPr>
              <w:t xml:space="preserve"> ostali namjenski prihodi</w:t>
            </w:r>
          </w:p>
        </w:tc>
        <w:tc>
          <w:tcPr>
            <w:tcW w:w="848" w:type="dxa"/>
            <w:tcBorders>
              <w:top w:val="single" w:sz="4" w:space="0" w:color="auto"/>
              <w:left w:val="nil"/>
              <w:bottom w:val="single" w:sz="4" w:space="0" w:color="auto"/>
              <w:right w:val="single" w:sz="4" w:space="0" w:color="auto"/>
            </w:tcBorders>
            <w:noWrap/>
            <w:vAlign w:val="bottom"/>
            <w:hideMark/>
          </w:tcPr>
          <w:p w14:paraId="0D9ED78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139.357,87</w:t>
            </w:r>
          </w:p>
        </w:tc>
        <w:tc>
          <w:tcPr>
            <w:tcW w:w="848" w:type="dxa"/>
            <w:tcBorders>
              <w:top w:val="single" w:sz="4" w:space="0" w:color="auto"/>
              <w:left w:val="nil"/>
              <w:bottom w:val="single" w:sz="4" w:space="0" w:color="auto"/>
              <w:right w:val="single" w:sz="4" w:space="0" w:color="auto"/>
            </w:tcBorders>
            <w:noWrap/>
            <w:vAlign w:val="bottom"/>
            <w:hideMark/>
          </w:tcPr>
          <w:p w14:paraId="21BFC24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182.822,40</w:t>
            </w:r>
          </w:p>
        </w:tc>
        <w:tc>
          <w:tcPr>
            <w:tcW w:w="848" w:type="dxa"/>
            <w:tcBorders>
              <w:top w:val="single" w:sz="4" w:space="0" w:color="auto"/>
              <w:left w:val="nil"/>
              <w:bottom w:val="single" w:sz="4" w:space="0" w:color="auto"/>
              <w:right w:val="single" w:sz="4" w:space="0" w:color="auto"/>
            </w:tcBorders>
            <w:noWrap/>
            <w:vAlign w:val="bottom"/>
            <w:hideMark/>
          </w:tcPr>
          <w:p w14:paraId="548D861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182.822,40</w:t>
            </w:r>
          </w:p>
        </w:tc>
        <w:tc>
          <w:tcPr>
            <w:tcW w:w="848" w:type="dxa"/>
            <w:tcBorders>
              <w:top w:val="single" w:sz="4" w:space="0" w:color="auto"/>
              <w:left w:val="nil"/>
              <w:bottom w:val="single" w:sz="4" w:space="0" w:color="auto"/>
              <w:right w:val="single" w:sz="4" w:space="0" w:color="auto"/>
            </w:tcBorders>
            <w:noWrap/>
            <w:vAlign w:val="bottom"/>
            <w:hideMark/>
          </w:tcPr>
          <w:p w14:paraId="545D3DA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161.853,46</w:t>
            </w:r>
          </w:p>
        </w:tc>
        <w:tc>
          <w:tcPr>
            <w:tcW w:w="739" w:type="dxa"/>
            <w:tcBorders>
              <w:top w:val="nil"/>
              <w:left w:val="nil"/>
              <w:bottom w:val="single" w:sz="4" w:space="0" w:color="auto"/>
              <w:right w:val="single" w:sz="4" w:space="0" w:color="auto"/>
            </w:tcBorders>
            <w:noWrap/>
            <w:vAlign w:val="bottom"/>
            <w:hideMark/>
          </w:tcPr>
          <w:p w14:paraId="1813E73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583" w:type="dxa"/>
            <w:tcBorders>
              <w:top w:val="single" w:sz="4" w:space="0" w:color="auto"/>
              <w:left w:val="nil"/>
              <w:bottom w:val="single" w:sz="4" w:space="0" w:color="auto"/>
              <w:right w:val="single" w:sz="4" w:space="0" w:color="auto"/>
            </w:tcBorders>
            <w:noWrap/>
            <w:vAlign w:val="bottom"/>
            <w:hideMark/>
          </w:tcPr>
          <w:p w14:paraId="4E9A333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7C2A6054"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3B330320" w14:textId="77777777" w:rsidR="00416D67" w:rsidRPr="00416D67" w:rsidRDefault="00416D67" w:rsidP="00416D67">
            <w:pPr>
              <w:rPr>
                <w:rFonts w:ascii="Arial" w:hAnsi="Arial" w:cs="Arial"/>
                <w:sz w:val="14"/>
                <w:szCs w:val="14"/>
              </w:rPr>
            </w:pPr>
            <w:r w:rsidRPr="00416D67">
              <w:rPr>
                <w:rFonts w:ascii="Arial" w:hAnsi="Arial" w:cs="Arial"/>
                <w:sz w:val="14"/>
                <w:szCs w:val="14"/>
              </w:rPr>
              <w:t>Izvor 4.3.1 Turistička  pristojba</w:t>
            </w:r>
          </w:p>
        </w:tc>
        <w:tc>
          <w:tcPr>
            <w:tcW w:w="848" w:type="dxa"/>
            <w:tcBorders>
              <w:top w:val="single" w:sz="4" w:space="0" w:color="auto"/>
              <w:left w:val="nil"/>
              <w:bottom w:val="single" w:sz="4" w:space="0" w:color="auto"/>
              <w:right w:val="single" w:sz="4" w:space="0" w:color="auto"/>
            </w:tcBorders>
            <w:noWrap/>
            <w:vAlign w:val="bottom"/>
            <w:hideMark/>
          </w:tcPr>
          <w:p w14:paraId="2F0BBCB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64.874,32</w:t>
            </w:r>
          </w:p>
        </w:tc>
        <w:tc>
          <w:tcPr>
            <w:tcW w:w="848" w:type="dxa"/>
            <w:tcBorders>
              <w:top w:val="single" w:sz="4" w:space="0" w:color="auto"/>
              <w:left w:val="nil"/>
              <w:bottom w:val="single" w:sz="4" w:space="0" w:color="auto"/>
              <w:right w:val="single" w:sz="4" w:space="0" w:color="auto"/>
            </w:tcBorders>
            <w:noWrap/>
            <w:vAlign w:val="bottom"/>
            <w:hideMark/>
          </w:tcPr>
          <w:p w14:paraId="7052928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75.074,00</w:t>
            </w:r>
          </w:p>
        </w:tc>
        <w:tc>
          <w:tcPr>
            <w:tcW w:w="848" w:type="dxa"/>
            <w:tcBorders>
              <w:top w:val="single" w:sz="4" w:space="0" w:color="auto"/>
              <w:left w:val="nil"/>
              <w:bottom w:val="single" w:sz="4" w:space="0" w:color="auto"/>
              <w:right w:val="single" w:sz="4" w:space="0" w:color="auto"/>
            </w:tcBorders>
            <w:noWrap/>
            <w:vAlign w:val="bottom"/>
            <w:hideMark/>
          </w:tcPr>
          <w:p w14:paraId="2ACB9EF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75.074,00</w:t>
            </w:r>
          </w:p>
        </w:tc>
        <w:tc>
          <w:tcPr>
            <w:tcW w:w="848" w:type="dxa"/>
            <w:tcBorders>
              <w:top w:val="single" w:sz="4" w:space="0" w:color="auto"/>
              <w:left w:val="nil"/>
              <w:bottom w:val="single" w:sz="4" w:space="0" w:color="auto"/>
              <w:right w:val="single" w:sz="4" w:space="0" w:color="auto"/>
            </w:tcBorders>
            <w:noWrap/>
            <w:vAlign w:val="bottom"/>
            <w:hideMark/>
          </w:tcPr>
          <w:p w14:paraId="609ED28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61.093,02</w:t>
            </w:r>
          </w:p>
        </w:tc>
        <w:tc>
          <w:tcPr>
            <w:tcW w:w="739" w:type="dxa"/>
            <w:tcBorders>
              <w:top w:val="nil"/>
              <w:left w:val="nil"/>
              <w:bottom w:val="single" w:sz="4" w:space="0" w:color="auto"/>
              <w:right w:val="single" w:sz="4" w:space="0" w:color="auto"/>
            </w:tcBorders>
            <w:noWrap/>
            <w:vAlign w:val="bottom"/>
            <w:hideMark/>
          </w:tcPr>
          <w:p w14:paraId="47FF92F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94,17%</w:t>
            </w:r>
          </w:p>
        </w:tc>
        <w:tc>
          <w:tcPr>
            <w:tcW w:w="583" w:type="dxa"/>
            <w:tcBorders>
              <w:top w:val="single" w:sz="4" w:space="0" w:color="auto"/>
              <w:left w:val="nil"/>
              <w:bottom w:val="single" w:sz="4" w:space="0" w:color="auto"/>
              <w:right w:val="single" w:sz="4" w:space="0" w:color="auto"/>
            </w:tcBorders>
            <w:noWrap/>
            <w:vAlign w:val="bottom"/>
            <w:hideMark/>
          </w:tcPr>
          <w:p w14:paraId="32B59BE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81,38%</w:t>
            </w:r>
          </w:p>
        </w:tc>
      </w:tr>
      <w:tr w:rsidR="00416D67" w:rsidRPr="00416D67" w14:paraId="5580BA66"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00BE62F1" w14:textId="77777777" w:rsidR="00416D67" w:rsidRPr="00416D67" w:rsidRDefault="00416D67" w:rsidP="00416D67">
            <w:pPr>
              <w:rPr>
                <w:rFonts w:ascii="Arial" w:hAnsi="Arial" w:cs="Arial"/>
                <w:sz w:val="14"/>
                <w:szCs w:val="14"/>
              </w:rPr>
            </w:pPr>
            <w:r w:rsidRPr="00416D67">
              <w:rPr>
                <w:rFonts w:ascii="Arial" w:hAnsi="Arial" w:cs="Arial"/>
                <w:sz w:val="14"/>
                <w:szCs w:val="14"/>
              </w:rPr>
              <w:t>Izvor 4.3.10 Ostali prihodi za posebne namjene spomenička renta</w:t>
            </w:r>
          </w:p>
        </w:tc>
        <w:tc>
          <w:tcPr>
            <w:tcW w:w="848" w:type="dxa"/>
            <w:tcBorders>
              <w:top w:val="single" w:sz="4" w:space="0" w:color="auto"/>
              <w:left w:val="nil"/>
              <w:bottom w:val="single" w:sz="4" w:space="0" w:color="auto"/>
              <w:right w:val="single" w:sz="4" w:space="0" w:color="auto"/>
            </w:tcBorders>
            <w:noWrap/>
            <w:vAlign w:val="bottom"/>
            <w:hideMark/>
          </w:tcPr>
          <w:p w14:paraId="22E664B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4,41</w:t>
            </w:r>
          </w:p>
        </w:tc>
        <w:tc>
          <w:tcPr>
            <w:tcW w:w="848" w:type="dxa"/>
            <w:tcBorders>
              <w:top w:val="single" w:sz="4" w:space="0" w:color="auto"/>
              <w:left w:val="nil"/>
              <w:bottom w:val="single" w:sz="4" w:space="0" w:color="auto"/>
              <w:right w:val="single" w:sz="4" w:space="0" w:color="auto"/>
            </w:tcBorders>
            <w:noWrap/>
            <w:vAlign w:val="bottom"/>
            <w:hideMark/>
          </w:tcPr>
          <w:p w14:paraId="7BB3481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w:t>
            </w:r>
          </w:p>
        </w:tc>
        <w:tc>
          <w:tcPr>
            <w:tcW w:w="848" w:type="dxa"/>
            <w:tcBorders>
              <w:top w:val="single" w:sz="4" w:space="0" w:color="auto"/>
              <w:left w:val="nil"/>
              <w:bottom w:val="single" w:sz="4" w:space="0" w:color="auto"/>
              <w:right w:val="single" w:sz="4" w:space="0" w:color="auto"/>
            </w:tcBorders>
            <w:noWrap/>
            <w:vAlign w:val="bottom"/>
            <w:hideMark/>
          </w:tcPr>
          <w:p w14:paraId="27E10D0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w:t>
            </w:r>
          </w:p>
        </w:tc>
        <w:tc>
          <w:tcPr>
            <w:tcW w:w="848" w:type="dxa"/>
            <w:tcBorders>
              <w:top w:val="single" w:sz="4" w:space="0" w:color="auto"/>
              <w:left w:val="nil"/>
              <w:bottom w:val="single" w:sz="4" w:space="0" w:color="auto"/>
              <w:right w:val="single" w:sz="4" w:space="0" w:color="auto"/>
            </w:tcBorders>
            <w:noWrap/>
            <w:vAlign w:val="bottom"/>
            <w:hideMark/>
          </w:tcPr>
          <w:p w14:paraId="7FBEB5F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2,24</w:t>
            </w:r>
          </w:p>
        </w:tc>
        <w:tc>
          <w:tcPr>
            <w:tcW w:w="739" w:type="dxa"/>
            <w:tcBorders>
              <w:top w:val="nil"/>
              <w:left w:val="nil"/>
              <w:bottom w:val="single" w:sz="4" w:space="0" w:color="auto"/>
              <w:right w:val="single" w:sz="4" w:space="0" w:color="auto"/>
            </w:tcBorders>
            <w:noWrap/>
            <w:vAlign w:val="bottom"/>
            <w:hideMark/>
          </w:tcPr>
          <w:p w14:paraId="5257A37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50,79%</w:t>
            </w:r>
          </w:p>
        </w:tc>
        <w:tc>
          <w:tcPr>
            <w:tcW w:w="583" w:type="dxa"/>
            <w:tcBorders>
              <w:top w:val="single" w:sz="4" w:space="0" w:color="auto"/>
              <w:left w:val="nil"/>
              <w:bottom w:val="single" w:sz="4" w:space="0" w:color="auto"/>
              <w:right w:val="single" w:sz="4" w:space="0" w:color="auto"/>
            </w:tcBorders>
            <w:noWrap/>
            <w:vAlign w:val="bottom"/>
            <w:hideMark/>
          </w:tcPr>
          <w:p w14:paraId="0725F04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22,40%</w:t>
            </w:r>
          </w:p>
        </w:tc>
      </w:tr>
      <w:tr w:rsidR="00416D67" w:rsidRPr="00416D67" w14:paraId="46D1841E"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467BC1A2"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4.3.12 Koncesija pružanja javne usluge pražnjenja </w:t>
            </w:r>
          </w:p>
        </w:tc>
        <w:tc>
          <w:tcPr>
            <w:tcW w:w="848" w:type="dxa"/>
            <w:tcBorders>
              <w:top w:val="single" w:sz="4" w:space="0" w:color="auto"/>
              <w:left w:val="nil"/>
              <w:bottom w:val="single" w:sz="4" w:space="0" w:color="auto"/>
              <w:right w:val="single" w:sz="4" w:space="0" w:color="auto"/>
            </w:tcBorders>
            <w:noWrap/>
            <w:vAlign w:val="bottom"/>
            <w:hideMark/>
          </w:tcPr>
          <w:p w14:paraId="14C030E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848" w:type="dxa"/>
            <w:tcBorders>
              <w:top w:val="single" w:sz="4" w:space="0" w:color="auto"/>
              <w:left w:val="nil"/>
              <w:bottom w:val="single" w:sz="4" w:space="0" w:color="auto"/>
              <w:right w:val="single" w:sz="4" w:space="0" w:color="auto"/>
            </w:tcBorders>
            <w:noWrap/>
            <w:vAlign w:val="bottom"/>
            <w:hideMark/>
          </w:tcPr>
          <w:p w14:paraId="2C1FF71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265,00</w:t>
            </w:r>
          </w:p>
        </w:tc>
        <w:tc>
          <w:tcPr>
            <w:tcW w:w="848" w:type="dxa"/>
            <w:tcBorders>
              <w:top w:val="single" w:sz="4" w:space="0" w:color="auto"/>
              <w:left w:val="nil"/>
              <w:bottom w:val="single" w:sz="4" w:space="0" w:color="auto"/>
              <w:right w:val="single" w:sz="4" w:space="0" w:color="auto"/>
            </w:tcBorders>
            <w:noWrap/>
            <w:vAlign w:val="bottom"/>
            <w:hideMark/>
          </w:tcPr>
          <w:p w14:paraId="6156EE8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265,00</w:t>
            </w:r>
          </w:p>
        </w:tc>
        <w:tc>
          <w:tcPr>
            <w:tcW w:w="848" w:type="dxa"/>
            <w:tcBorders>
              <w:top w:val="single" w:sz="4" w:space="0" w:color="auto"/>
              <w:left w:val="nil"/>
              <w:bottom w:val="single" w:sz="4" w:space="0" w:color="auto"/>
              <w:right w:val="single" w:sz="4" w:space="0" w:color="auto"/>
            </w:tcBorders>
            <w:noWrap/>
            <w:vAlign w:val="bottom"/>
            <w:hideMark/>
          </w:tcPr>
          <w:p w14:paraId="5F0A256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739" w:type="dxa"/>
            <w:tcBorders>
              <w:top w:val="nil"/>
              <w:left w:val="nil"/>
              <w:bottom w:val="single" w:sz="4" w:space="0" w:color="auto"/>
              <w:right w:val="single" w:sz="4" w:space="0" w:color="auto"/>
            </w:tcBorders>
            <w:noWrap/>
            <w:vAlign w:val="bottom"/>
            <w:hideMark/>
          </w:tcPr>
          <w:p w14:paraId="2349071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583" w:type="dxa"/>
            <w:tcBorders>
              <w:top w:val="single" w:sz="4" w:space="0" w:color="auto"/>
              <w:left w:val="nil"/>
              <w:bottom w:val="single" w:sz="4" w:space="0" w:color="auto"/>
              <w:right w:val="single" w:sz="4" w:space="0" w:color="auto"/>
            </w:tcBorders>
            <w:noWrap/>
            <w:vAlign w:val="bottom"/>
            <w:hideMark/>
          </w:tcPr>
          <w:p w14:paraId="43A25CD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76490838"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6EC65A12" w14:textId="77777777" w:rsidR="00416D67" w:rsidRPr="00416D67" w:rsidRDefault="00416D67" w:rsidP="00416D67">
            <w:pPr>
              <w:rPr>
                <w:rFonts w:ascii="Arial" w:hAnsi="Arial" w:cs="Arial"/>
                <w:sz w:val="14"/>
                <w:szCs w:val="14"/>
              </w:rPr>
            </w:pPr>
            <w:r w:rsidRPr="00416D67">
              <w:rPr>
                <w:rFonts w:ascii="Arial" w:hAnsi="Arial" w:cs="Arial"/>
                <w:sz w:val="14"/>
                <w:szCs w:val="14"/>
              </w:rPr>
              <w:t>Izvor 4.3.13 Naknada za koncesiju taxi prijevoz</w:t>
            </w:r>
          </w:p>
        </w:tc>
        <w:tc>
          <w:tcPr>
            <w:tcW w:w="848" w:type="dxa"/>
            <w:tcBorders>
              <w:top w:val="single" w:sz="4" w:space="0" w:color="auto"/>
              <w:left w:val="nil"/>
              <w:bottom w:val="single" w:sz="4" w:space="0" w:color="auto"/>
              <w:right w:val="single" w:sz="4" w:space="0" w:color="auto"/>
            </w:tcBorders>
            <w:noWrap/>
            <w:vAlign w:val="bottom"/>
            <w:hideMark/>
          </w:tcPr>
          <w:p w14:paraId="4A7A695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848" w:type="dxa"/>
            <w:tcBorders>
              <w:top w:val="single" w:sz="4" w:space="0" w:color="auto"/>
              <w:left w:val="nil"/>
              <w:bottom w:val="single" w:sz="4" w:space="0" w:color="auto"/>
              <w:right w:val="single" w:sz="4" w:space="0" w:color="auto"/>
            </w:tcBorders>
            <w:noWrap/>
            <w:vAlign w:val="bottom"/>
            <w:hideMark/>
          </w:tcPr>
          <w:p w14:paraId="5526F6C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450,00</w:t>
            </w:r>
          </w:p>
        </w:tc>
        <w:tc>
          <w:tcPr>
            <w:tcW w:w="848" w:type="dxa"/>
            <w:tcBorders>
              <w:top w:val="single" w:sz="4" w:space="0" w:color="auto"/>
              <w:left w:val="nil"/>
              <w:bottom w:val="single" w:sz="4" w:space="0" w:color="auto"/>
              <w:right w:val="single" w:sz="4" w:space="0" w:color="auto"/>
            </w:tcBorders>
            <w:noWrap/>
            <w:vAlign w:val="bottom"/>
            <w:hideMark/>
          </w:tcPr>
          <w:p w14:paraId="52D7276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450,00</w:t>
            </w:r>
          </w:p>
        </w:tc>
        <w:tc>
          <w:tcPr>
            <w:tcW w:w="848" w:type="dxa"/>
            <w:tcBorders>
              <w:top w:val="single" w:sz="4" w:space="0" w:color="auto"/>
              <w:left w:val="nil"/>
              <w:bottom w:val="single" w:sz="4" w:space="0" w:color="auto"/>
              <w:right w:val="single" w:sz="4" w:space="0" w:color="auto"/>
            </w:tcBorders>
            <w:noWrap/>
            <w:vAlign w:val="bottom"/>
            <w:hideMark/>
          </w:tcPr>
          <w:p w14:paraId="230EBFA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739" w:type="dxa"/>
            <w:tcBorders>
              <w:top w:val="nil"/>
              <w:left w:val="nil"/>
              <w:bottom w:val="single" w:sz="4" w:space="0" w:color="auto"/>
              <w:right w:val="single" w:sz="4" w:space="0" w:color="auto"/>
            </w:tcBorders>
            <w:noWrap/>
            <w:vAlign w:val="bottom"/>
            <w:hideMark/>
          </w:tcPr>
          <w:p w14:paraId="07DC515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583" w:type="dxa"/>
            <w:tcBorders>
              <w:top w:val="single" w:sz="4" w:space="0" w:color="auto"/>
              <w:left w:val="nil"/>
              <w:bottom w:val="single" w:sz="4" w:space="0" w:color="auto"/>
              <w:right w:val="single" w:sz="4" w:space="0" w:color="auto"/>
            </w:tcBorders>
            <w:noWrap/>
            <w:vAlign w:val="bottom"/>
            <w:hideMark/>
          </w:tcPr>
          <w:p w14:paraId="2A28B23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54DECD39"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6ACD474C" w14:textId="77777777" w:rsidR="00416D67" w:rsidRPr="00416D67" w:rsidRDefault="00416D67" w:rsidP="00416D67">
            <w:pPr>
              <w:rPr>
                <w:rFonts w:ascii="Arial" w:hAnsi="Arial" w:cs="Arial"/>
                <w:sz w:val="14"/>
                <w:szCs w:val="14"/>
              </w:rPr>
            </w:pPr>
            <w:r w:rsidRPr="00416D67">
              <w:rPr>
                <w:rFonts w:ascii="Arial" w:hAnsi="Arial" w:cs="Arial"/>
                <w:sz w:val="14"/>
                <w:szCs w:val="14"/>
              </w:rPr>
              <w:t>Izvor 4.3.2 Eksploatacija mineralnih sirovina</w:t>
            </w:r>
          </w:p>
        </w:tc>
        <w:tc>
          <w:tcPr>
            <w:tcW w:w="848" w:type="dxa"/>
            <w:tcBorders>
              <w:top w:val="single" w:sz="4" w:space="0" w:color="auto"/>
              <w:left w:val="nil"/>
              <w:bottom w:val="single" w:sz="4" w:space="0" w:color="auto"/>
              <w:right w:val="single" w:sz="4" w:space="0" w:color="auto"/>
            </w:tcBorders>
            <w:noWrap/>
            <w:vAlign w:val="bottom"/>
            <w:hideMark/>
          </w:tcPr>
          <w:p w14:paraId="603531A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27.524,47</w:t>
            </w:r>
          </w:p>
        </w:tc>
        <w:tc>
          <w:tcPr>
            <w:tcW w:w="848" w:type="dxa"/>
            <w:tcBorders>
              <w:top w:val="single" w:sz="4" w:space="0" w:color="auto"/>
              <w:left w:val="nil"/>
              <w:bottom w:val="single" w:sz="4" w:space="0" w:color="auto"/>
              <w:right w:val="single" w:sz="4" w:space="0" w:color="auto"/>
            </w:tcBorders>
            <w:noWrap/>
            <w:vAlign w:val="bottom"/>
            <w:hideMark/>
          </w:tcPr>
          <w:p w14:paraId="73BEEE6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56.500,00</w:t>
            </w:r>
          </w:p>
        </w:tc>
        <w:tc>
          <w:tcPr>
            <w:tcW w:w="848" w:type="dxa"/>
            <w:tcBorders>
              <w:top w:val="single" w:sz="4" w:space="0" w:color="auto"/>
              <w:left w:val="nil"/>
              <w:bottom w:val="single" w:sz="4" w:space="0" w:color="auto"/>
              <w:right w:val="single" w:sz="4" w:space="0" w:color="auto"/>
            </w:tcBorders>
            <w:noWrap/>
            <w:vAlign w:val="bottom"/>
            <w:hideMark/>
          </w:tcPr>
          <w:p w14:paraId="7ECC75E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56.500,00</w:t>
            </w:r>
          </w:p>
        </w:tc>
        <w:tc>
          <w:tcPr>
            <w:tcW w:w="848" w:type="dxa"/>
            <w:tcBorders>
              <w:top w:val="single" w:sz="4" w:space="0" w:color="auto"/>
              <w:left w:val="nil"/>
              <w:bottom w:val="single" w:sz="4" w:space="0" w:color="auto"/>
              <w:right w:val="single" w:sz="4" w:space="0" w:color="auto"/>
            </w:tcBorders>
            <w:noWrap/>
            <w:vAlign w:val="bottom"/>
            <w:hideMark/>
          </w:tcPr>
          <w:p w14:paraId="04D3F74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56.347,37</w:t>
            </w:r>
          </w:p>
        </w:tc>
        <w:tc>
          <w:tcPr>
            <w:tcW w:w="739" w:type="dxa"/>
            <w:tcBorders>
              <w:top w:val="nil"/>
              <w:left w:val="nil"/>
              <w:bottom w:val="single" w:sz="4" w:space="0" w:color="auto"/>
              <w:right w:val="single" w:sz="4" w:space="0" w:color="auto"/>
            </w:tcBorders>
            <w:noWrap/>
            <w:vAlign w:val="bottom"/>
            <w:hideMark/>
          </w:tcPr>
          <w:p w14:paraId="52C17EC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204,72%</w:t>
            </w:r>
          </w:p>
        </w:tc>
        <w:tc>
          <w:tcPr>
            <w:tcW w:w="583" w:type="dxa"/>
            <w:tcBorders>
              <w:top w:val="single" w:sz="4" w:space="0" w:color="auto"/>
              <w:left w:val="nil"/>
              <w:bottom w:val="single" w:sz="4" w:space="0" w:color="auto"/>
              <w:right w:val="single" w:sz="4" w:space="0" w:color="auto"/>
            </w:tcBorders>
            <w:noWrap/>
            <w:vAlign w:val="bottom"/>
            <w:hideMark/>
          </w:tcPr>
          <w:p w14:paraId="642AB14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99,73%</w:t>
            </w:r>
          </w:p>
        </w:tc>
      </w:tr>
      <w:tr w:rsidR="00416D67" w:rsidRPr="00416D67" w14:paraId="49B25255"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0273EFE8"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4.3.3 Prihodi od zakupa i </w:t>
            </w:r>
            <w:proofErr w:type="spellStart"/>
            <w:r w:rsidRPr="00416D67">
              <w:rPr>
                <w:rFonts w:ascii="Arial" w:hAnsi="Arial" w:cs="Arial"/>
                <w:sz w:val="14"/>
                <w:szCs w:val="14"/>
              </w:rPr>
              <w:t>privr.kor.poljoprivrednog</w:t>
            </w:r>
            <w:proofErr w:type="spellEnd"/>
            <w:r w:rsidRPr="00416D67">
              <w:rPr>
                <w:rFonts w:ascii="Arial" w:hAnsi="Arial" w:cs="Arial"/>
                <w:sz w:val="14"/>
                <w:szCs w:val="14"/>
              </w:rPr>
              <w:t xml:space="preserve"> zemljišta</w:t>
            </w:r>
          </w:p>
        </w:tc>
        <w:tc>
          <w:tcPr>
            <w:tcW w:w="848" w:type="dxa"/>
            <w:tcBorders>
              <w:top w:val="single" w:sz="4" w:space="0" w:color="auto"/>
              <w:left w:val="nil"/>
              <w:bottom w:val="single" w:sz="4" w:space="0" w:color="auto"/>
              <w:right w:val="single" w:sz="4" w:space="0" w:color="auto"/>
            </w:tcBorders>
            <w:noWrap/>
            <w:vAlign w:val="bottom"/>
            <w:hideMark/>
          </w:tcPr>
          <w:p w14:paraId="34C755D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150,40</w:t>
            </w:r>
          </w:p>
        </w:tc>
        <w:tc>
          <w:tcPr>
            <w:tcW w:w="848" w:type="dxa"/>
            <w:tcBorders>
              <w:top w:val="single" w:sz="4" w:space="0" w:color="auto"/>
              <w:left w:val="nil"/>
              <w:bottom w:val="single" w:sz="4" w:space="0" w:color="auto"/>
              <w:right w:val="single" w:sz="4" w:space="0" w:color="auto"/>
            </w:tcBorders>
            <w:noWrap/>
            <w:vAlign w:val="bottom"/>
            <w:hideMark/>
          </w:tcPr>
          <w:p w14:paraId="5E35330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200,00</w:t>
            </w:r>
          </w:p>
        </w:tc>
        <w:tc>
          <w:tcPr>
            <w:tcW w:w="848" w:type="dxa"/>
            <w:tcBorders>
              <w:top w:val="single" w:sz="4" w:space="0" w:color="auto"/>
              <w:left w:val="nil"/>
              <w:bottom w:val="single" w:sz="4" w:space="0" w:color="auto"/>
              <w:right w:val="single" w:sz="4" w:space="0" w:color="auto"/>
            </w:tcBorders>
            <w:noWrap/>
            <w:vAlign w:val="bottom"/>
            <w:hideMark/>
          </w:tcPr>
          <w:p w14:paraId="39F2C80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200,00</w:t>
            </w:r>
          </w:p>
        </w:tc>
        <w:tc>
          <w:tcPr>
            <w:tcW w:w="848" w:type="dxa"/>
            <w:tcBorders>
              <w:top w:val="single" w:sz="4" w:space="0" w:color="auto"/>
              <w:left w:val="nil"/>
              <w:bottom w:val="single" w:sz="4" w:space="0" w:color="auto"/>
              <w:right w:val="single" w:sz="4" w:space="0" w:color="auto"/>
            </w:tcBorders>
            <w:noWrap/>
            <w:vAlign w:val="bottom"/>
            <w:hideMark/>
          </w:tcPr>
          <w:p w14:paraId="31F017B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50,58</w:t>
            </w:r>
          </w:p>
        </w:tc>
        <w:tc>
          <w:tcPr>
            <w:tcW w:w="739" w:type="dxa"/>
            <w:tcBorders>
              <w:top w:val="nil"/>
              <w:left w:val="nil"/>
              <w:bottom w:val="single" w:sz="4" w:space="0" w:color="auto"/>
              <w:right w:val="single" w:sz="4" w:space="0" w:color="auto"/>
            </w:tcBorders>
            <w:noWrap/>
            <w:vAlign w:val="bottom"/>
            <w:hideMark/>
          </w:tcPr>
          <w:p w14:paraId="62C9E42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33,63%</w:t>
            </w:r>
          </w:p>
        </w:tc>
        <w:tc>
          <w:tcPr>
            <w:tcW w:w="583" w:type="dxa"/>
            <w:tcBorders>
              <w:top w:val="single" w:sz="4" w:space="0" w:color="auto"/>
              <w:left w:val="nil"/>
              <w:bottom w:val="single" w:sz="4" w:space="0" w:color="auto"/>
              <w:right w:val="single" w:sz="4" w:space="0" w:color="auto"/>
            </w:tcBorders>
            <w:noWrap/>
            <w:vAlign w:val="bottom"/>
            <w:hideMark/>
          </w:tcPr>
          <w:p w14:paraId="76417F0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25,29%</w:t>
            </w:r>
          </w:p>
        </w:tc>
      </w:tr>
      <w:tr w:rsidR="00416D67" w:rsidRPr="00416D67" w14:paraId="1FF90C5B"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590D6237" w14:textId="77777777" w:rsidR="00416D67" w:rsidRPr="00416D67" w:rsidRDefault="00416D67" w:rsidP="00416D67">
            <w:pPr>
              <w:rPr>
                <w:rFonts w:ascii="Arial" w:hAnsi="Arial" w:cs="Arial"/>
                <w:sz w:val="14"/>
                <w:szCs w:val="14"/>
              </w:rPr>
            </w:pPr>
            <w:r w:rsidRPr="00416D67">
              <w:rPr>
                <w:rFonts w:ascii="Arial" w:hAnsi="Arial" w:cs="Arial"/>
                <w:sz w:val="14"/>
                <w:szCs w:val="14"/>
              </w:rPr>
              <w:t>Izvor 4.3.4 Vodni doprinos</w:t>
            </w:r>
          </w:p>
        </w:tc>
        <w:tc>
          <w:tcPr>
            <w:tcW w:w="848" w:type="dxa"/>
            <w:tcBorders>
              <w:top w:val="single" w:sz="4" w:space="0" w:color="auto"/>
              <w:left w:val="nil"/>
              <w:bottom w:val="single" w:sz="4" w:space="0" w:color="auto"/>
              <w:right w:val="single" w:sz="4" w:space="0" w:color="auto"/>
            </w:tcBorders>
            <w:noWrap/>
            <w:vAlign w:val="bottom"/>
            <w:hideMark/>
          </w:tcPr>
          <w:p w14:paraId="717DC1E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2.082,99</w:t>
            </w:r>
          </w:p>
        </w:tc>
        <w:tc>
          <w:tcPr>
            <w:tcW w:w="848" w:type="dxa"/>
            <w:tcBorders>
              <w:top w:val="single" w:sz="4" w:space="0" w:color="auto"/>
              <w:left w:val="nil"/>
              <w:bottom w:val="single" w:sz="4" w:space="0" w:color="auto"/>
              <w:right w:val="single" w:sz="4" w:space="0" w:color="auto"/>
            </w:tcBorders>
            <w:noWrap/>
            <w:vAlign w:val="bottom"/>
            <w:hideMark/>
          </w:tcPr>
          <w:p w14:paraId="00859B2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1.000,00</w:t>
            </w:r>
          </w:p>
        </w:tc>
        <w:tc>
          <w:tcPr>
            <w:tcW w:w="848" w:type="dxa"/>
            <w:tcBorders>
              <w:top w:val="single" w:sz="4" w:space="0" w:color="auto"/>
              <w:left w:val="nil"/>
              <w:bottom w:val="single" w:sz="4" w:space="0" w:color="auto"/>
              <w:right w:val="single" w:sz="4" w:space="0" w:color="auto"/>
            </w:tcBorders>
            <w:noWrap/>
            <w:vAlign w:val="bottom"/>
            <w:hideMark/>
          </w:tcPr>
          <w:p w14:paraId="209E235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1.000,00</w:t>
            </w:r>
          </w:p>
        </w:tc>
        <w:tc>
          <w:tcPr>
            <w:tcW w:w="848" w:type="dxa"/>
            <w:tcBorders>
              <w:top w:val="single" w:sz="4" w:space="0" w:color="auto"/>
              <w:left w:val="nil"/>
              <w:bottom w:val="single" w:sz="4" w:space="0" w:color="auto"/>
              <w:right w:val="single" w:sz="4" w:space="0" w:color="auto"/>
            </w:tcBorders>
            <w:noWrap/>
            <w:vAlign w:val="bottom"/>
            <w:hideMark/>
          </w:tcPr>
          <w:p w14:paraId="6DBE002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377,27</w:t>
            </w:r>
          </w:p>
        </w:tc>
        <w:tc>
          <w:tcPr>
            <w:tcW w:w="739" w:type="dxa"/>
            <w:tcBorders>
              <w:top w:val="nil"/>
              <w:left w:val="nil"/>
              <w:bottom w:val="single" w:sz="4" w:space="0" w:color="auto"/>
              <w:right w:val="single" w:sz="4" w:space="0" w:color="auto"/>
            </w:tcBorders>
            <w:noWrap/>
            <w:vAlign w:val="bottom"/>
            <w:hideMark/>
          </w:tcPr>
          <w:p w14:paraId="2D194ED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18,11%</w:t>
            </w:r>
          </w:p>
        </w:tc>
        <w:tc>
          <w:tcPr>
            <w:tcW w:w="583" w:type="dxa"/>
            <w:tcBorders>
              <w:top w:val="single" w:sz="4" w:space="0" w:color="auto"/>
              <w:left w:val="nil"/>
              <w:bottom w:val="single" w:sz="4" w:space="0" w:color="auto"/>
              <w:right w:val="single" w:sz="4" w:space="0" w:color="auto"/>
            </w:tcBorders>
            <w:noWrap/>
            <w:vAlign w:val="bottom"/>
            <w:hideMark/>
          </w:tcPr>
          <w:p w14:paraId="3EF389C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37,73%</w:t>
            </w:r>
          </w:p>
        </w:tc>
      </w:tr>
      <w:tr w:rsidR="00416D67" w:rsidRPr="00416D67" w14:paraId="741E44BA"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305BC4F8"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4.3.5 Naknada za zadržavanje nezakonito </w:t>
            </w:r>
            <w:proofErr w:type="spellStart"/>
            <w:r w:rsidRPr="00416D67">
              <w:rPr>
                <w:rFonts w:ascii="Arial" w:hAnsi="Arial" w:cs="Arial"/>
                <w:sz w:val="14"/>
                <w:szCs w:val="14"/>
              </w:rPr>
              <w:t>izgr.zgrada</w:t>
            </w:r>
            <w:proofErr w:type="spellEnd"/>
          </w:p>
        </w:tc>
        <w:tc>
          <w:tcPr>
            <w:tcW w:w="848" w:type="dxa"/>
            <w:tcBorders>
              <w:top w:val="single" w:sz="4" w:space="0" w:color="auto"/>
              <w:left w:val="nil"/>
              <w:bottom w:val="single" w:sz="4" w:space="0" w:color="auto"/>
              <w:right w:val="single" w:sz="4" w:space="0" w:color="auto"/>
            </w:tcBorders>
            <w:noWrap/>
            <w:vAlign w:val="bottom"/>
            <w:hideMark/>
          </w:tcPr>
          <w:p w14:paraId="4BA023A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10.513,30</w:t>
            </w:r>
          </w:p>
        </w:tc>
        <w:tc>
          <w:tcPr>
            <w:tcW w:w="848" w:type="dxa"/>
            <w:tcBorders>
              <w:top w:val="single" w:sz="4" w:space="0" w:color="auto"/>
              <w:left w:val="nil"/>
              <w:bottom w:val="single" w:sz="4" w:space="0" w:color="auto"/>
              <w:right w:val="single" w:sz="4" w:space="0" w:color="auto"/>
            </w:tcBorders>
            <w:noWrap/>
            <w:vAlign w:val="bottom"/>
            <w:hideMark/>
          </w:tcPr>
          <w:p w14:paraId="5983A08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7.500,00</w:t>
            </w:r>
          </w:p>
        </w:tc>
        <w:tc>
          <w:tcPr>
            <w:tcW w:w="848" w:type="dxa"/>
            <w:tcBorders>
              <w:top w:val="single" w:sz="4" w:space="0" w:color="auto"/>
              <w:left w:val="nil"/>
              <w:bottom w:val="single" w:sz="4" w:space="0" w:color="auto"/>
              <w:right w:val="single" w:sz="4" w:space="0" w:color="auto"/>
            </w:tcBorders>
            <w:noWrap/>
            <w:vAlign w:val="bottom"/>
            <w:hideMark/>
          </w:tcPr>
          <w:p w14:paraId="29B2D22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7.500,00</w:t>
            </w:r>
          </w:p>
        </w:tc>
        <w:tc>
          <w:tcPr>
            <w:tcW w:w="848" w:type="dxa"/>
            <w:tcBorders>
              <w:top w:val="single" w:sz="4" w:space="0" w:color="auto"/>
              <w:left w:val="nil"/>
              <w:bottom w:val="single" w:sz="4" w:space="0" w:color="auto"/>
              <w:right w:val="single" w:sz="4" w:space="0" w:color="auto"/>
            </w:tcBorders>
            <w:noWrap/>
            <w:vAlign w:val="bottom"/>
            <w:hideMark/>
          </w:tcPr>
          <w:p w14:paraId="4C35245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4.312,50</w:t>
            </w:r>
          </w:p>
        </w:tc>
        <w:tc>
          <w:tcPr>
            <w:tcW w:w="739" w:type="dxa"/>
            <w:tcBorders>
              <w:top w:val="nil"/>
              <w:left w:val="nil"/>
              <w:bottom w:val="single" w:sz="4" w:space="0" w:color="auto"/>
              <w:right w:val="single" w:sz="4" w:space="0" w:color="auto"/>
            </w:tcBorders>
            <w:noWrap/>
            <w:vAlign w:val="bottom"/>
            <w:hideMark/>
          </w:tcPr>
          <w:p w14:paraId="2DBF24D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41,02%</w:t>
            </w:r>
          </w:p>
        </w:tc>
        <w:tc>
          <w:tcPr>
            <w:tcW w:w="583" w:type="dxa"/>
            <w:tcBorders>
              <w:top w:val="single" w:sz="4" w:space="0" w:color="auto"/>
              <w:left w:val="nil"/>
              <w:bottom w:val="single" w:sz="4" w:space="0" w:color="auto"/>
              <w:right w:val="single" w:sz="4" w:space="0" w:color="auto"/>
            </w:tcBorders>
            <w:noWrap/>
            <w:vAlign w:val="bottom"/>
            <w:hideMark/>
          </w:tcPr>
          <w:p w14:paraId="18F46DA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57,50%</w:t>
            </w:r>
          </w:p>
        </w:tc>
      </w:tr>
      <w:tr w:rsidR="00416D67" w:rsidRPr="00416D67" w14:paraId="28C03E45"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483F76DA" w14:textId="77777777" w:rsidR="00416D67" w:rsidRPr="00416D67" w:rsidRDefault="00416D67" w:rsidP="00416D67">
            <w:pPr>
              <w:rPr>
                <w:rFonts w:ascii="Arial" w:hAnsi="Arial" w:cs="Arial"/>
                <w:sz w:val="14"/>
                <w:szCs w:val="14"/>
              </w:rPr>
            </w:pPr>
            <w:r w:rsidRPr="00416D67">
              <w:rPr>
                <w:rFonts w:ascii="Arial" w:hAnsi="Arial" w:cs="Arial"/>
                <w:sz w:val="14"/>
                <w:szCs w:val="14"/>
              </w:rPr>
              <w:t>Izvor 4.3.6 Koncesije i koncesijska odobrenja</w:t>
            </w:r>
          </w:p>
        </w:tc>
        <w:tc>
          <w:tcPr>
            <w:tcW w:w="848" w:type="dxa"/>
            <w:tcBorders>
              <w:top w:val="single" w:sz="4" w:space="0" w:color="auto"/>
              <w:left w:val="nil"/>
              <w:bottom w:val="single" w:sz="4" w:space="0" w:color="auto"/>
              <w:right w:val="single" w:sz="4" w:space="0" w:color="auto"/>
            </w:tcBorders>
            <w:noWrap/>
            <w:vAlign w:val="bottom"/>
            <w:hideMark/>
          </w:tcPr>
          <w:p w14:paraId="45BF569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21.801,49</w:t>
            </w:r>
          </w:p>
        </w:tc>
        <w:tc>
          <w:tcPr>
            <w:tcW w:w="848" w:type="dxa"/>
            <w:tcBorders>
              <w:top w:val="single" w:sz="4" w:space="0" w:color="auto"/>
              <w:left w:val="nil"/>
              <w:bottom w:val="single" w:sz="4" w:space="0" w:color="auto"/>
              <w:right w:val="single" w:sz="4" w:space="0" w:color="auto"/>
            </w:tcBorders>
            <w:noWrap/>
            <w:vAlign w:val="bottom"/>
            <w:hideMark/>
          </w:tcPr>
          <w:p w14:paraId="5869F76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28.873,40</w:t>
            </w:r>
          </w:p>
        </w:tc>
        <w:tc>
          <w:tcPr>
            <w:tcW w:w="848" w:type="dxa"/>
            <w:tcBorders>
              <w:top w:val="single" w:sz="4" w:space="0" w:color="auto"/>
              <w:left w:val="nil"/>
              <w:bottom w:val="single" w:sz="4" w:space="0" w:color="auto"/>
              <w:right w:val="single" w:sz="4" w:space="0" w:color="auto"/>
            </w:tcBorders>
            <w:noWrap/>
            <w:vAlign w:val="bottom"/>
            <w:hideMark/>
          </w:tcPr>
          <w:p w14:paraId="74454A1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28.873,40</w:t>
            </w:r>
          </w:p>
        </w:tc>
        <w:tc>
          <w:tcPr>
            <w:tcW w:w="848" w:type="dxa"/>
            <w:tcBorders>
              <w:top w:val="single" w:sz="4" w:space="0" w:color="auto"/>
              <w:left w:val="nil"/>
              <w:bottom w:val="single" w:sz="4" w:space="0" w:color="auto"/>
              <w:right w:val="single" w:sz="4" w:space="0" w:color="auto"/>
            </w:tcBorders>
            <w:noWrap/>
            <w:vAlign w:val="bottom"/>
            <w:hideMark/>
          </w:tcPr>
          <w:p w14:paraId="2138311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28.186,43</w:t>
            </w:r>
          </w:p>
        </w:tc>
        <w:tc>
          <w:tcPr>
            <w:tcW w:w="739" w:type="dxa"/>
            <w:tcBorders>
              <w:top w:val="nil"/>
              <w:left w:val="nil"/>
              <w:bottom w:val="single" w:sz="4" w:space="0" w:color="auto"/>
              <w:right w:val="single" w:sz="4" w:space="0" w:color="auto"/>
            </w:tcBorders>
            <w:noWrap/>
            <w:vAlign w:val="bottom"/>
            <w:hideMark/>
          </w:tcPr>
          <w:p w14:paraId="03C120F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129,29%</w:t>
            </w:r>
          </w:p>
        </w:tc>
        <w:tc>
          <w:tcPr>
            <w:tcW w:w="583" w:type="dxa"/>
            <w:tcBorders>
              <w:top w:val="single" w:sz="4" w:space="0" w:color="auto"/>
              <w:left w:val="nil"/>
              <w:bottom w:val="single" w:sz="4" w:space="0" w:color="auto"/>
              <w:right w:val="single" w:sz="4" w:space="0" w:color="auto"/>
            </w:tcBorders>
            <w:noWrap/>
            <w:vAlign w:val="bottom"/>
            <w:hideMark/>
          </w:tcPr>
          <w:p w14:paraId="23199D9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97,62%</w:t>
            </w:r>
          </w:p>
        </w:tc>
      </w:tr>
      <w:tr w:rsidR="00416D67" w:rsidRPr="00416D67" w14:paraId="3C762EDF"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72219350" w14:textId="77777777" w:rsidR="00416D67" w:rsidRPr="00416D67" w:rsidRDefault="00416D67" w:rsidP="00416D67">
            <w:pPr>
              <w:rPr>
                <w:rFonts w:ascii="Arial" w:hAnsi="Arial" w:cs="Arial"/>
                <w:sz w:val="14"/>
                <w:szCs w:val="14"/>
              </w:rPr>
            </w:pPr>
            <w:r w:rsidRPr="00416D67">
              <w:rPr>
                <w:rFonts w:ascii="Arial" w:hAnsi="Arial" w:cs="Arial"/>
                <w:sz w:val="14"/>
                <w:szCs w:val="14"/>
              </w:rPr>
              <w:t>Izvor 4.3.7 Naknada za dodjelu grobnih mjesta</w:t>
            </w:r>
          </w:p>
        </w:tc>
        <w:tc>
          <w:tcPr>
            <w:tcW w:w="848" w:type="dxa"/>
            <w:tcBorders>
              <w:top w:val="single" w:sz="4" w:space="0" w:color="auto"/>
              <w:left w:val="nil"/>
              <w:bottom w:val="single" w:sz="4" w:space="0" w:color="auto"/>
              <w:right w:val="single" w:sz="4" w:space="0" w:color="auto"/>
            </w:tcBorders>
            <w:noWrap/>
            <w:vAlign w:val="bottom"/>
            <w:hideMark/>
          </w:tcPr>
          <w:p w14:paraId="0D1D516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11.128,69</w:t>
            </w:r>
          </w:p>
        </w:tc>
        <w:tc>
          <w:tcPr>
            <w:tcW w:w="848" w:type="dxa"/>
            <w:tcBorders>
              <w:top w:val="single" w:sz="4" w:space="0" w:color="auto"/>
              <w:left w:val="nil"/>
              <w:bottom w:val="single" w:sz="4" w:space="0" w:color="auto"/>
              <w:right w:val="single" w:sz="4" w:space="0" w:color="auto"/>
            </w:tcBorders>
            <w:noWrap/>
            <w:vAlign w:val="bottom"/>
            <w:hideMark/>
          </w:tcPr>
          <w:p w14:paraId="38C7F70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10.000,00</w:t>
            </w:r>
          </w:p>
        </w:tc>
        <w:tc>
          <w:tcPr>
            <w:tcW w:w="848" w:type="dxa"/>
            <w:tcBorders>
              <w:top w:val="single" w:sz="4" w:space="0" w:color="auto"/>
              <w:left w:val="nil"/>
              <w:bottom w:val="single" w:sz="4" w:space="0" w:color="auto"/>
              <w:right w:val="single" w:sz="4" w:space="0" w:color="auto"/>
            </w:tcBorders>
            <w:noWrap/>
            <w:vAlign w:val="bottom"/>
            <w:hideMark/>
          </w:tcPr>
          <w:p w14:paraId="6A5D1DB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10.000,00</w:t>
            </w:r>
          </w:p>
        </w:tc>
        <w:tc>
          <w:tcPr>
            <w:tcW w:w="848" w:type="dxa"/>
            <w:tcBorders>
              <w:top w:val="single" w:sz="4" w:space="0" w:color="auto"/>
              <w:left w:val="nil"/>
              <w:bottom w:val="single" w:sz="4" w:space="0" w:color="auto"/>
              <w:right w:val="single" w:sz="4" w:space="0" w:color="auto"/>
            </w:tcBorders>
            <w:noWrap/>
            <w:vAlign w:val="bottom"/>
            <w:hideMark/>
          </w:tcPr>
          <w:p w14:paraId="1148C7B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8.727,06</w:t>
            </w:r>
          </w:p>
        </w:tc>
        <w:tc>
          <w:tcPr>
            <w:tcW w:w="739" w:type="dxa"/>
            <w:tcBorders>
              <w:top w:val="nil"/>
              <w:left w:val="nil"/>
              <w:bottom w:val="single" w:sz="4" w:space="0" w:color="auto"/>
              <w:right w:val="single" w:sz="4" w:space="0" w:color="auto"/>
            </w:tcBorders>
            <w:noWrap/>
            <w:vAlign w:val="bottom"/>
            <w:hideMark/>
          </w:tcPr>
          <w:p w14:paraId="3022D56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78,42%</w:t>
            </w:r>
          </w:p>
        </w:tc>
        <w:tc>
          <w:tcPr>
            <w:tcW w:w="583" w:type="dxa"/>
            <w:tcBorders>
              <w:top w:val="single" w:sz="4" w:space="0" w:color="auto"/>
              <w:left w:val="nil"/>
              <w:bottom w:val="single" w:sz="4" w:space="0" w:color="auto"/>
              <w:right w:val="single" w:sz="4" w:space="0" w:color="auto"/>
            </w:tcBorders>
            <w:noWrap/>
            <w:vAlign w:val="bottom"/>
            <w:hideMark/>
          </w:tcPr>
          <w:p w14:paraId="4362B2E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87,27%</w:t>
            </w:r>
          </w:p>
        </w:tc>
      </w:tr>
      <w:tr w:rsidR="00416D67" w:rsidRPr="00416D67" w14:paraId="095D6676"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1CF0EA85"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4.3.8 Naknada za promjenu namjene </w:t>
            </w:r>
            <w:proofErr w:type="spellStart"/>
            <w:r w:rsidRPr="00416D67">
              <w:rPr>
                <w:rFonts w:ascii="Arial" w:hAnsi="Arial" w:cs="Arial"/>
                <w:sz w:val="14"/>
                <w:szCs w:val="14"/>
              </w:rPr>
              <w:t>poljopr.zemljišta</w:t>
            </w:r>
            <w:proofErr w:type="spellEnd"/>
          </w:p>
        </w:tc>
        <w:tc>
          <w:tcPr>
            <w:tcW w:w="848" w:type="dxa"/>
            <w:tcBorders>
              <w:top w:val="single" w:sz="4" w:space="0" w:color="auto"/>
              <w:left w:val="nil"/>
              <w:bottom w:val="single" w:sz="4" w:space="0" w:color="auto"/>
              <w:right w:val="single" w:sz="4" w:space="0" w:color="auto"/>
            </w:tcBorders>
            <w:noWrap/>
            <w:vAlign w:val="bottom"/>
            <w:hideMark/>
          </w:tcPr>
          <w:p w14:paraId="6161AB0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1.154,41</w:t>
            </w:r>
          </w:p>
        </w:tc>
        <w:tc>
          <w:tcPr>
            <w:tcW w:w="848" w:type="dxa"/>
            <w:tcBorders>
              <w:top w:val="single" w:sz="4" w:space="0" w:color="auto"/>
              <w:left w:val="nil"/>
              <w:bottom w:val="single" w:sz="4" w:space="0" w:color="auto"/>
              <w:right w:val="single" w:sz="4" w:space="0" w:color="auto"/>
            </w:tcBorders>
            <w:noWrap/>
            <w:vAlign w:val="bottom"/>
            <w:hideMark/>
          </w:tcPr>
          <w:p w14:paraId="7AEC47D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2.300,00</w:t>
            </w:r>
          </w:p>
        </w:tc>
        <w:tc>
          <w:tcPr>
            <w:tcW w:w="848" w:type="dxa"/>
            <w:tcBorders>
              <w:top w:val="single" w:sz="4" w:space="0" w:color="auto"/>
              <w:left w:val="nil"/>
              <w:bottom w:val="single" w:sz="4" w:space="0" w:color="auto"/>
              <w:right w:val="single" w:sz="4" w:space="0" w:color="auto"/>
            </w:tcBorders>
            <w:noWrap/>
            <w:vAlign w:val="bottom"/>
            <w:hideMark/>
          </w:tcPr>
          <w:p w14:paraId="558E25A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2.300,00</w:t>
            </w:r>
          </w:p>
        </w:tc>
        <w:tc>
          <w:tcPr>
            <w:tcW w:w="848" w:type="dxa"/>
            <w:tcBorders>
              <w:top w:val="single" w:sz="4" w:space="0" w:color="auto"/>
              <w:left w:val="nil"/>
              <w:bottom w:val="single" w:sz="4" w:space="0" w:color="auto"/>
              <w:right w:val="single" w:sz="4" w:space="0" w:color="auto"/>
            </w:tcBorders>
            <w:noWrap/>
            <w:vAlign w:val="bottom"/>
            <w:hideMark/>
          </w:tcPr>
          <w:p w14:paraId="49476A6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2.225,38</w:t>
            </w:r>
          </w:p>
        </w:tc>
        <w:tc>
          <w:tcPr>
            <w:tcW w:w="739" w:type="dxa"/>
            <w:tcBorders>
              <w:top w:val="nil"/>
              <w:left w:val="nil"/>
              <w:bottom w:val="single" w:sz="4" w:space="0" w:color="auto"/>
              <w:right w:val="single" w:sz="4" w:space="0" w:color="auto"/>
            </w:tcBorders>
            <w:noWrap/>
            <w:vAlign w:val="bottom"/>
            <w:hideMark/>
          </w:tcPr>
          <w:p w14:paraId="53C90EF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192,77%</w:t>
            </w:r>
          </w:p>
        </w:tc>
        <w:tc>
          <w:tcPr>
            <w:tcW w:w="583" w:type="dxa"/>
            <w:tcBorders>
              <w:top w:val="single" w:sz="4" w:space="0" w:color="auto"/>
              <w:left w:val="nil"/>
              <w:bottom w:val="single" w:sz="4" w:space="0" w:color="auto"/>
              <w:right w:val="single" w:sz="4" w:space="0" w:color="auto"/>
            </w:tcBorders>
            <w:noWrap/>
            <w:vAlign w:val="bottom"/>
            <w:hideMark/>
          </w:tcPr>
          <w:p w14:paraId="634FD9A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96,76%</w:t>
            </w:r>
          </w:p>
        </w:tc>
      </w:tr>
      <w:tr w:rsidR="00416D67" w:rsidRPr="00416D67" w14:paraId="547A9679"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5F307656" w14:textId="77777777" w:rsidR="00416D67" w:rsidRPr="00416D67" w:rsidRDefault="00416D67" w:rsidP="00416D67">
            <w:pPr>
              <w:rPr>
                <w:rFonts w:ascii="Arial" w:hAnsi="Arial" w:cs="Arial"/>
                <w:sz w:val="14"/>
                <w:szCs w:val="14"/>
              </w:rPr>
            </w:pPr>
            <w:r w:rsidRPr="00416D67">
              <w:rPr>
                <w:rFonts w:ascii="Arial" w:hAnsi="Arial" w:cs="Arial"/>
                <w:sz w:val="14"/>
                <w:szCs w:val="14"/>
              </w:rPr>
              <w:t>Izvor 4.3.9 Doprinos za šume</w:t>
            </w:r>
          </w:p>
        </w:tc>
        <w:tc>
          <w:tcPr>
            <w:tcW w:w="848" w:type="dxa"/>
            <w:tcBorders>
              <w:top w:val="single" w:sz="4" w:space="0" w:color="auto"/>
              <w:left w:val="nil"/>
              <w:bottom w:val="single" w:sz="4" w:space="0" w:color="auto"/>
              <w:right w:val="single" w:sz="4" w:space="0" w:color="auto"/>
            </w:tcBorders>
            <w:noWrap/>
            <w:vAlign w:val="bottom"/>
            <w:hideMark/>
          </w:tcPr>
          <w:p w14:paraId="6138A74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123,39</w:t>
            </w:r>
          </w:p>
        </w:tc>
        <w:tc>
          <w:tcPr>
            <w:tcW w:w="848" w:type="dxa"/>
            <w:tcBorders>
              <w:top w:val="single" w:sz="4" w:space="0" w:color="auto"/>
              <w:left w:val="nil"/>
              <w:bottom w:val="single" w:sz="4" w:space="0" w:color="auto"/>
              <w:right w:val="single" w:sz="4" w:space="0" w:color="auto"/>
            </w:tcBorders>
            <w:noWrap/>
            <w:vAlign w:val="bottom"/>
            <w:hideMark/>
          </w:tcPr>
          <w:p w14:paraId="5576D13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650,00</w:t>
            </w:r>
          </w:p>
        </w:tc>
        <w:tc>
          <w:tcPr>
            <w:tcW w:w="848" w:type="dxa"/>
            <w:tcBorders>
              <w:top w:val="single" w:sz="4" w:space="0" w:color="auto"/>
              <w:left w:val="nil"/>
              <w:bottom w:val="single" w:sz="4" w:space="0" w:color="auto"/>
              <w:right w:val="single" w:sz="4" w:space="0" w:color="auto"/>
            </w:tcBorders>
            <w:noWrap/>
            <w:vAlign w:val="bottom"/>
            <w:hideMark/>
          </w:tcPr>
          <w:p w14:paraId="4A453D8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650,00</w:t>
            </w:r>
          </w:p>
        </w:tc>
        <w:tc>
          <w:tcPr>
            <w:tcW w:w="848" w:type="dxa"/>
            <w:tcBorders>
              <w:top w:val="single" w:sz="4" w:space="0" w:color="auto"/>
              <w:left w:val="nil"/>
              <w:bottom w:val="single" w:sz="4" w:space="0" w:color="auto"/>
              <w:right w:val="single" w:sz="4" w:space="0" w:color="auto"/>
            </w:tcBorders>
            <w:noWrap/>
            <w:vAlign w:val="bottom"/>
            <w:hideMark/>
          </w:tcPr>
          <w:p w14:paraId="5D56BC0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531,61</w:t>
            </w:r>
          </w:p>
        </w:tc>
        <w:tc>
          <w:tcPr>
            <w:tcW w:w="739" w:type="dxa"/>
            <w:tcBorders>
              <w:top w:val="nil"/>
              <w:left w:val="nil"/>
              <w:bottom w:val="single" w:sz="4" w:space="0" w:color="auto"/>
              <w:right w:val="single" w:sz="4" w:space="0" w:color="auto"/>
            </w:tcBorders>
            <w:noWrap/>
            <w:vAlign w:val="bottom"/>
            <w:hideMark/>
          </w:tcPr>
          <w:p w14:paraId="63797EF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430,84%</w:t>
            </w:r>
          </w:p>
        </w:tc>
        <w:tc>
          <w:tcPr>
            <w:tcW w:w="583" w:type="dxa"/>
            <w:tcBorders>
              <w:top w:val="single" w:sz="4" w:space="0" w:color="auto"/>
              <w:left w:val="nil"/>
              <w:bottom w:val="single" w:sz="4" w:space="0" w:color="auto"/>
              <w:right w:val="single" w:sz="4" w:space="0" w:color="auto"/>
            </w:tcBorders>
            <w:noWrap/>
            <w:vAlign w:val="bottom"/>
            <w:hideMark/>
          </w:tcPr>
          <w:p w14:paraId="47098D3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81,79%</w:t>
            </w:r>
          </w:p>
        </w:tc>
      </w:tr>
      <w:tr w:rsidR="00416D67" w:rsidRPr="00416D67" w14:paraId="051BDB1D"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7DEB7B9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Izvor 4.4. Prihodi za posebne PK boravak roditelji i </w:t>
            </w:r>
            <w:proofErr w:type="spellStart"/>
            <w:r w:rsidRPr="00416D67">
              <w:rPr>
                <w:rFonts w:ascii="Arial" w:hAnsi="Arial" w:cs="Arial"/>
                <w:b/>
                <w:bCs/>
                <w:sz w:val="14"/>
                <w:szCs w:val="14"/>
              </w:rPr>
              <w:t>soc.program</w:t>
            </w:r>
            <w:proofErr w:type="spellEnd"/>
          </w:p>
        </w:tc>
        <w:tc>
          <w:tcPr>
            <w:tcW w:w="848" w:type="dxa"/>
            <w:tcBorders>
              <w:top w:val="single" w:sz="4" w:space="0" w:color="auto"/>
              <w:left w:val="nil"/>
              <w:bottom w:val="single" w:sz="4" w:space="0" w:color="auto"/>
              <w:right w:val="single" w:sz="4" w:space="0" w:color="auto"/>
            </w:tcBorders>
            <w:noWrap/>
            <w:vAlign w:val="bottom"/>
            <w:hideMark/>
          </w:tcPr>
          <w:p w14:paraId="4DF155A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92.043,39</w:t>
            </w:r>
          </w:p>
        </w:tc>
        <w:tc>
          <w:tcPr>
            <w:tcW w:w="848" w:type="dxa"/>
            <w:tcBorders>
              <w:top w:val="single" w:sz="4" w:space="0" w:color="auto"/>
              <w:left w:val="nil"/>
              <w:bottom w:val="single" w:sz="4" w:space="0" w:color="auto"/>
              <w:right w:val="single" w:sz="4" w:space="0" w:color="auto"/>
            </w:tcBorders>
            <w:noWrap/>
            <w:vAlign w:val="bottom"/>
            <w:hideMark/>
          </w:tcPr>
          <w:p w14:paraId="3E70B79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108.719,03</w:t>
            </w:r>
          </w:p>
        </w:tc>
        <w:tc>
          <w:tcPr>
            <w:tcW w:w="848" w:type="dxa"/>
            <w:tcBorders>
              <w:top w:val="single" w:sz="4" w:space="0" w:color="auto"/>
              <w:left w:val="nil"/>
              <w:bottom w:val="single" w:sz="4" w:space="0" w:color="auto"/>
              <w:right w:val="single" w:sz="4" w:space="0" w:color="auto"/>
            </w:tcBorders>
            <w:noWrap/>
            <w:vAlign w:val="bottom"/>
            <w:hideMark/>
          </w:tcPr>
          <w:p w14:paraId="053F413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108.719,03</w:t>
            </w:r>
          </w:p>
        </w:tc>
        <w:tc>
          <w:tcPr>
            <w:tcW w:w="848" w:type="dxa"/>
            <w:tcBorders>
              <w:top w:val="single" w:sz="4" w:space="0" w:color="auto"/>
              <w:left w:val="nil"/>
              <w:bottom w:val="single" w:sz="4" w:space="0" w:color="auto"/>
              <w:right w:val="single" w:sz="4" w:space="0" w:color="auto"/>
            </w:tcBorders>
            <w:noWrap/>
            <w:vAlign w:val="bottom"/>
            <w:hideMark/>
          </w:tcPr>
          <w:p w14:paraId="66B4D6E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105.897,82</w:t>
            </w:r>
          </w:p>
        </w:tc>
        <w:tc>
          <w:tcPr>
            <w:tcW w:w="739" w:type="dxa"/>
            <w:tcBorders>
              <w:top w:val="nil"/>
              <w:left w:val="nil"/>
              <w:bottom w:val="single" w:sz="4" w:space="0" w:color="auto"/>
              <w:right w:val="single" w:sz="4" w:space="0" w:color="auto"/>
            </w:tcBorders>
            <w:noWrap/>
            <w:vAlign w:val="bottom"/>
            <w:hideMark/>
          </w:tcPr>
          <w:p w14:paraId="42A46D0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115,05%</w:t>
            </w:r>
          </w:p>
        </w:tc>
        <w:tc>
          <w:tcPr>
            <w:tcW w:w="583" w:type="dxa"/>
            <w:tcBorders>
              <w:top w:val="single" w:sz="4" w:space="0" w:color="auto"/>
              <w:left w:val="nil"/>
              <w:bottom w:val="single" w:sz="4" w:space="0" w:color="auto"/>
              <w:right w:val="single" w:sz="4" w:space="0" w:color="auto"/>
            </w:tcBorders>
            <w:noWrap/>
            <w:vAlign w:val="bottom"/>
            <w:hideMark/>
          </w:tcPr>
          <w:p w14:paraId="38F75F9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97,41%</w:t>
            </w:r>
          </w:p>
        </w:tc>
      </w:tr>
      <w:tr w:rsidR="00416D67" w:rsidRPr="00416D67" w14:paraId="69E5E552"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8B1892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5. Pomoći</w:t>
            </w:r>
          </w:p>
        </w:tc>
        <w:tc>
          <w:tcPr>
            <w:tcW w:w="848" w:type="dxa"/>
            <w:tcBorders>
              <w:top w:val="single" w:sz="4" w:space="0" w:color="auto"/>
              <w:left w:val="nil"/>
              <w:bottom w:val="single" w:sz="4" w:space="0" w:color="auto"/>
              <w:right w:val="single" w:sz="4" w:space="0" w:color="auto"/>
            </w:tcBorders>
            <w:shd w:val="clear" w:color="000000" w:fill="FFFF00"/>
            <w:noWrap/>
            <w:vAlign w:val="bottom"/>
            <w:hideMark/>
          </w:tcPr>
          <w:p w14:paraId="6DE8728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517.372,20</w:t>
            </w:r>
          </w:p>
        </w:tc>
        <w:tc>
          <w:tcPr>
            <w:tcW w:w="848" w:type="dxa"/>
            <w:tcBorders>
              <w:top w:val="single" w:sz="4" w:space="0" w:color="auto"/>
              <w:left w:val="nil"/>
              <w:bottom w:val="single" w:sz="4" w:space="0" w:color="auto"/>
              <w:right w:val="single" w:sz="4" w:space="0" w:color="auto"/>
            </w:tcBorders>
            <w:shd w:val="clear" w:color="000000" w:fill="FFFF00"/>
            <w:noWrap/>
            <w:vAlign w:val="bottom"/>
            <w:hideMark/>
          </w:tcPr>
          <w:p w14:paraId="097F074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296.197,70</w:t>
            </w:r>
          </w:p>
        </w:tc>
        <w:tc>
          <w:tcPr>
            <w:tcW w:w="848" w:type="dxa"/>
            <w:tcBorders>
              <w:top w:val="single" w:sz="4" w:space="0" w:color="auto"/>
              <w:left w:val="nil"/>
              <w:bottom w:val="single" w:sz="4" w:space="0" w:color="auto"/>
              <w:right w:val="single" w:sz="4" w:space="0" w:color="auto"/>
            </w:tcBorders>
            <w:shd w:val="clear" w:color="000000" w:fill="FFFF00"/>
            <w:noWrap/>
            <w:vAlign w:val="bottom"/>
            <w:hideMark/>
          </w:tcPr>
          <w:p w14:paraId="69460A7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296.197,70</w:t>
            </w:r>
          </w:p>
        </w:tc>
        <w:tc>
          <w:tcPr>
            <w:tcW w:w="848" w:type="dxa"/>
            <w:tcBorders>
              <w:top w:val="single" w:sz="4" w:space="0" w:color="auto"/>
              <w:left w:val="nil"/>
              <w:bottom w:val="single" w:sz="4" w:space="0" w:color="auto"/>
              <w:right w:val="single" w:sz="4" w:space="0" w:color="auto"/>
            </w:tcBorders>
            <w:shd w:val="clear" w:color="000000" w:fill="FFFF00"/>
            <w:noWrap/>
            <w:vAlign w:val="bottom"/>
            <w:hideMark/>
          </w:tcPr>
          <w:p w14:paraId="3F0CB73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335.580,34</w:t>
            </w:r>
          </w:p>
        </w:tc>
        <w:tc>
          <w:tcPr>
            <w:tcW w:w="739" w:type="dxa"/>
            <w:tcBorders>
              <w:top w:val="nil"/>
              <w:left w:val="nil"/>
              <w:bottom w:val="single" w:sz="4" w:space="0" w:color="auto"/>
              <w:right w:val="single" w:sz="4" w:space="0" w:color="auto"/>
            </w:tcBorders>
            <w:shd w:val="clear" w:color="000000" w:fill="FFFF00"/>
            <w:noWrap/>
            <w:vAlign w:val="bottom"/>
            <w:hideMark/>
          </w:tcPr>
          <w:p w14:paraId="65DCE0F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59,22%</w:t>
            </w:r>
          </w:p>
        </w:tc>
        <w:tc>
          <w:tcPr>
            <w:tcW w:w="583" w:type="dxa"/>
            <w:tcBorders>
              <w:top w:val="single" w:sz="4" w:space="0" w:color="auto"/>
              <w:left w:val="nil"/>
              <w:bottom w:val="single" w:sz="4" w:space="0" w:color="auto"/>
              <w:right w:val="single" w:sz="4" w:space="0" w:color="auto"/>
            </w:tcBorders>
            <w:shd w:val="clear" w:color="000000" w:fill="FFFF00"/>
            <w:noWrap/>
            <w:vAlign w:val="bottom"/>
            <w:hideMark/>
          </w:tcPr>
          <w:p w14:paraId="65AE46F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103,44%</w:t>
            </w:r>
          </w:p>
        </w:tc>
      </w:tr>
      <w:tr w:rsidR="00416D67" w:rsidRPr="00416D67" w14:paraId="3B667464"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339B685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5.1. 05 Pomoći</w:t>
            </w:r>
          </w:p>
        </w:tc>
        <w:tc>
          <w:tcPr>
            <w:tcW w:w="848" w:type="dxa"/>
            <w:tcBorders>
              <w:top w:val="single" w:sz="4" w:space="0" w:color="auto"/>
              <w:left w:val="nil"/>
              <w:bottom w:val="single" w:sz="4" w:space="0" w:color="auto"/>
              <w:right w:val="single" w:sz="4" w:space="0" w:color="auto"/>
            </w:tcBorders>
            <w:noWrap/>
            <w:vAlign w:val="bottom"/>
            <w:hideMark/>
          </w:tcPr>
          <w:p w14:paraId="6BFE742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509.099,17</w:t>
            </w:r>
          </w:p>
        </w:tc>
        <w:tc>
          <w:tcPr>
            <w:tcW w:w="848" w:type="dxa"/>
            <w:tcBorders>
              <w:top w:val="single" w:sz="4" w:space="0" w:color="auto"/>
              <w:left w:val="nil"/>
              <w:bottom w:val="single" w:sz="4" w:space="0" w:color="auto"/>
              <w:right w:val="single" w:sz="4" w:space="0" w:color="auto"/>
            </w:tcBorders>
            <w:noWrap/>
            <w:vAlign w:val="bottom"/>
            <w:hideMark/>
          </w:tcPr>
          <w:p w14:paraId="1BBAA58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296.197,70</w:t>
            </w:r>
          </w:p>
        </w:tc>
        <w:tc>
          <w:tcPr>
            <w:tcW w:w="848" w:type="dxa"/>
            <w:tcBorders>
              <w:top w:val="single" w:sz="4" w:space="0" w:color="auto"/>
              <w:left w:val="nil"/>
              <w:bottom w:val="single" w:sz="4" w:space="0" w:color="auto"/>
              <w:right w:val="single" w:sz="4" w:space="0" w:color="auto"/>
            </w:tcBorders>
            <w:noWrap/>
            <w:vAlign w:val="bottom"/>
            <w:hideMark/>
          </w:tcPr>
          <w:p w14:paraId="626D101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296.197,70</w:t>
            </w:r>
          </w:p>
        </w:tc>
        <w:tc>
          <w:tcPr>
            <w:tcW w:w="848" w:type="dxa"/>
            <w:tcBorders>
              <w:top w:val="single" w:sz="4" w:space="0" w:color="auto"/>
              <w:left w:val="nil"/>
              <w:bottom w:val="single" w:sz="4" w:space="0" w:color="auto"/>
              <w:right w:val="single" w:sz="4" w:space="0" w:color="auto"/>
            </w:tcBorders>
            <w:noWrap/>
            <w:vAlign w:val="bottom"/>
            <w:hideMark/>
          </w:tcPr>
          <w:p w14:paraId="0D0E6F3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282.752,75</w:t>
            </w:r>
          </w:p>
        </w:tc>
        <w:tc>
          <w:tcPr>
            <w:tcW w:w="739" w:type="dxa"/>
            <w:tcBorders>
              <w:top w:val="nil"/>
              <w:left w:val="nil"/>
              <w:bottom w:val="single" w:sz="4" w:space="0" w:color="auto"/>
              <w:right w:val="single" w:sz="4" w:space="0" w:color="auto"/>
            </w:tcBorders>
            <w:noWrap/>
            <w:vAlign w:val="bottom"/>
            <w:hideMark/>
          </w:tcPr>
          <w:p w14:paraId="7DCC467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583" w:type="dxa"/>
            <w:tcBorders>
              <w:top w:val="single" w:sz="4" w:space="0" w:color="auto"/>
              <w:left w:val="nil"/>
              <w:bottom w:val="single" w:sz="4" w:space="0" w:color="auto"/>
              <w:right w:val="single" w:sz="4" w:space="0" w:color="auto"/>
            </w:tcBorders>
            <w:noWrap/>
            <w:vAlign w:val="bottom"/>
            <w:hideMark/>
          </w:tcPr>
          <w:p w14:paraId="20B7849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7C52E201"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648BEA81" w14:textId="77777777" w:rsidR="00416D67" w:rsidRPr="00416D67" w:rsidRDefault="00416D67" w:rsidP="00416D67">
            <w:pPr>
              <w:rPr>
                <w:rFonts w:ascii="Arial" w:hAnsi="Arial" w:cs="Arial"/>
                <w:sz w:val="14"/>
                <w:szCs w:val="14"/>
              </w:rPr>
            </w:pPr>
            <w:r w:rsidRPr="00416D67">
              <w:rPr>
                <w:rFonts w:ascii="Arial" w:hAnsi="Arial" w:cs="Arial"/>
                <w:sz w:val="14"/>
                <w:szCs w:val="14"/>
              </w:rPr>
              <w:t>Izvor 5.1.1 Pomoći Istarska županija</w:t>
            </w:r>
          </w:p>
        </w:tc>
        <w:tc>
          <w:tcPr>
            <w:tcW w:w="848" w:type="dxa"/>
            <w:tcBorders>
              <w:top w:val="single" w:sz="4" w:space="0" w:color="auto"/>
              <w:left w:val="nil"/>
              <w:bottom w:val="single" w:sz="4" w:space="0" w:color="auto"/>
              <w:right w:val="single" w:sz="4" w:space="0" w:color="auto"/>
            </w:tcBorders>
            <w:noWrap/>
            <w:vAlign w:val="bottom"/>
            <w:hideMark/>
          </w:tcPr>
          <w:p w14:paraId="66B0505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85.970,94</w:t>
            </w:r>
          </w:p>
        </w:tc>
        <w:tc>
          <w:tcPr>
            <w:tcW w:w="848" w:type="dxa"/>
            <w:tcBorders>
              <w:top w:val="single" w:sz="4" w:space="0" w:color="auto"/>
              <w:left w:val="nil"/>
              <w:bottom w:val="single" w:sz="4" w:space="0" w:color="auto"/>
              <w:right w:val="single" w:sz="4" w:space="0" w:color="auto"/>
            </w:tcBorders>
            <w:noWrap/>
            <w:vAlign w:val="bottom"/>
            <w:hideMark/>
          </w:tcPr>
          <w:p w14:paraId="1506447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101.060,00</w:t>
            </w:r>
          </w:p>
        </w:tc>
        <w:tc>
          <w:tcPr>
            <w:tcW w:w="848" w:type="dxa"/>
            <w:tcBorders>
              <w:top w:val="single" w:sz="4" w:space="0" w:color="auto"/>
              <w:left w:val="nil"/>
              <w:bottom w:val="single" w:sz="4" w:space="0" w:color="auto"/>
              <w:right w:val="single" w:sz="4" w:space="0" w:color="auto"/>
            </w:tcBorders>
            <w:noWrap/>
            <w:vAlign w:val="bottom"/>
            <w:hideMark/>
          </w:tcPr>
          <w:p w14:paraId="2C7E3C1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101.060,00</w:t>
            </w:r>
          </w:p>
        </w:tc>
        <w:tc>
          <w:tcPr>
            <w:tcW w:w="848" w:type="dxa"/>
            <w:tcBorders>
              <w:top w:val="single" w:sz="4" w:space="0" w:color="auto"/>
              <w:left w:val="nil"/>
              <w:bottom w:val="single" w:sz="4" w:space="0" w:color="auto"/>
              <w:right w:val="single" w:sz="4" w:space="0" w:color="auto"/>
            </w:tcBorders>
            <w:noWrap/>
            <w:vAlign w:val="bottom"/>
            <w:hideMark/>
          </w:tcPr>
          <w:p w14:paraId="01D304B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106.433,40</w:t>
            </w:r>
          </w:p>
        </w:tc>
        <w:tc>
          <w:tcPr>
            <w:tcW w:w="739" w:type="dxa"/>
            <w:tcBorders>
              <w:top w:val="nil"/>
              <w:left w:val="nil"/>
              <w:bottom w:val="single" w:sz="4" w:space="0" w:color="auto"/>
              <w:right w:val="single" w:sz="4" w:space="0" w:color="auto"/>
            </w:tcBorders>
            <w:noWrap/>
            <w:vAlign w:val="bottom"/>
            <w:hideMark/>
          </w:tcPr>
          <w:p w14:paraId="1767835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123,80%</w:t>
            </w:r>
          </w:p>
        </w:tc>
        <w:tc>
          <w:tcPr>
            <w:tcW w:w="583" w:type="dxa"/>
            <w:tcBorders>
              <w:top w:val="single" w:sz="4" w:space="0" w:color="auto"/>
              <w:left w:val="nil"/>
              <w:bottom w:val="single" w:sz="4" w:space="0" w:color="auto"/>
              <w:right w:val="single" w:sz="4" w:space="0" w:color="auto"/>
            </w:tcBorders>
            <w:noWrap/>
            <w:vAlign w:val="bottom"/>
            <w:hideMark/>
          </w:tcPr>
          <w:p w14:paraId="7927862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105,32%</w:t>
            </w:r>
          </w:p>
        </w:tc>
      </w:tr>
      <w:tr w:rsidR="00416D67" w:rsidRPr="00416D67" w14:paraId="6C5D3ADC"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12B53E2C" w14:textId="77777777" w:rsidR="00416D67" w:rsidRPr="00416D67" w:rsidRDefault="00416D67" w:rsidP="00416D67">
            <w:pPr>
              <w:rPr>
                <w:rFonts w:ascii="Arial" w:hAnsi="Arial" w:cs="Arial"/>
                <w:sz w:val="14"/>
                <w:szCs w:val="14"/>
              </w:rPr>
            </w:pPr>
            <w:r w:rsidRPr="00416D67">
              <w:rPr>
                <w:rFonts w:ascii="Arial" w:hAnsi="Arial" w:cs="Arial"/>
                <w:sz w:val="14"/>
                <w:szCs w:val="14"/>
              </w:rPr>
              <w:t>Izvor 5.1.11 Pomoći Ministarstvo graditeljstva</w:t>
            </w:r>
          </w:p>
        </w:tc>
        <w:tc>
          <w:tcPr>
            <w:tcW w:w="848" w:type="dxa"/>
            <w:tcBorders>
              <w:top w:val="single" w:sz="4" w:space="0" w:color="auto"/>
              <w:left w:val="nil"/>
              <w:bottom w:val="single" w:sz="4" w:space="0" w:color="auto"/>
              <w:right w:val="single" w:sz="4" w:space="0" w:color="auto"/>
            </w:tcBorders>
            <w:noWrap/>
            <w:vAlign w:val="bottom"/>
            <w:hideMark/>
          </w:tcPr>
          <w:p w14:paraId="4E1ED08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848" w:type="dxa"/>
            <w:tcBorders>
              <w:top w:val="single" w:sz="4" w:space="0" w:color="auto"/>
              <w:left w:val="nil"/>
              <w:bottom w:val="single" w:sz="4" w:space="0" w:color="auto"/>
              <w:right w:val="single" w:sz="4" w:space="0" w:color="auto"/>
            </w:tcBorders>
            <w:noWrap/>
            <w:vAlign w:val="bottom"/>
            <w:hideMark/>
          </w:tcPr>
          <w:p w14:paraId="0F33EF1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32.000,00</w:t>
            </w:r>
          </w:p>
        </w:tc>
        <w:tc>
          <w:tcPr>
            <w:tcW w:w="848" w:type="dxa"/>
            <w:tcBorders>
              <w:top w:val="single" w:sz="4" w:space="0" w:color="auto"/>
              <w:left w:val="nil"/>
              <w:bottom w:val="single" w:sz="4" w:space="0" w:color="auto"/>
              <w:right w:val="single" w:sz="4" w:space="0" w:color="auto"/>
            </w:tcBorders>
            <w:noWrap/>
            <w:vAlign w:val="bottom"/>
            <w:hideMark/>
          </w:tcPr>
          <w:p w14:paraId="566829D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32.000,00</w:t>
            </w:r>
          </w:p>
        </w:tc>
        <w:tc>
          <w:tcPr>
            <w:tcW w:w="848" w:type="dxa"/>
            <w:tcBorders>
              <w:top w:val="single" w:sz="4" w:space="0" w:color="auto"/>
              <w:left w:val="nil"/>
              <w:bottom w:val="single" w:sz="4" w:space="0" w:color="auto"/>
              <w:right w:val="single" w:sz="4" w:space="0" w:color="auto"/>
            </w:tcBorders>
            <w:noWrap/>
            <w:vAlign w:val="bottom"/>
            <w:hideMark/>
          </w:tcPr>
          <w:p w14:paraId="7519C07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739" w:type="dxa"/>
            <w:tcBorders>
              <w:top w:val="nil"/>
              <w:left w:val="nil"/>
              <w:bottom w:val="single" w:sz="4" w:space="0" w:color="auto"/>
              <w:right w:val="single" w:sz="4" w:space="0" w:color="auto"/>
            </w:tcBorders>
            <w:noWrap/>
            <w:vAlign w:val="bottom"/>
            <w:hideMark/>
          </w:tcPr>
          <w:p w14:paraId="77F9B19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583" w:type="dxa"/>
            <w:tcBorders>
              <w:top w:val="single" w:sz="4" w:space="0" w:color="auto"/>
              <w:left w:val="nil"/>
              <w:bottom w:val="single" w:sz="4" w:space="0" w:color="auto"/>
              <w:right w:val="single" w:sz="4" w:space="0" w:color="auto"/>
            </w:tcBorders>
            <w:noWrap/>
            <w:vAlign w:val="bottom"/>
            <w:hideMark/>
          </w:tcPr>
          <w:p w14:paraId="411F647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60D08DFE"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4FA7F4C5" w14:textId="77777777" w:rsidR="00416D67" w:rsidRPr="00416D67" w:rsidRDefault="00416D67" w:rsidP="00416D67">
            <w:pPr>
              <w:rPr>
                <w:rFonts w:ascii="Arial" w:hAnsi="Arial" w:cs="Arial"/>
                <w:sz w:val="14"/>
                <w:szCs w:val="14"/>
              </w:rPr>
            </w:pPr>
            <w:r w:rsidRPr="00416D67">
              <w:rPr>
                <w:rFonts w:ascii="Arial" w:hAnsi="Arial" w:cs="Arial"/>
                <w:sz w:val="14"/>
                <w:szCs w:val="14"/>
              </w:rPr>
              <w:t>Izvor 5.1.12 Pomoć državni proračun troškovi ogrijeva</w:t>
            </w:r>
          </w:p>
        </w:tc>
        <w:tc>
          <w:tcPr>
            <w:tcW w:w="848" w:type="dxa"/>
            <w:tcBorders>
              <w:top w:val="single" w:sz="4" w:space="0" w:color="auto"/>
              <w:left w:val="nil"/>
              <w:bottom w:val="single" w:sz="4" w:space="0" w:color="auto"/>
              <w:right w:val="single" w:sz="4" w:space="0" w:color="auto"/>
            </w:tcBorders>
            <w:noWrap/>
            <w:vAlign w:val="bottom"/>
            <w:hideMark/>
          </w:tcPr>
          <w:p w14:paraId="7966044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1.440,00</w:t>
            </w:r>
          </w:p>
        </w:tc>
        <w:tc>
          <w:tcPr>
            <w:tcW w:w="848" w:type="dxa"/>
            <w:tcBorders>
              <w:top w:val="single" w:sz="4" w:space="0" w:color="auto"/>
              <w:left w:val="single" w:sz="4" w:space="0" w:color="auto"/>
              <w:bottom w:val="single" w:sz="4" w:space="0" w:color="auto"/>
              <w:right w:val="single" w:sz="4" w:space="0" w:color="auto"/>
            </w:tcBorders>
            <w:noWrap/>
            <w:vAlign w:val="bottom"/>
            <w:hideMark/>
          </w:tcPr>
          <w:p w14:paraId="59BFFCE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848" w:type="dxa"/>
            <w:tcBorders>
              <w:top w:val="single" w:sz="4" w:space="0" w:color="auto"/>
              <w:left w:val="single" w:sz="4" w:space="0" w:color="auto"/>
              <w:bottom w:val="single" w:sz="4" w:space="0" w:color="auto"/>
              <w:right w:val="single" w:sz="4" w:space="0" w:color="auto"/>
            </w:tcBorders>
            <w:noWrap/>
            <w:vAlign w:val="bottom"/>
            <w:hideMark/>
          </w:tcPr>
          <w:p w14:paraId="3555F85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848" w:type="dxa"/>
            <w:tcBorders>
              <w:top w:val="single" w:sz="4" w:space="0" w:color="auto"/>
              <w:left w:val="single" w:sz="4" w:space="0" w:color="auto"/>
              <w:bottom w:val="single" w:sz="4" w:space="0" w:color="auto"/>
              <w:right w:val="single" w:sz="4" w:space="0" w:color="auto"/>
            </w:tcBorders>
            <w:noWrap/>
            <w:vAlign w:val="bottom"/>
            <w:hideMark/>
          </w:tcPr>
          <w:p w14:paraId="3E260EC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1.600,00</w:t>
            </w:r>
          </w:p>
        </w:tc>
        <w:tc>
          <w:tcPr>
            <w:tcW w:w="739" w:type="dxa"/>
            <w:tcBorders>
              <w:top w:val="single" w:sz="4" w:space="0" w:color="auto"/>
              <w:left w:val="single" w:sz="4" w:space="0" w:color="auto"/>
              <w:bottom w:val="single" w:sz="4" w:space="0" w:color="auto"/>
              <w:right w:val="single" w:sz="4" w:space="0" w:color="auto"/>
            </w:tcBorders>
            <w:noWrap/>
            <w:vAlign w:val="bottom"/>
            <w:hideMark/>
          </w:tcPr>
          <w:p w14:paraId="5512DAD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111,11%</w:t>
            </w:r>
          </w:p>
        </w:tc>
        <w:tc>
          <w:tcPr>
            <w:tcW w:w="583" w:type="dxa"/>
            <w:tcBorders>
              <w:top w:val="single" w:sz="4" w:space="0" w:color="auto"/>
              <w:left w:val="single" w:sz="4" w:space="0" w:color="auto"/>
              <w:bottom w:val="single" w:sz="4" w:space="0" w:color="auto"/>
              <w:right w:val="single" w:sz="4" w:space="0" w:color="auto"/>
            </w:tcBorders>
            <w:noWrap/>
            <w:vAlign w:val="bottom"/>
            <w:hideMark/>
          </w:tcPr>
          <w:p w14:paraId="4F613F9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4BBE99CA"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3BE42DD4"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5.1.13 Kapitalne pomoći drugih proračuna </w:t>
            </w:r>
          </w:p>
        </w:tc>
        <w:tc>
          <w:tcPr>
            <w:tcW w:w="848" w:type="dxa"/>
            <w:tcBorders>
              <w:top w:val="single" w:sz="4" w:space="0" w:color="auto"/>
              <w:left w:val="nil"/>
              <w:bottom w:val="single" w:sz="4" w:space="0" w:color="auto"/>
              <w:right w:val="single" w:sz="4" w:space="0" w:color="auto"/>
            </w:tcBorders>
            <w:noWrap/>
            <w:vAlign w:val="bottom"/>
            <w:hideMark/>
          </w:tcPr>
          <w:p w14:paraId="3BBEEEB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848" w:type="dxa"/>
            <w:tcBorders>
              <w:top w:val="single" w:sz="4" w:space="0" w:color="auto"/>
              <w:left w:val="single" w:sz="4" w:space="0" w:color="auto"/>
              <w:bottom w:val="single" w:sz="4" w:space="0" w:color="auto"/>
              <w:right w:val="single" w:sz="4" w:space="0" w:color="auto"/>
            </w:tcBorders>
            <w:noWrap/>
            <w:vAlign w:val="bottom"/>
            <w:hideMark/>
          </w:tcPr>
          <w:p w14:paraId="26D8AE0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848" w:type="dxa"/>
            <w:tcBorders>
              <w:top w:val="single" w:sz="4" w:space="0" w:color="auto"/>
              <w:left w:val="single" w:sz="4" w:space="0" w:color="auto"/>
              <w:bottom w:val="single" w:sz="4" w:space="0" w:color="auto"/>
              <w:right w:val="single" w:sz="4" w:space="0" w:color="auto"/>
            </w:tcBorders>
            <w:noWrap/>
            <w:vAlign w:val="bottom"/>
            <w:hideMark/>
          </w:tcPr>
          <w:p w14:paraId="6198602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848" w:type="dxa"/>
            <w:tcBorders>
              <w:top w:val="single" w:sz="4" w:space="0" w:color="auto"/>
              <w:left w:val="single" w:sz="4" w:space="0" w:color="auto"/>
              <w:bottom w:val="single" w:sz="4" w:space="0" w:color="auto"/>
              <w:right w:val="single" w:sz="4" w:space="0" w:color="auto"/>
            </w:tcBorders>
            <w:noWrap/>
            <w:vAlign w:val="bottom"/>
            <w:hideMark/>
          </w:tcPr>
          <w:p w14:paraId="2DADF22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64.513,75</w:t>
            </w:r>
          </w:p>
        </w:tc>
        <w:tc>
          <w:tcPr>
            <w:tcW w:w="739" w:type="dxa"/>
            <w:tcBorders>
              <w:top w:val="single" w:sz="4" w:space="0" w:color="auto"/>
              <w:left w:val="single" w:sz="4" w:space="0" w:color="auto"/>
              <w:bottom w:val="single" w:sz="4" w:space="0" w:color="auto"/>
              <w:right w:val="single" w:sz="4" w:space="0" w:color="auto"/>
            </w:tcBorders>
            <w:noWrap/>
            <w:vAlign w:val="bottom"/>
            <w:hideMark/>
          </w:tcPr>
          <w:p w14:paraId="052F227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583" w:type="dxa"/>
            <w:tcBorders>
              <w:top w:val="single" w:sz="4" w:space="0" w:color="auto"/>
              <w:left w:val="single" w:sz="4" w:space="0" w:color="auto"/>
              <w:bottom w:val="single" w:sz="4" w:space="0" w:color="auto"/>
              <w:right w:val="single" w:sz="4" w:space="0" w:color="auto"/>
            </w:tcBorders>
            <w:noWrap/>
            <w:vAlign w:val="bottom"/>
            <w:hideMark/>
          </w:tcPr>
          <w:p w14:paraId="7C4A5C2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2929EA9F"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6A1EAED3"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5.1.2 Pomoći državni  proračun </w:t>
            </w:r>
            <w:proofErr w:type="spellStart"/>
            <w:r w:rsidRPr="00416D67">
              <w:rPr>
                <w:rFonts w:ascii="Arial" w:hAnsi="Arial" w:cs="Arial"/>
                <w:sz w:val="14"/>
                <w:szCs w:val="14"/>
              </w:rPr>
              <w:t>min.kulture</w:t>
            </w:r>
            <w:proofErr w:type="spellEnd"/>
          </w:p>
        </w:tc>
        <w:tc>
          <w:tcPr>
            <w:tcW w:w="848" w:type="dxa"/>
            <w:tcBorders>
              <w:top w:val="single" w:sz="4" w:space="0" w:color="auto"/>
              <w:left w:val="nil"/>
              <w:bottom w:val="single" w:sz="4" w:space="0" w:color="auto"/>
              <w:right w:val="single" w:sz="4" w:space="0" w:color="auto"/>
            </w:tcBorders>
            <w:noWrap/>
            <w:vAlign w:val="bottom"/>
            <w:hideMark/>
          </w:tcPr>
          <w:p w14:paraId="3625C9B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45.000,00</w:t>
            </w:r>
          </w:p>
        </w:tc>
        <w:tc>
          <w:tcPr>
            <w:tcW w:w="848" w:type="dxa"/>
            <w:tcBorders>
              <w:top w:val="single" w:sz="4" w:space="0" w:color="auto"/>
              <w:left w:val="single" w:sz="4" w:space="0" w:color="auto"/>
              <w:bottom w:val="single" w:sz="4" w:space="0" w:color="auto"/>
              <w:right w:val="single" w:sz="4" w:space="0" w:color="auto"/>
            </w:tcBorders>
            <w:noWrap/>
            <w:vAlign w:val="bottom"/>
            <w:hideMark/>
          </w:tcPr>
          <w:p w14:paraId="62B75A8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45.000,00</w:t>
            </w:r>
          </w:p>
        </w:tc>
        <w:tc>
          <w:tcPr>
            <w:tcW w:w="848" w:type="dxa"/>
            <w:tcBorders>
              <w:top w:val="single" w:sz="4" w:space="0" w:color="auto"/>
              <w:left w:val="single" w:sz="4" w:space="0" w:color="auto"/>
              <w:bottom w:val="single" w:sz="4" w:space="0" w:color="auto"/>
              <w:right w:val="single" w:sz="4" w:space="0" w:color="auto"/>
            </w:tcBorders>
            <w:noWrap/>
            <w:vAlign w:val="bottom"/>
            <w:hideMark/>
          </w:tcPr>
          <w:p w14:paraId="2F17BA1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45.000,00</w:t>
            </w:r>
          </w:p>
        </w:tc>
        <w:tc>
          <w:tcPr>
            <w:tcW w:w="848" w:type="dxa"/>
            <w:tcBorders>
              <w:top w:val="single" w:sz="4" w:space="0" w:color="auto"/>
              <w:left w:val="single" w:sz="4" w:space="0" w:color="auto"/>
              <w:bottom w:val="single" w:sz="4" w:space="0" w:color="auto"/>
              <w:right w:val="single" w:sz="4" w:space="0" w:color="auto"/>
            </w:tcBorders>
            <w:noWrap/>
            <w:vAlign w:val="bottom"/>
            <w:hideMark/>
          </w:tcPr>
          <w:p w14:paraId="3C4BCDA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45.000,00</w:t>
            </w:r>
          </w:p>
        </w:tc>
        <w:tc>
          <w:tcPr>
            <w:tcW w:w="739" w:type="dxa"/>
            <w:tcBorders>
              <w:top w:val="single" w:sz="4" w:space="0" w:color="auto"/>
              <w:left w:val="single" w:sz="4" w:space="0" w:color="auto"/>
              <w:bottom w:val="single" w:sz="4" w:space="0" w:color="auto"/>
              <w:right w:val="single" w:sz="4" w:space="0" w:color="auto"/>
            </w:tcBorders>
            <w:noWrap/>
            <w:vAlign w:val="bottom"/>
            <w:hideMark/>
          </w:tcPr>
          <w:p w14:paraId="431DD88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w:t>
            </w:r>
          </w:p>
        </w:tc>
        <w:tc>
          <w:tcPr>
            <w:tcW w:w="583" w:type="dxa"/>
            <w:tcBorders>
              <w:top w:val="single" w:sz="4" w:space="0" w:color="auto"/>
              <w:left w:val="single" w:sz="4" w:space="0" w:color="auto"/>
              <w:bottom w:val="single" w:sz="4" w:space="0" w:color="auto"/>
              <w:right w:val="single" w:sz="4" w:space="0" w:color="auto"/>
            </w:tcBorders>
            <w:noWrap/>
            <w:vAlign w:val="bottom"/>
            <w:hideMark/>
          </w:tcPr>
          <w:p w14:paraId="6B07E6B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w:t>
            </w:r>
          </w:p>
        </w:tc>
      </w:tr>
      <w:tr w:rsidR="00416D67" w:rsidRPr="00416D67" w14:paraId="5FD3784F"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481A92D4" w14:textId="77777777" w:rsidR="00416D67" w:rsidRPr="00416D67" w:rsidRDefault="00416D67" w:rsidP="00416D67">
            <w:pPr>
              <w:rPr>
                <w:rFonts w:ascii="Arial" w:hAnsi="Arial" w:cs="Arial"/>
                <w:sz w:val="14"/>
                <w:szCs w:val="14"/>
              </w:rPr>
            </w:pPr>
            <w:r w:rsidRPr="00416D67">
              <w:rPr>
                <w:rFonts w:ascii="Arial" w:hAnsi="Arial" w:cs="Arial"/>
                <w:sz w:val="14"/>
                <w:szCs w:val="14"/>
              </w:rPr>
              <w:t>Izvor 5.1.3 Pomoć izravnanja decentralizirana sredstva JVP</w:t>
            </w:r>
          </w:p>
        </w:tc>
        <w:tc>
          <w:tcPr>
            <w:tcW w:w="848" w:type="dxa"/>
            <w:tcBorders>
              <w:top w:val="single" w:sz="4" w:space="0" w:color="auto"/>
              <w:left w:val="nil"/>
              <w:bottom w:val="single" w:sz="4" w:space="0" w:color="auto"/>
              <w:right w:val="single" w:sz="4" w:space="0" w:color="auto"/>
            </w:tcBorders>
            <w:noWrap/>
            <w:vAlign w:val="bottom"/>
            <w:hideMark/>
          </w:tcPr>
          <w:p w14:paraId="3E7FAA4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56.405,30</w:t>
            </w:r>
          </w:p>
        </w:tc>
        <w:tc>
          <w:tcPr>
            <w:tcW w:w="848" w:type="dxa"/>
            <w:tcBorders>
              <w:top w:val="single" w:sz="4" w:space="0" w:color="auto"/>
              <w:left w:val="nil"/>
              <w:bottom w:val="single" w:sz="4" w:space="0" w:color="auto"/>
              <w:right w:val="single" w:sz="4" w:space="0" w:color="auto"/>
            </w:tcBorders>
            <w:noWrap/>
            <w:vAlign w:val="bottom"/>
            <w:hideMark/>
          </w:tcPr>
          <w:p w14:paraId="42B448C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24.500,00</w:t>
            </w:r>
          </w:p>
        </w:tc>
        <w:tc>
          <w:tcPr>
            <w:tcW w:w="848" w:type="dxa"/>
            <w:tcBorders>
              <w:top w:val="single" w:sz="4" w:space="0" w:color="auto"/>
              <w:left w:val="nil"/>
              <w:bottom w:val="single" w:sz="4" w:space="0" w:color="auto"/>
              <w:right w:val="single" w:sz="4" w:space="0" w:color="auto"/>
            </w:tcBorders>
            <w:noWrap/>
            <w:vAlign w:val="bottom"/>
            <w:hideMark/>
          </w:tcPr>
          <w:p w14:paraId="1958ABC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24.500,00</w:t>
            </w:r>
          </w:p>
        </w:tc>
        <w:tc>
          <w:tcPr>
            <w:tcW w:w="848" w:type="dxa"/>
            <w:tcBorders>
              <w:top w:val="single" w:sz="4" w:space="0" w:color="auto"/>
              <w:left w:val="nil"/>
              <w:bottom w:val="single" w:sz="4" w:space="0" w:color="auto"/>
              <w:right w:val="single" w:sz="4" w:space="0" w:color="auto"/>
            </w:tcBorders>
            <w:noWrap/>
            <w:vAlign w:val="bottom"/>
            <w:hideMark/>
          </w:tcPr>
          <w:p w14:paraId="79C193B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24.969,60</w:t>
            </w:r>
          </w:p>
        </w:tc>
        <w:tc>
          <w:tcPr>
            <w:tcW w:w="739" w:type="dxa"/>
            <w:tcBorders>
              <w:top w:val="single" w:sz="4" w:space="0" w:color="auto"/>
              <w:left w:val="nil"/>
              <w:bottom w:val="single" w:sz="4" w:space="0" w:color="auto"/>
              <w:right w:val="single" w:sz="4" w:space="0" w:color="auto"/>
            </w:tcBorders>
            <w:noWrap/>
            <w:vAlign w:val="bottom"/>
            <w:hideMark/>
          </w:tcPr>
          <w:p w14:paraId="124D428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44,27%</w:t>
            </w:r>
          </w:p>
        </w:tc>
        <w:tc>
          <w:tcPr>
            <w:tcW w:w="583" w:type="dxa"/>
            <w:tcBorders>
              <w:top w:val="single" w:sz="4" w:space="0" w:color="auto"/>
              <w:left w:val="nil"/>
              <w:bottom w:val="single" w:sz="4" w:space="0" w:color="auto"/>
              <w:right w:val="single" w:sz="4" w:space="0" w:color="auto"/>
            </w:tcBorders>
            <w:noWrap/>
            <w:vAlign w:val="bottom"/>
            <w:hideMark/>
          </w:tcPr>
          <w:p w14:paraId="38FD132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101,92%</w:t>
            </w:r>
          </w:p>
        </w:tc>
      </w:tr>
      <w:tr w:rsidR="00416D67" w:rsidRPr="00416D67" w14:paraId="2A84CE74"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4EBB45B1" w14:textId="77777777" w:rsidR="00416D67" w:rsidRPr="00416D67" w:rsidRDefault="00416D67" w:rsidP="00416D67">
            <w:pPr>
              <w:rPr>
                <w:rFonts w:ascii="Arial" w:hAnsi="Arial" w:cs="Arial"/>
                <w:sz w:val="14"/>
                <w:szCs w:val="14"/>
              </w:rPr>
            </w:pPr>
            <w:r w:rsidRPr="00416D67">
              <w:rPr>
                <w:rFonts w:ascii="Arial" w:hAnsi="Arial" w:cs="Arial"/>
                <w:sz w:val="14"/>
                <w:szCs w:val="14"/>
              </w:rPr>
              <w:t>Izvor 5.1.8 Pomoć Županijska uprava za ceste IŽ</w:t>
            </w:r>
          </w:p>
        </w:tc>
        <w:tc>
          <w:tcPr>
            <w:tcW w:w="848" w:type="dxa"/>
            <w:tcBorders>
              <w:top w:val="single" w:sz="4" w:space="0" w:color="auto"/>
              <w:left w:val="nil"/>
              <w:bottom w:val="single" w:sz="4" w:space="0" w:color="auto"/>
              <w:right w:val="single" w:sz="4" w:space="0" w:color="auto"/>
            </w:tcBorders>
            <w:noWrap/>
            <w:vAlign w:val="bottom"/>
            <w:hideMark/>
          </w:tcPr>
          <w:p w14:paraId="016D6CB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285.536,93</w:t>
            </w:r>
          </w:p>
        </w:tc>
        <w:tc>
          <w:tcPr>
            <w:tcW w:w="848" w:type="dxa"/>
            <w:tcBorders>
              <w:top w:val="single" w:sz="4" w:space="0" w:color="auto"/>
              <w:left w:val="nil"/>
              <w:bottom w:val="single" w:sz="4" w:space="0" w:color="auto"/>
              <w:right w:val="single" w:sz="4" w:space="0" w:color="auto"/>
            </w:tcBorders>
            <w:noWrap/>
            <w:vAlign w:val="bottom"/>
            <w:hideMark/>
          </w:tcPr>
          <w:p w14:paraId="5DF0AB6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848" w:type="dxa"/>
            <w:tcBorders>
              <w:top w:val="single" w:sz="4" w:space="0" w:color="auto"/>
              <w:left w:val="nil"/>
              <w:bottom w:val="single" w:sz="4" w:space="0" w:color="auto"/>
              <w:right w:val="single" w:sz="4" w:space="0" w:color="auto"/>
            </w:tcBorders>
            <w:noWrap/>
            <w:vAlign w:val="bottom"/>
            <w:hideMark/>
          </w:tcPr>
          <w:p w14:paraId="74EB8E9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848" w:type="dxa"/>
            <w:tcBorders>
              <w:top w:val="single" w:sz="4" w:space="0" w:color="auto"/>
              <w:left w:val="nil"/>
              <w:bottom w:val="single" w:sz="4" w:space="0" w:color="auto"/>
              <w:right w:val="single" w:sz="4" w:space="0" w:color="auto"/>
            </w:tcBorders>
            <w:noWrap/>
            <w:vAlign w:val="bottom"/>
            <w:hideMark/>
          </w:tcPr>
          <w:p w14:paraId="0BCA20C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739" w:type="dxa"/>
            <w:tcBorders>
              <w:top w:val="nil"/>
              <w:left w:val="nil"/>
              <w:bottom w:val="single" w:sz="4" w:space="0" w:color="auto"/>
              <w:right w:val="single" w:sz="4" w:space="0" w:color="auto"/>
            </w:tcBorders>
            <w:noWrap/>
            <w:vAlign w:val="bottom"/>
            <w:hideMark/>
          </w:tcPr>
          <w:p w14:paraId="645952A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583" w:type="dxa"/>
            <w:tcBorders>
              <w:top w:val="single" w:sz="4" w:space="0" w:color="auto"/>
              <w:left w:val="nil"/>
              <w:bottom w:val="single" w:sz="4" w:space="0" w:color="auto"/>
              <w:right w:val="single" w:sz="4" w:space="0" w:color="auto"/>
            </w:tcBorders>
            <w:noWrap/>
            <w:vAlign w:val="bottom"/>
            <w:hideMark/>
          </w:tcPr>
          <w:p w14:paraId="51C5C0D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696D6081"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43F10EC2" w14:textId="77777777" w:rsidR="00416D67" w:rsidRPr="00416D67" w:rsidRDefault="00416D67" w:rsidP="00416D67">
            <w:pPr>
              <w:rPr>
                <w:rFonts w:ascii="Arial" w:hAnsi="Arial" w:cs="Arial"/>
                <w:sz w:val="14"/>
                <w:szCs w:val="14"/>
              </w:rPr>
            </w:pPr>
            <w:r w:rsidRPr="00416D67">
              <w:rPr>
                <w:rFonts w:ascii="Arial" w:hAnsi="Arial" w:cs="Arial"/>
                <w:sz w:val="14"/>
                <w:szCs w:val="14"/>
              </w:rPr>
              <w:t>Izvor 5.1.9 Pomoći fiskalna održivost dječjih vrtića</w:t>
            </w:r>
          </w:p>
        </w:tc>
        <w:tc>
          <w:tcPr>
            <w:tcW w:w="848" w:type="dxa"/>
            <w:tcBorders>
              <w:top w:val="single" w:sz="4" w:space="0" w:color="auto"/>
              <w:left w:val="nil"/>
              <w:bottom w:val="single" w:sz="4" w:space="0" w:color="auto"/>
              <w:right w:val="single" w:sz="4" w:space="0" w:color="auto"/>
            </w:tcBorders>
            <w:noWrap/>
            <w:vAlign w:val="bottom"/>
            <w:hideMark/>
          </w:tcPr>
          <w:p w14:paraId="11D0016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34.746,00</w:t>
            </w:r>
          </w:p>
        </w:tc>
        <w:tc>
          <w:tcPr>
            <w:tcW w:w="848" w:type="dxa"/>
            <w:tcBorders>
              <w:top w:val="single" w:sz="4" w:space="0" w:color="auto"/>
              <w:left w:val="nil"/>
              <w:bottom w:val="single" w:sz="4" w:space="0" w:color="auto"/>
              <w:right w:val="single" w:sz="4" w:space="0" w:color="auto"/>
            </w:tcBorders>
            <w:noWrap/>
            <w:vAlign w:val="bottom"/>
            <w:hideMark/>
          </w:tcPr>
          <w:p w14:paraId="73D330A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40.236,00</w:t>
            </w:r>
          </w:p>
        </w:tc>
        <w:tc>
          <w:tcPr>
            <w:tcW w:w="848" w:type="dxa"/>
            <w:tcBorders>
              <w:top w:val="single" w:sz="4" w:space="0" w:color="auto"/>
              <w:left w:val="nil"/>
              <w:bottom w:val="single" w:sz="4" w:space="0" w:color="auto"/>
              <w:right w:val="single" w:sz="4" w:space="0" w:color="auto"/>
            </w:tcBorders>
            <w:noWrap/>
            <w:vAlign w:val="bottom"/>
            <w:hideMark/>
          </w:tcPr>
          <w:p w14:paraId="07FE34C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40.236,00</w:t>
            </w:r>
          </w:p>
        </w:tc>
        <w:tc>
          <w:tcPr>
            <w:tcW w:w="848" w:type="dxa"/>
            <w:tcBorders>
              <w:top w:val="single" w:sz="4" w:space="0" w:color="auto"/>
              <w:left w:val="nil"/>
              <w:bottom w:val="single" w:sz="4" w:space="0" w:color="auto"/>
              <w:right w:val="single" w:sz="4" w:space="0" w:color="auto"/>
            </w:tcBorders>
            <w:noWrap/>
            <w:vAlign w:val="bottom"/>
            <w:hideMark/>
          </w:tcPr>
          <w:p w14:paraId="3E3BCCD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40.236,00</w:t>
            </w:r>
          </w:p>
        </w:tc>
        <w:tc>
          <w:tcPr>
            <w:tcW w:w="739" w:type="dxa"/>
            <w:tcBorders>
              <w:top w:val="nil"/>
              <w:left w:val="nil"/>
              <w:bottom w:val="single" w:sz="4" w:space="0" w:color="auto"/>
              <w:right w:val="single" w:sz="4" w:space="0" w:color="auto"/>
            </w:tcBorders>
            <w:noWrap/>
            <w:vAlign w:val="bottom"/>
            <w:hideMark/>
          </w:tcPr>
          <w:p w14:paraId="172D914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115,80%</w:t>
            </w:r>
          </w:p>
        </w:tc>
        <w:tc>
          <w:tcPr>
            <w:tcW w:w="583" w:type="dxa"/>
            <w:tcBorders>
              <w:top w:val="single" w:sz="4" w:space="0" w:color="auto"/>
              <w:left w:val="nil"/>
              <w:bottom w:val="single" w:sz="4" w:space="0" w:color="auto"/>
              <w:right w:val="single" w:sz="4" w:space="0" w:color="auto"/>
            </w:tcBorders>
            <w:noWrap/>
            <w:vAlign w:val="bottom"/>
            <w:hideMark/>
          </w:tcPr>
          <w:p w14:paraId="4A2ADD0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w:t>
            </w:r>
          </w:p>
        </w:tc>
      </w:tr>
      <w:tr w:rsidR="00416D67" w:rsidRPr="00416D67" w14:paraId="4978D940" w14:textId="77777777" w:rsidTr="00BB1392">
        <w:trPr>
          <w:trHeight w:val="180"/>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241C195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5.2. Tekuće pomoći državni proračun PK</w:t>
            </w:r>
          </w:p>
        </w:tc>
        <w:tc>
          <w:tcPr>
            <w:tcW w:w="848" w:type="dxa"/>
            <w:tcBorders>
              <w:top w:val="single" w:sz="4" w:space="0" w:color="auto"/>
              <w:left w:val="nil"/>
              <w:bottom w:val="single" w:sz="4" w:space="0" w:color="auto"/>
              <w:right w:val="single" w:sz="4" w:space="0" w:color="auto"/>
            </w:tcBorders>
            <w:noWrap/>
            <w:vAlign w:val="bottom"/>
            <w:hideMark/>
          </w:tcPr>
          <w:p w14:paraId="65050EB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1.791,60</w:t>
            </w:r>
          </w:p>
        </w:tc>
        <w:tc>
          <w:tcPr>
            <w:tcW w:w="848" w:type="dxa"/>
            <w:tcBorders>
              <w:top w:val="single" w:sz="4" w:space="0" w:color="auto"/>
              <w:left w:val="nil"/>
              <w:bottom w:val="single" w:sz="4" w:space="0" w:color="auto"/>
              <w:right w:val="single" w:sz="4" w:space="0" w:color="auto"/>
            </w:tcBorders>
            <w:noWrap/>
            <w:vAlign w:val="bottom"/>
            <w:hideMark/>
          </w:tcPr>
          <w:p w14:paraId="0E11B8A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6.164,00</w:t>
            </w:r>
          </w:p>
        </w:tc>
        <w:tc>
          <w:tcPr>
            <w:tcW w:w="848" w:type="dxa"/>
            <w:tcBorders>
              <w:top w:val="single" w:sz="4" w:space="0" w:color="auto"/>
              <w:left w:val="nil"/>
              <w:bottom w:val="single" w:sz="4" w:space="0" w:color="auto"/>
              <w:right w:val="single" w:sz="4" w:space="0" w:color="auto"/>
            </w:tcBorders>
            <w:noWrap/>
            <w:vAlign w:val="bottom"/>
            <w:hideMark/>
          </w:tcPr>
          <w:p w14:paraId="58E6A1E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6.164,00</w:t>
            </w:r>
          </w:p>
        </w:tc>
        <w:tc>
          <w:tcPr>
            <w:tcW w:w="848" w:type="dxa"/>
            <w:tcBorders>
              <w:top w:val="single" w:sz="4" w:space="0" w:color="auto"/>
              <w:left w:val="nil"/>
              <w:bottom w:val="single" w:sz="4" w:space="0" w:color="auto"/>
              <w:right w:val="single" w:sz="4" w:space="0" w:color="auto"/>
            </w:tcBorders>
            <w:noWrap/>
            <w:vAlign w:val="bottom"/>
            <w:hideMark/>
          </w:tcPr>
          <w:p w14:paraId="22DE320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5.858,40</w:t>
            </w:r>
          </w:p>
        </w:tc>
        <w:tc>
          <w:tcPr>
            <w:tcW w:w="739" w:type="dxa"/>
            <w:tcBorders>
              <w:top w:val="nil"/>
              <w:left w:val="nil"/>
              <w:bottom w:val="single" w:sz="4" w:space="0" w:color="auto"/>
              <w:right w:val="single" w:sz="4" w:space="0" w:color="auto"/>
            </w:tcBorders>
            <w:noWrap/>
            <w:vAlign w:val="bottom"/>
            <w:hideMark/>
          </w:tcPr>
          <w:p w14:paraId="4132DE5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326,99%</w:t>
            </w:r>
          </w:p>
        </w:tc>
        <w:tc>
          <w:tcPr>
            <w:tcW w:w="583" w:type="dxa"/>
            <w:tcBorders>
              <w:top w:val="single" w:sz="4" w:space="0" w:color="auto"/>
              <w:left w:val="nil"/>
              <w:bottom w:val="single" w:sz="4" w:space="0" w:color="auto"/>
              <w:right w:val="single" w:sz="4" w:space="0" w:color="auto"/>
            </w:tcBorders>
            <w:noWrap/>
            <w:vAlign w:val="bottom"/>
            <w:hideMark/>
          </w:tcPr>
          <w:p w14:paraId="57894DC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95,04%</w:t>
            </w:r>
          </w:p>
        </w:tc>
      </w:tr>
      <w:tr w:rsidR="00416D67" w:rsidRPr="00416D67" w14:paraId="4F2AD936" w14:textId="77777777" w:rsidTr="00BB1392">
        <w:trPr>
          <w:trHeight w:val="180"/>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3C335AE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lastRenderedPageBreak/>
              <w:t xml:space="preserve">Izvor 5.3. Tekuće pomoći PK JLP(R)S </w:t>
            </w:r>
          </w:p>
        </w:tc>
        <w:tc>
          <w:tcPr>
            <w:tcW w:w="848" w:type="dxa"/>
            <w:tcBorders>
              <w:top w:val="single" w:sz="4" w:space="0" w:color="auto"/>
              <w:left w:val="nil"/>
              <w:bottom w:val="single" w:sz="4" w:space="0" w:color="auto"/>
              <w:right w:val="single" w:sz="4" w:space="0" w:color="auto"/>
            </w:tcBorders>
            <w:noWrap/>
            <w:vAlign w:val="bottom"/>
            <w:hideMark/>
          </w:tcPr>
          <w:p w14:paraId="1933CE1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5.481,43</w:t>
            </w:r>
          </w:p>
        </w:tc>
        <w:tc>
          <w:tcPr>
            <w:tcW w:w="848" w:type="dxa"/>
            <w:tcBorders>
              <w:top w:val="single" w:sz="4" w:space="0" w:color="auto"/>
              <w:left w:val="nil"/>
              <w:bottom w:val="single" w:sz="4" w:space="0" w:color="auto"/>
              <w:right w:val="single" w:sz="4" w:space="0" w:color="auto"/>
            </w:tcBorders>
            <w:noWrap/>
            <w:vAlign w:val="bottom"/>
            <w:hideMark/>
          </w:tcPr>
          <w:p w14:paraId="73758D8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14.750,00</w:t>
            </w:r>
          </w:p>
        </w:tc>
        <w:tc>
          <w:tcPr>
            <w:tcW w:w="848" w:type="dxa"/>
            <w:tcBorders>
              <w:top w:val="single" w:sz="4" w:space="0" w:color="auto"/>
              <w:left w:val="nil"/>
              <w:bottom w:val="single" w:sz="4" w:space="0" w:color="auto"/>
              <w:right w:val="single" w:sz="4" w:space="0" w:color="auto"/>
            </w:tcBorders>
            <w:noWrap/>
            <w:vAlign w:val="bottom"/>
            <w:hideMark/>
          </w:tcPr>
          <w:p w14:paraId="7FC3AA6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14.750,00</w:t>
            </w:r>
          </w:p>
        </w:tc>
        <w:tc>
          <w:tcPr>
            <w:tcW w:w="848" w:type="dxa"/>
            <w:tcBorders>
              <w:top w:val="single" w:sz="4" w:space="0" w:color="auto"/>
              <w:left w:val="nil"/>
              <w:bottom w:val="single" w:sz="4" w:space="0" w:color="auto"/>
              <w:right w:val="single" w:sz="4" w:space="0" w:color="auto"/>
            </w:tcBorders>
            <w:noWrap/>
            <w:vAlign w:val="bottom"/>
            <w:hideMark/>
          </w:tcPr>
          <w:p w14:paraId="106DA93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14.481,50</w:t>
            </w:r>
          </w:p>
        </w:tc>
        <w:tc>
          <w:tcPr>
            <w:tcW w:w="739" w:type="dxa"/>
            <w:tcBorders>
              <w:top w:val="nil"/>
              <w:left w:val="nil"/>
              <w:bottom w:val="single" w:sz="4" w:space="0" w:color="auto"/>
              <w:right w:val="single" w:sz="4" w:space="0" w:color="auto"/>
            </w:tcBorders>
            <w:noWrap/>
            <w:vAlign w:val="bottom"/>
            <w:hideMark/>
          </w:tcPr>
          <w:p w14:paraId="5A01241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264,19%</w:t>
            </w:r>
          </w:p>
        </w:tc>
        <w:tc>
          <w:tcPr>
            <w:tcW w:w="583" w:type="dxa"/>
            <w:tcBorders>
              <w:top w:val="single" w:sz="4" w:space="0" w:color="auto"/>
              <w:left w:val="nil"/>
              <w:bottom w:val="single" w:sz="4" w:space="0" w:color="auto"/>
              <w:right w:val="single" w:sz="4" w:space="0" w:color="auto"/>
            </w:tcBorders>
            <w:noWrap/>
            <w:vAlign w:val="bottom"/>
            <w:hideMark/>
          </w:tcPr>
          <w:p w14:paraId="78D2EF1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98,18%</w:t>
            </w:r>
          </w:p>
        </w:tc>
      </w:tr>
      <w:tr w:rsidR="00416D67" w:rsidRPr="00416D67" w14:paraId="68FED89E" w14:textId="77777777" w:rsidTr="00BB1392">
        <w:trPr>
          <w:trHeight w:val="180"/>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39DBCBB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Izvor 5.4. Tekuće pomoći PK JLP(R)S </w:t>
            </w:r>
            <w:proofErr w:type="spellStart"/>
            <w:r w:rsidRPr="00416D67">
              <w:rPr>
                <w:rFonts w:ascii="Arial" w:hAnsi="Arial" w:cs="Arial"/>
                <w:b/>
                <w:bCs/>
                <w:sz w:val="14"/>
                <w:szCs w:val="14"/>
              </w:rPr>
              <w:t>Ist.županija</w:t>
            </w:r>
            <w:proofErr w:type="spellEnd"/>
          </w:p>
        </w:tc>
        <w:tc>
          <w:tcPr>
            <w:tcW w:w="848" w:type="dxa"/>
            <w:tcBorders>
              <w:top w:val="single" w:sz="4" w:space="0" w:color="auto"/>
              <w:left w:val="nil"/>
              <w:bottom w:val="single" w:sz="4" w:space="0" w:color="auto"/>
              <w:right w:val="single" w:sz="4" w:space="0" w:color="auto"/>
            </w:tcBorders>
            <w:noWrap/>
            <w:vAlign w:val="bottom"/>
            <w:hideMark/>
          </w:tcPr>
          <w:p w14:paraId="40227F2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848" w:type="dxa"/>
            <w:tcBorders>
              <w:top w:val="single" w:sz="4" w:space="0" w:color="auto"/>
              <w:left w:val="nil"/>
              <w:bottom w:val="single" w:sz="4" w:space="0" w:color="auto"/>
              <w:right w:val="single" w:sz="4" w:space="0" w:color="auto"/>
            </w:tcBorders>
            <w:noWrap/>
            <w:vAlign w:val="bottom"/>
            <w:hideMark/>
          </w:tcPr>
          <w:p w14:paraId="0673B41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848" w:type="dxa"/>
            <w:tcBorders>
              <w:top w:val="single" w:sz="4" w:space="0" w:color="auto"/>
              <w:left w:val="nil"/>
              <w:bottom w:val="single" w:sz="4" w:space="0" w:color="auto"/>
              <w:right w:val="single" w:sz="4" w:space="0" w:color="auto"/>
            </w:tcBorders>
            <w:noWrap/>
            <w:vAlign w:val="bottom"/>
            <w:hideMark/>
          </w:tcPr>
          <w:p w14:paraId="1FD0721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848" w:type="dxa"/>
            <w:tcBorders>
              <w:top w:val="single" w:sz="4" w:space="0" w:color="auto"/>
              <w:left w:val="nil"/>
              <w:bottom w:val="single" w:sz="4" w:space="0" w:color="auto"/>
              <w:right w:val="single" w:sz="4" w:space="0" w:color="auto"/>
            </w:tcBorders>
            <w:noWrap/>
            <w:vAlign w:val="bottom"/>
            <w:hideMark/>
          </w:tcPr>
          <w:p w14:paraId="1AB54B0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739" w:type="dxa"/>
            <w:tcBorders>
              <w:top w:val="nil"/>
              <w:left w:val="nil"/>
              <w:bottom w:val="single" w:sz="4" w:space="0" w:color="auto"/>
              <w:right w:val="single" w:sz="4" w:space="0" w:color="auto"/>
            </w:tcBorders>
            <w:noWrap/>
            <w:vAlign w:val="bottom"/>
            <w:hideMark/>
          </w:tcPr>
          <w:p w14:paraId="380CE6C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c>
          <w:tcPr>
            <w:tcW w:w="583" w:type="dxa"/>
            <w:tcBorders>
              <w:top w:val="single" w:sz="4" w:space="0" w:color="auto"/>
              <w:left w:val="nil"/>
              <w:bottom w:val="single" w:sz="4" w:space="0" w:color="auto"/>
              <w:right w:val="single" w:sz="4" w:space="0" w:color="auto"/>
            </w:tcBorders>
            <w:noWrap/>
            <w:vAlign w:val="bottom"/>
            <w:hideMark/>
          </w:tcPr>
          <w:p w14:paraId="61FE047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48416CC6" w14:textId="77777777" w:rsidTr="00BB1392">
        <w:trPr>
          <w:trHeight w:val="180"/>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13C921D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Izvor 5.6.6 Pomoći EU  (program razvoja kružnog </w:t>
            </w:r>
            <w:proofErr w:type="spellStart"/>
            <w:r w:rsidRPr="00416D67">
              <w:rPr>
                <w:rFonts w:ascii="Arial" w:hAnsi="Arial" w:cs="Arial"/>
                <w:b/>
                <w:bCs/>
                <w:sz w:val="14"/>
                <w:szCs w:val="14"/>
              </w:rPr>
              <w:t>gospod</w:t>
            </w:r>
            <w:proofErr w:type="spellEnd"/>
            <w:r w:rsidRPr="00416D67">
              <w:rPr>
                <w:rFonts w:ascii="Arial" w:hAnsi="Arial" w:cs="Arial"/>
                <w:b/>
                <w:bCs/>
                <w:sz w:val="14"/>
                <w:szCs w:val="14"/>
              </w:rPr>
              <w:t xml:space="preserve"> prostorom i </w:t>
            </w:r>
            <w:proofErr w:type="spellStart"/>
            <w:r w:rsidRPr="00416D67">
              <w:rPr>
                <w:rFonts w:ascii="Arial" w:hAnsi="Arial" w:cs="Arial"/>
                <w:b/>
                <w:bCs/>
                <w:sz w:val="14"/>
                <w:szCs w:val="14"/>
              </w:rPr>
              <w:t>zgrad</w:t>
            </w:r>
            <w:proofErr w:type="spellEnd"/>
          </w:p>
        </w:tc>
        <w:tc>
          <w:tcPr>
            <w:tcW w:w="848" w:type="dxa"/>
            <w:tcBorders>
              <w:top w:val="single" w:sz="4" w:space="0" w:color="auto"/>
              <w:left w:val="nil"/>
              <w:bottom w:val="single" w:sz="4" w:space="0" w:color="auto"/>
              <w:right w:val="single" w:sz="4" w:space="0" w:color="auto"/>
            </w:tcBorders>
            <w:noWrap/>
            <w:vAlign w:val="bottom"/>
            <w:hideMark/>
          </w:tcPr>
          <w:p w14:paraId="26249D1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848" w:type="dxa"/>
            <w:tcBorders>
              <w:top w:val="single" w:sz="4" w:space="0" w:color="auto"/>
              <w:left w:val="nil"/>
              <w:bottom w:val="single" w:sz="4" w:space="0" w:color="auto"/>
              <w:right w:val="single" w:sz="4" w:space="0" w:color="auto"/>
            </w:tcBorders>
            <w:noWrap/>
            <w:vAlign w:val="bottom"/>
            <w:hideMark/>
          </w:tcPr>
          <w:p w14:paraId="65AB164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31.487,70</w:t>
            </w:r>
          </w:p>
        </w:tc>
        <w:tc>
          <w:tcPr>
            <w:tcW w:w="848" w:type="dxa"/>
            <w:tcBorders>
              <w:top w:val="single" w:sz="4" w:space="0" w:color="auto"/>
              <w:left w:val="nil"/>
              <w:bottom w:val="single" w:sz="4" w:space="0" w:color="auto"/>
              <w:right w:val="single" w:sz="4" w:space="0" w:color="auto"/>
            </w:tcBorders>
            <w:noWrap/>
            <w:vAlign w:val="bottom"/>
            <w:hideMark/>
          </w:tcPr>
          <w:p w14:paraId="6F819D7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31.487,70</w:t>
            </w:r>
          </w:p>
        </w:tc>
        <w:tc>
          <w:tcPr>
            <w:tcW w:w="848" w:type="dxa"/>
            <w:tcBorders>
              <w:top w:val="single" w:sz="4" w:space="0" w:color="auto"/>
              <w:left w:val="nil"/>
              <w:bottom w:val="single" w:sz="4" w:space="0" w:color="auto"/>
              <w:right w:val="single" w:sz="4" w:space="0" w:color="auto"/>
            </w:tcBorders>
            <w:noWrap/>
            <w:vAlign w:val="bottom"/>
            <w:hideMark/>
          </w:tcPr>
          <w:p w14:paraId="5A82E6F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31.487,69</w:t>
            </w:r>
          </w:p>
        </w:tc>
        <w:tc>
          <w:tcPr>
            <w:tcW w:w="739" w:type="dxa"/>
            <w:tcBorders>
              <w:top w:val="nil"/>
              <w:left w:val="nil"/>
              <w:bottom w:val="single" w:sz="4" w:space="0" w:color="auto"/>
              <w:right w:val="single" w:sz="4" w:space="0" w:color="auto"/>
            </w:tcBorders>
            <w:noWrap/>
            <w:vAlign w:val="bottom"/>
            <w:hideMark/>
          </w:tcPr>
          <w:p w14:paraId="6AE3CB5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583" w:type="dxa"/>
            <w:tcBorders>
              <w:top w:val="single" w:sz="4" w:space="0" w:color="auto"/>
              <w:left w:val="nil"/>
              <w:bottom w:val="single" w:sz="4" w:space="0" w:color="auto"/>
              <w:right w:val="single" w:sz="4" w:space="0" w:color="auto"/>
            </w:tcBorders>
            <w:noWrap/>
            <w:vAlign w:val="bottom"/>
            <w:hideMark/>
          </w:tcPr>
          <w:p w14:paraId="3FFC2C6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99,37%</w:t>
            </w:r>
          </w:p>
        </w:tc>
      </w:tr>
      <w:tr w:rsidR="00416D67" w:rsidRPr="00416D67" w14:paraId="0558A5C6"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0F6C89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6. Donacije</w:t>
            </w:r>
          </w:p>
        </w:tc>
        <w:tc>
          <w:tcPr>
            <w:tcW w:w="848" w:type="dxa"/>
            <w:tcBorders>
              <w:top w:val="single" w:sz="4" w:space="0" w:color="auto"/>
              <w:left w:val="nil"/>
              <w:bottom w:val="single" w:sz="4" w:space="0" w:color="auto"/>
              <w:right w:val="single" w:sz="4" w:space="0" w:color="auto"/>
            </w:tcBorders>
            <w:shd w:val="clear" w:color="000000" w:fill="FFFF00"/>
            <w:noWrap/>
            <w:vAlign w:val="bottom"/>
            <w:hideMark/>
          </w:tcPr>
          <w:p w14:paraId="667A087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4.715,58</w:t>
            </w:r>
          </w:p>
        </w:tc>
        <w:tc>
          <w:tcPr>
            <w:tcW w:w="848" w:type="dxa"/>
            <w:tcBorders>
              <w:top w:val="single" w:sz="4" w:space="0" w:color="auto"/>
              <w:left w:val="nil"/>
              <w:bottom w:val="single" w:sz="4" w:space="0" w:color="auto"/>
              <w:right w:val="single" w:sz="4" w:space="0" w:color="auto"/>
            </w:tcBorders>
            <w:shd w:val="clear" w:color="000000" w:fill="FFFF00"/>
            <w:noWrap/>
            <w:vAlign w:val="bottom"/>
            <w:hideMark/>
          </w:tcPr>
          <w:p w14:paraId="72A3C59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w:t>
            </w:r>
          </w:p>
        </w:tc>
        <w:tc>
          <w:tcPr>
            <w:tcW w:w="848" w:type="dxa"/>
            <w:tcBorders>
              <w:top w:val="single" w:sz="4" w:space="0" w:color="auto"/>
              <w:left w:val="nil"/>
              <w:bottom w:val="single" w:sz="4" w:space="0" w:color="auto"/>
              <w:right w:val="single" w:sz="4" w:space="0" w:color="auto"/>
            </w:tcBorders>
            <w:shd w:val="clear" w:color="000000" w:fill="FFFF00"/>
            <w:noWrap/>
            <w:vAlign w:val="bottom"/>
            <w:hideMark/>
          </w:tcPr>
          <w:p w14:paraId="0FE06EE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w:t>
            </w:r>
          </w:p>
        </w:tc>
        <w:tc>
          <w:tcPr>
            <w:tcW w:w="848" w:type="dxa"/>
            <w:tcBorders>
              <w:top w:val="single" w:sz="4" w:space="0" w:color="auto"/>
              <w:left w:val="nil"/>
              <w:bottom w:val="single" w:sz="4" w:space="0" w:color="auto"/>
              <w:right w:val="single" w:sz="4" w:space="0" w:color="auto"/>
            </w:tcBorders>
            <w:shd w:val="clear" w:color="000000" w:fill="FFFF00"/>
            <w:noWrap/>
            <w:vAlign w:val="bottom"/>
            <w:hideMark/>
          </w:tcPr>
          <w:p w14:paraId="300B522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739" w:type="dxa"/>
            <w:tcBorders>
              <w:top w:val="nil"/>
              <w:left w:val="nil"/>
              <w:bottom w:val="single" w:sz="4" w:space="0" w:color="auto"/>
              <w:right w:val="single" w:sz="4" w:space="0" w:color="auto"/>
            </w:tcBorders>
            <w:shd w:val="clear" w:color="000000" w:fill="FFFF00"/>
            <w:noWrap/>
            <w:vAlign w:val="bottom"/>
            <w:hideMark/>
          </w:tcPr>
          <w:p w14:paraId="3D5CACB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583" w:type="dxa"/>
            <w:tcBorders>
              <w:top w:val="single" w:sz="4" w:space="0" w:color="auto"/>
              <w:left w:val="nil"/>
              <w:bottom w:val="single" w:sz="4" w:space="0" w:color="auto"/>
              <w:right w:val="single" w:sz="4" w:space="0" w:color="auto"/>
            </w:tcBorders>
            <w:shd w:val="clear" w:color="000000" w:fill="FFFF00"/>
            <w:noWrap/>
            <w:vAlign w:val="bottom"/>
            <w:hideMark/>
          </w:tcPr>
          <w:p w14:paraId="275BBC6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31CE11A3"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34DC604B" w14:textId="77777777" w:rsidR="00416D67" w:rsidRPr="00416D67" w:rsidRDefault="00416D67" w:rsidP="00416D67">
            <w:pPr>
              <w:rPr>
                <w:rFonts w:ascii="Arial" w:hAnsi="Arial" w:cs="Arial"/>
                <w:sz w:val="14"/>
                <w:szCs w:val="14"/>
              </w:rPr>
            </w:pPr>
            <w:r w:rsidRPr="00416D67">
              <w:rPr>
                <w:rFonts w:ascii="Arial" w:hAnsi="Arial" w:cs="Arial"/>
                <w:sz w:val="14"/>
                <w:szCs w:val="14"/>
              </w:rPr>
              <w:t>Izvor 6.1. 06 Donacije</w:t>
            </w:r>
          </w:p>
        </w:tc>
        <w:tc>
          <w:tcPr>
            <w:tcW w:w="848" w:type="dxa"/>
            <w:tcBorders>
              <w:top w:val="single" w:sz="4" w:space="0" w:color="auto"/>
              <w:left w:val="nil"/>
              <w:bottom w:val="single" w:sz="4" w:space="0" w:color="auto"/>
              <w:right w:val="single" w:sz="4" w:space="0" w:color="auto"/>
            </w:tcBorders>
            <w:noWrap/>
            <w:vAlign w:val="bottom"/>
            <w:hideMark/>
          </w:tcPr>
          <w:p w14:paraId="0566DC0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4.715,58</w:t>
            </w:r>
          </w:p>
        </w:tc>
        <w:tc>
          <w:tcPr>
            <w:tcW w:w="848" w:type="dxa"/>
            <w:tcBorders>
              <w:top w:val="single" w:sz="4" w:space="0" w:color="auto"/>
              <w:left w:val="nil"/>
              <w:bottom w:val="single" w:sz="4" w:space="0" w:color="auto"/>
              <w:right w:val="single" w:sz="4" w:space="0" w:color="auto"/>
            </w:tcBorders>
            <w:noWrap/>
            <w:vAlign w:val="bottom"/>
            <w:hideMark/>
          </w:tcPr>
          <w:p w14:paraId="5614275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848" w:type="dxa"/>
            <w:tcBorders>
              <w:top w:val="single" w:sz="4" w:space="0" w:color="auto"/>
              <w:left w:val="nil"/>
              <w:bottom w:val="single" w:sz="4" w:space="0" w:color="auto"/>
              <w:right w:val="single" w:sz="4" w:space="0" w:color="auto"/>
            </w:tcBorders>
            <w:noWrap/>
            <w:vAlign w:val="bottom"/>
            <w:hideMark/>
          </w:tcPr>
          <w:p w14:paraId="5E36789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848" w:type="dxa"/>
            <w:tcBorders>
              <w:top w:val="single" w:sz="4" w:space="0" w:color="auto"/>
              <w:left w:val="nil"/>
              <w:bottom w:val="single" w:sz="4" w:space="0" w:color="auto"/>
              <w:right w:val="single" w:sz="4" w:space="0" w:color="auto"/>
            </w:tcBorders>
            <w:noWrap/>
            <w:vAlign w:val="bottom"/>
            <w:hideMark/>
          </w:tcPr>
          <w:p w14:paraId="6ABE25D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739" w:type="dxa"/>
            <w:tcBorders>
              <w:top w:val="nil"/>
              <w:left w:val="nil"/>
              <w:bottom w:val="single" w:sz="4" w:space="0" w:color="auto"/>
              <w:right w:val="single" w:sz="4" w:space="0" w:color="auto"/>
            </w:tcBorders>
            <w:noWrap/>
            <w:vAlign w:val="bottom"/>
            <w:hideMark/>
          </w:tcPr>
          <w:p w14:paraId="1BBE2D7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583" w:type="dxa"/>
            <w:tcBorders>
              <w:top w:val="single" w:sz="4" w:space="0" w:color="auto"/>
              <w:left w:val="nil"/>
              <w:bottom w:val="single" w:sz="4" w:space="0" w:color="auto"/>
              <w:right w:val="single" w:sz="4" w:space="0" w:color="auto"/>
            </w:tcBorders>
            <w:noWrap/>
            <w:vAlign w:val="bottom"/>
            <w:hideMark/>
          </w:tcPr>
          <w:p w14:paraId="69E2832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082D6BFB"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498762F8" w14:textId="77777777" w:rsidR="00416D67" w:rsidRPr="00416D67" w:rsidRDefault="00416D67" w:rsidP="00416D67">
            <w:pPr>
              <w:rPr>
                <w:rFonts w:ascii="Arial" w:hAnsi="Arial" w:cs="Arial"/>
                <w:sz w:val="14"/>
                <w:szCs w:val="14"/>
              </w:rPr>
            </w:pPr>
            <w:r w:rsidRPr="00416D67">
              <w:rPr>
                <w:rFonts w:ascii="Arial" w:hAnsi="Arial" w:cs="Arial"/>
                <w:sz w:val="14"/>
                <w:szCs w:val="14"/>
              </w:rPr>
              <w:t>Izvor 6.2. Donacije PK</w:t>
            </w:r>
          </w:p>
        </w:tc>
        <w:tc>
          <w:tcPr>
            <w:tcW w:w="848" w:type="dxa"/>
            <w:tcBorders>
              <w:top w:val="single" w:sz="4" w:space="0" w:color="auto"/>
              <w:left w:val="nil"/>
              <w:bottom w:val="single" w:sz="4" w:space="0" w:color="auto"/>
              <w:right w:val="single" w:sz="4" w:space="0" w:color="auto"/>
            </w:tcBorders>
            <w:noWrap/>
            <w:vAlign w:val="bottom"/>
            <w:hideMark/>
          </w:tcPr>
          <w:p w14:paraId="69ECAC3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848" w:type="dxa"/>
            <w:tcBorders>
              <w:top w:val="single" w:sz="4" w:space="0" w:color="auto"/>
              <w:left w:val="nil"/>
              <w:bottom w:val="single" w:sz="4" w:space="0" w:color="auto"/>
              <w:right w:val="single" w:sz="4" w:space="0" w:color="auto"/>
            </w:tcBorders>
            <w:noWrap/>
            <w:vAlign w:val="bottom"/>
            <w:hideMark/>
          </w:tcPr>
          <w:p w14:paraId="3798B2C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300,00</w:t>
            </w:r>
          </w:p>
        </w:tc>
        <w:tc>
          <w:tcPr>
            <w:tcW w:w="848" w:type="dxa"/>
            <w:tcBorders>
              <w:top w:val="single" w:sz="4" w:space="0" w:color="auto"/>
              <w:left w:val="nil"/>
              <w:bottom w:val="single" w:sz="4" w:space="0" w:color="auto"/>
              <w:right w:val="single" w:sz="4" w:space="0" w:color="auto"/>
            </w:tcBorders>
            <w:noWrap/>
            <w:vAlign w:val="bottom"/>
            <w:hideMark/>
          </w:tcPr>
          <w:p w14:paraId="781001A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300,00</w:t>
            </w:r>
          </w:p>
        </w:tc>
        <w:tc>
          <w:tcPr>
            <w:tcW w:w="848" w:type="dxa"/>
            <w:tcBorders>
              <w:top w:val="single" w:sz="4" w:space="0" w:color="auto"/>
              <w:left w:val="nil"/>
              <w:bottom w:val="single" w:sz="4" w:space="0" w:color="auto"/>
              <w:right w:val="single" w:sz="4" w:space="0" w:color="auto"/>
            </w:tcBorders>
            <w:noWrap/>
            <w:vAlign w:val="bottom"/>
            <w:hideMark/>
          </w:tcPr>
          <w:p w14:paraId="191BE00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739" w:type="dxa"/>
            <w:tcBorders>
              <w:top w:val="nil"/>
              <w:left w:val="nil"/>
              <w:bottom w:val="single" w:sz="4" w:space="0" w:color="auto"/>
              <w:right w:val="single" w:sz="4" w:space="0" w:color="auto"/>
            </w:tcBorders>
            <w:noWrap/>
            <w:vAlign w:val="bottom"/>
            <w:hideMark/>
          </w:tcPr>
          <w:p w14:paraId="5D6D175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583" w:type="dxa"/>
            <w:tcBorders>
              <w:top w:val="single" w:sz="4" w:space="0" w:color="auto"/>
              <w:left w:val="nil"/>
              <w:bottom w:val="single" w:sz="4" w:space="0" w:color="auto"/>
              <w:right w:val="single" w:sz="4" w:space="0" w:color="auto"/>
            </w:tcBorders>
            <w:noWrap/>
            <w:vAlign w:val="bottom"/>
            <w:hideMark/>
          </w:tcPr>
          <w:p w14:paraId="3D267A4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74BB2A31"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194378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Izvor 7. Prihodi od prodaje ili zamjene nefinancijske imovine i </w:t>
            </w:r>
            <w:proofErr w:type="spellStart"/>
            <w:r w:rsidRPr="00416D67">
              <w:rPr>
                <w:rFonts w:ascii="Arial" w:hAnsi="Arial" w:cs="Arial"/>
                <w:b/>
                <w:bCs/>
                <w:sz w:val="14"/>
                <w:szCs w:val="14"/>
              </w:rPr>
              <w:t>nakna</w:t>
            </w:r>
            <w:proofErr w:type="spellEnd"/>
          </w:p>
        </w:tc>
        <w:tc>
          <w:tcPr>
            <w:tcW w:w="848" w:type="dxa"/>
            <w:tcBorders>
              <w:top w:val="single" w:sz="4" w:space="0" w:color="auto"/>
              <w:left w:val="nil"/>
              <w:bottom w:val="single" w:sz="4" w:space="0" w:color="auto"/>
              <w:right w:val="single" w:sz="4" w:space="0" w:color="auto"/>
            </w:tcBorders>
            <w:shd w:val="clear" w:color="000000" w:fill="FFFF00"/>
            <w:noWrap/>
            <w:vAlign w:val="bottom"/>
            <w:hideMark/>
          </w:tcPr>
          <w:p w14:paraId="3E230A7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8.886,01</w:t>
            </w:r>
          </w:p>
        </w:tc>
        <w:tc>
          <w:tcPr>
            <w:tcW w:w="848" w:type="dxa"/>
            <w:tcBorders>
              <w:top w:val="single" w:sz="4" w:space="0" w:color="auto"/>
              <w:left w:val="nil"/>
              <w:bottom w:val="single" w:sz="4" w:space="0" w:color="auto"/>
              <w:right w:val="single" w:sz="4" w:space="0" w:color="auto"/>
            </w:tcBorders>
            <w:shd w:val="clear" w:color="000000" w:fill="FFFF00"/>
            <w:noWrap/>
            <w:vAlign w:val="bottom"/>
            <w:hideMark/>
          </w:tcPr>
          <w:p w14:paraId="61562C1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1.683.370,00</w:t>
            </w:r>
          </w:p>
        </w:tc>
        <w:tc>
          <w:tcPr>
            <w:tcW w:w="848" w:type="dxa"/>
            <w:tcBorders>
              <w:top w:val="single" w:sz="4" w:space="0" w:color="auto"/>
              <w:left w:val="nil"/>
              <w:bottom w:val="single" w:sz="4" w:space="0" w:color="auto"/>
              <w:right w:val="single" w:sz="4" w:space="0" w:color="auto"/>
            </w:tcBorders>
            <w:shd w:val="clear" w:color="000000" w:fill="FFFF00"/>
            <w:noWrap/>
            <w:vAlign w:val="bottom"/>
            <w:hideMark/>
          </w:tcPr>
          <w:p w14:paraId="41E6173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1.683.370,00</w:t>
            </w:r>
          </w:p>
        </w:tc>
        <w:tc>
          <w:tcPr>
            <w:tcW w:w="848" w:type="dxa"/>
            <w:tcBorders>
              <w:top w:val="single" w:sz="4" w:space="0" w:color="auto"/>
              <w:left w:val="nil"/>
              <w:bottom w:val="single" w:sz="4" w:space="0" w:color="auto"/>
              <w:right w:val="single" w:sz="4" w:space="0" w:color="auto"/>
            </w:tcBorders>
            <w:shd w:val="clear" w:color="000000" w:fill="FFFF00"/>
            <w:noWrap/>
            <w:vAlign w:val="bottom"/>
            <w:hideMark/>
          </w:tcPr>
          <w:p w14:paraId="33148C6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550.885,43</w:t>
            </w:r>
          </w:p>
        </w:tc>
        <w:tc>
          <w:tcPr>
            <w:tcW w:w="739" w:type="dxa"/>
            <w:tcBorders>
              <w:top w:val="nil"/>
              <w:left w:val="nil"/>
              <w:bottom w:val="single" w:sz="4" w:space="0" w:color="auto"/>
              <w:right w:val="single" w:sz="4" w:space="0" w:color="auto"/>
            </w:tcBorders>
            <w:shd w:val="clear" w:color="000000" w:fill="FFFF00"/>
            <w:noWrap/>
            <w:vAlign w:val="bottom"/>
            <w:hideMark/>
          </w:tcPr>
          <w:p w14:paraId="365BA1A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6199,47%</w:t>
            </w:r>
          </w:p>
        </w:tc>
        <w:tc>
          <w:tcPr>
            <w:tcW w:w="583" w:type="dxa"/>
            <w:tcBorders>
              <w:top w:val="single" w:sz="4" w:space="0" w:color="auto"/>
              <w:left w:val="nil"/>
              <w:bottom w:val="single" w:sz="4" w:space="0" w:color="auto"/>
              <w:right w:val="single" w:sz="4" w:space="0" w:color="auto"/>
            </w:tcBorders>
            <w:shd w:val="clear" w:color="000000" w:fill="FFFF00"/>
            <w:noWrap/>
            <w:vAlign w:val="bottom"/>
            <w:hideMark/>
          </w:tcPr>
          <w:p w14:paraId="7454CFF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32,73%</w:t>
            </w:r>
          </w:p>
        </w:tc>
      </w:tr>
      <w:tr w:rsidR="00416D67" w:rsidRPr="00416D67" w14:paraId="70ACCC2D"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4B4E968E"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7.1. 07 Prihodi od prodaje ili zamjene  </w:t>
            </w:r>
            <w:proofErr w:type="spellStart"/>
            <w:r w:rsidRPr="00416D67">
              <w:rPr>
                <w:rFonts w:ascii="Arial" w:hAnsi="Arial" w:cs="Arial"/>
                <w:sz w:val="14"/>
                <w:szCs w:val="14"/>
              </w:rPr>
              <w:t>nefinanc.imovine</w:t>
            </w:r>
            <w:proofErr w:type="spellEnd"/>
            <w:r w:rsidRPr="00416D67">
              <w:rPr>
                <w:rFonts w:ascii="Arial" w:hAnsi="Arial" w:cs="Arial"/>
                <w:sz w:val="14"/>
                <w:szCs w:val="14"/>
              </w:rPr>
              <w:t xml:space="preserve"> i </w:t>
            </w:r>
            <w:proofErr w:type="spellStart"/>
            <w:r w:rsidRPr="00416D67">
              <w:rPr>
                <w:rFonts w:ascii="Arial" w:hAnsi="Arial" w:cs="Arial"/>
                <w:sz w:val="14"/>
                <w:szCs w:val="14"/>
              </w:rPr>
              <w:t>nadokn</w:t>
            </w:r>
            <w:proofErr w:type="spellEnd"/>
          </w:p>
        </w:tc>
        <w:tc>
          <w:tcPr>
            <w:tcW w:w="848" w:type="dxa"/>
            <w:tcBorders>
              <w:top w:val="single" w:sz="4" w:space="0" w:color="auto"/>
              <w:left w:val="nil"/>
              <w:bottom w:val="single" w:sz="4" w:space="0" w:color="auto"/>
              <w:right w:val="single" w:sz="4" w:space="0" w:color="auto"/>
            </w:tcBorders>
            <w:noWrap/>
            <w:vAlign w:val="bottom"/>
            <w:hideMark/>
          </w:tcPr>
          <w:p w14:paraId="20F2B01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2.140,00</w:t>
            </w:r>
          </w:p>
        </w:tc>
        <w:tc>
          <w:tcPr>
            <w:tcW w:w="848" w:type="dxa"/>
            <w:tcBorders>
              <w:top w:val="single" w:sz="4" w:space="0" w:color="auto"/>
              <w:left w:val="nil"/>
              <w:bottom w:val="single" w:sz="4" w:space="0" w:color="auto"/>
              <w:right w:val="single" w:sz="4" w:space="0" w:color="auto"/>
            </w:tcBorders>
            <w:noWrap/>
            <w:vAlign w:val="bottom"/>
            <w:hideMark/>
          </w:tcPr>
          <w:p w14:paraId="19590D9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1.679.870,00</w:t>
            </w:r>
          </w:p>
        </w:tc>
        <w:tc>
          <w:tcPr>
            <w:tcW w:w="848" w:type="dxa"/>
            <w:tcBorders>
              <w:top w:val="single" w:sz="4" w:space="0" w:color="auto"/>
              <w:left w:val="nil"/>
              <w:bottom w:val="single" w:sz="4" w:space="0" w:color="auto"/>
              <w:right w:val="single" w:sz="4" w:space="0" w:color="auto"/>
            </w:tcBorders>
            <w:noWrap/>
            <w:vAlign w:val="bottom"/>
            <w:hideMark/>
          </w:tcPr>
          <w:p w14:paraId="086A063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1.679.870,00</w:t>
            </w:r>
          </w:p>
        </w:tc>
        <w:tc>
          <w:tcPr>
            <w:tcW w:w="848" w:type="dxa"/>
            <w:tcBorders>
              <w:top w:val="single" w:sz="4" w:space="0" w:color="auto"/>
              <w:left w:val="nil"/>
              <w:bottom w:val="single" w:sz="4" w:space="0" w:color="auto"/>
              <w:right w:val="single" w:sz="4" w:space="0" w:color="auto"/>
            </w:tcBorders>
            <w:noWrap/>
            <w:vAlign w:val="bottom"/>
            <w:hideMark/>
          </w:tcPr>
          <w:p w14:paraId="667C0DB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547.938,78</w:t>
            </w:r>
          </w:p>
        </w:tc>
        <w:tc>
          <w:tcPr>
            <w:tcW w:w="739" w:type="dxa"/>
            <w:tcBorders>
              <w:top w:val="nil"/>
              <w:left w:val="nil"/>
              <w:bottom w:val="single" w:sz="4" w:space="0" w:color="auto"/>
              <w:right w:val="single" w:sz="4" w:space="0" w:color="auto"/>
            </w:tcBorders>
            <w:noWrap/>
            <w:vAlign w:val="bottom"/>
            <w:hideMark/>
          </w:tcPr>
          <w:p w14:paraId="4028159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25604,62%</w:t>
            </w:r>
          </w:p>
        </w:tc>
        <w:tc>
          <w:tcPr>
            <w:tcW w:w="583" w:type="dxa"/>
            <w:tcBorders>
              <w:top w:val="single" w:sz="4" w:space="0" w:color="auto"/>
              <w:left w:val="nil"/>
              <w:bottom w:val="single" w:sz="4" w:space="0" w:color="auto"/>
              <w:right w:val="single" w:sz="4" w:space="0" w:color="auto"/>
            </w:tcBorders>
            <w:noWrap/>
            <w:vAlign w:val="bottom"/>
            <w:hideMark/>
          </w:tcPr>
          <w:p w14:paraId="5CD19E2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32,62%</w:t>
            </w:r>
          </w:p>
        </w:tc>
      </w:tr>
      <w:tr w:rsidR="00416D67" w:rsidRPr="00416D67" w14:paraId="14CA8276"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3021D947"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7.2. Prodaja državnog </w:t>
            </w:r>
            <w:proofErr w:type="spellStart"/>
            <w:r w:rsidRPr="00416D67">
              <w:rPr>
                <w:rFonts w:ascii="Arial" w:hAnsi="Arial" w:cs="Arial"/>
                <w:sz w:val="14"/>
                <w:szCs w:val="14"/>
              </w:rPr>
              <w:t>poljopr.zemljišta</w:t>
            </w:r>
            <w:proofErr w:type="spellEnd"/>
            <w:r w:rsidRPr="00416D67">
              <w:rPr>
                <w:rFonts w:ascii="Arial" w:hAnsi="Arial" w:cs="Arial"/>
                <w:sz w:val="14"/>
                <w:szCs w:val="14"/>
              </w:rPr>
              <w:t xml:space="preserve"> 6457</w:t>
            </w:r>
          </w:p>
        </w:tc>
        <w:tc>
          <w:tcPr>
            <w:tcW w:w="848" w:type="dxa"/>
            <w:tcBorders>
              <w:top w:val="single" w:sz="4" w:space="0" w:color="auto"/>
              <w:left w:val="nil"/>
              <w:bottom w:val="single" w:sz="4" w:space="0" w:color="auto"/>
              <w:right w:val="single" w:sz="4" w:space="0" w:color="auto"/>
            </w:tcBorders>
            <w:noWrap/>
            <w:vAlign w:val="bottom"/>
            <w:hideMark/>
          </w:tcPr>
          <w:p w14:paraId="1D99473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6.746,01</w:t>
            </w:r>
          </w:p>
        </w:tc>
        <w:tc>
          <w:tcPr>
            <w:tcW w:w="848" w:type="dxa"/>
            <w:tcBorders>
              <w:top w:val="single" w:sz="4" w:space="0" w:color="auto"/>
              <w:left w:val="nil"/>
              <w:bottom w:val="single" w:sz="4" w:space="0" w:color="auto"/>
              <w:right w:val="single" w:sz="4" w:space="0" w:color="auto"/>
            </w:tcBorders>
            <w:noWrap/>
            <w:vAlign w:val="bottom"/>
            <w:hideMark/>
          </w:tcPr>
          <w:p w14:paraId="1C4EF62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3.500,00</w:t>
            </w:r>
          </w:p>
        </w:tc>
        <w:tc>
          <w:tcPr>
            <w:tcW w:w="848" w:type="dxa"/>
            <w:tcBorders>
              <w:top w:val="single" w:sz="4" w:space="0" w:color="auto"/>
              <w:left w:val="nil"/>
              <w:bottom w:val="single" w:sz="4" w:space="0" w:color="auto"/>
              <w:right w:val="single" w:sz="4" w:space="0" w:color="auto"/>
            </w:tcBorders>
            <w:noWrap/>
            <w:vAlign w:val="bottom"/>
            <w:hideMark/>
          </w:tcPr>
          <w:p w14:paraId="1C4728B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3.500,00</w:t>
            </w:r>
          </w:p>
        </w:tc>
        <w:tc>
          <w:tcPr>
            <w:tcW w:w="848" w:type="dxa"/>
            <w:tcBorders>
              <w:top w:val="single" w:sz="4" w:space="0" w:color="auto"/>
              <w:left w:val="nil"/>
              <w:bottom w:val="single" w:sz="4" w:space="0" w:color="auto"/>
              <w:right w:val="single" w:sz="4" w:space="0" w:color="auto"/>
            </w:tcBorders>
            <w:noWrap/>
            <w:vAlign w:val="bottom"/>
            <w:hideMark/>
          </w:tcPr>
          <w:p w14:paraId="70F0C9F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2.946,65</w:t>
            </w:r>
          </w:p>
        </w:tc>
        <w:tc>
          <w:tcPr>
            <w:tcW w:w="739" w:type="dxa"/>
            <w:tcBorders>
              <w:top w:val="nil"/>
              <w:left w:val="nil"/>
              <w:bottom w:val="single" w:sz="4" w:space="0" w:color="auto"/>
              <w:right w:val="single" w:sz="4" w:space="0" w:color="auto"/>
            </w:tcBorders>
            <w:noWrap/>
            <w:vAlign w:val="bottom"/>
            <w:hideMark/>
          </w:tcPr>
          <w:p w14:paraId="608012D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43,68%</w:t>
            </w:r>
          </w:p>
        </w:tc>
        <w:tc>
          <w:tcPr>
            <w:tcW w:w="583" w:type="dxa"/>
            <w:tcBorders>
              <w:top w:val="single" w:sz="4" w:space="0" w:color="auto"/>
              <w:left w:val="nil"/>
              <w:bottom w:val="single" w:sz="4" w:space="0" w:color="auto"/>
              <w:right w:val="single" w:sz="4" w:space="0" w:color="auto"/>
            </w:tcBorders>
            <w:noWrap/>
            <w:vAlign w:val="bottom"/>
            <w:hideMark/>
          </w:tcPr>
          <w:p w14:paraId="2C60B34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84,19%</w:t>
            </w:r>
          </w:p>
        </w:tc>
      </w:tr>
      <w:tr w:rsidR="00416D67" w:rsidRPr="00416D67" w14:paraId="5FBB3651"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7FBB04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9. Višak prihoda ranijih godina</w:t>
            </w:r>
          </w:p>
        </w:tc>
        <w:tc>
          <w:tcPr>
            <w:tcW w:w="848" w:type="dxa"/>
            <w:tcBorders>
              <w:top w:val="single" w:sz="4" w:space="0" w:color="auto"/>
              <w:left w:val="nil"/>
              <w:bottom w:val="single" w:sz="4" w:space="0" w:color="auto"/>
              <w:right w:val="single" w:sz="4" w:space="0" w:color="auto"/>
            </w:tcBorders>
            <w:shd w:val="clear" w:color="000000" w:fill="FFFF00"/>
            <w:noWrap/>
            <w:vAlign w:val="bottom"/>
            <w:hideMark/>
          </w:tcPr>
          <w:p w14:paraId="4DA64B3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348.690,81</w:t>
            </w:r>
          </w:p>
        </w:tc>
        <w:tc>
          <w:tcPr>
            <w:tcW w:w="848" w:type="dxa"/>
            <w:tcBorders>
              <w:top w:val="single" w:sz="4" w:space="0" w:color="auto"/>
              <w:left w:val="nil"/>
              <w:bottom w:val="single" w:sz="4" w:space="0" w:color="auto"/>
              <w:right w:val="single" w:sz="4" w:space="0" w:color="auto"/>
            </w:tcBorders>
            <w:shd w:val="clear" w:color="000000" w:fill="FFFF00"/>
            <w:noWrap/>
            <w:vAlign w:val="bottom"/>
            <w:hideMark/>
          </w:tcPr>
          <w:p w14:paraId="7FA14CE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1.638.339,82</w:t>
            </w:r>
          </w:p>
        </w:tc>
        <w:tc>
          <w:tcPr>
            <w:tcW w:w="848" w:type="dxa"/>
            <w:tcBorders>
              <w:top w:val="single" w:sz="4" w:space="0" w:color="auto"/>
              <w:left w:val="nil"/>
              <w:bottom w:val="single" w:sz="4" w:space="0" w:color="auto"/>
              <w:right w:val="single" w:sz="4" w:space="0" w:color="auto"/>
            </w:tcBorders>
            <w:shd w:val="clear" w:color="000000" w:fill="FFFF00"/>
            <w:noWrap/>
            <w:vAlign w:val="bottom"/>
            <w:hideMark/>
          </w:tcPr>
          <w:p w14:paraId="6A0F5F4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1.638.339,82</w:t>
            </w:r>
          </w:p>
        </w:tc>
        <w:tc>
          <w:tcPr>
            <w:tcW w:w="848" w:type="dxa"/>
            <w:tcBorders>
              <w:top w:val="single" w:sz="4" w:space="0" w:color="auto"/>
              <w:left w:val="nil"/>
              <w:bottom w:val="single" w:sz="4" w:space="0" w:color="auto"/>
              <w:right w:val="single" w:sz="4" w:space="0" w:color="auto"/>
            </w:tcBorders>
            <w:shd w:val="clear" w:color="000000" w:fill="FFFF00"/>
            <w:noWrap/>
            <w:vAlign w:val="bottom"/>
            <w:hideMark/>
          </w:tcPr>
          <w:p w14:paraId="6AC622D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980.282,57</w:t>
            </w:r>
          </w:p>
        </w:tc>
        <w:tc>
          <w:tcPr>
            <w:tcW w:w="739" w:type="dxa"/>
            <w:tcBorders>
              <w:top w:val="nil"/>
              <w:left w:val="nil"/>
              <w:bottom w:val="single" w:sz="4" w:space="0" w:color="auto"/>
              <w:right w:val="single" w:sz="4" w:space="0" w:color="auto"/>
            </w:tcBorders>
            <w:shd w:val="clear" w:color="000000" w:fill="FFFF00"/>
            <w:noWrap/>
            <w:vAlign w:val="bottom"/>
            <w:hideMark/>
          </w:tcPr>
          <w:p w14:paraId="4E33975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249,79%</w:t>
            </w:r>
          </w:p>
        </w:tc>
        <w:tc>
          <w:tcPr>
            <w:tcW w:w="583" w:type="dxa"/>
            <w:tcBorders>
              <w:top w:val="single" w:sz="4" w:space="0" w:color="auto"/>
              <w:left w:val="nil"/>
              <w:bottom w:val="single" w:sz="4" w:space="0" w:color="auto"/>
              <w:right w:val="single" w:sz="4" w:space="0" w:color="auto"/>
            </w:tcBorders>
            <w:shd w:val="clear" w:color="000000" w:fill="FFFF00"/>
            <w:noWrap/>
            <w:vAlign w:val="bottom"/>
            <w:hideMark/>
          </w:tcPr>
          <w:p w14:paraId="2C4149D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53,16%</w:t>
            </w:r>
          </w:p>
        </w:tc>
      </w:tr>
      <w:tr w:rsidR="00416D67" w:rsidRPr="00416D67" w14:paraId="3401987E"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2C1FA083"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9.1. Višak prihoda ranijih godina opći prihodi i primici</w:t>
            </w:r>
          </w:p>
        </w:tc>
        <w:tc>
          <w:tcPr>
            <w:tcW w:w="848" w:type="dxa"/>
            <w:tcBorders>
              <w:top w:val="single" w:sz="4" w:space="0" w:color="auto"/>
              <w:left w:val="nil"/>
              <w:bottom w:val="single" w:sz="4" w:space="0" w:color="auto"/>
              <w:right w:val="single" w:sz="4" w:space="0" w:color="auto"/>
            </w:tcBorders>
            <w:noWrap/>
            <w:vAlign w:val="bottom"/>
            <w:hideMark/>
          </w:tcPr>
          <w:p w14:paraId="545D885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292.076,30</w:t>
            </w:r>
          </w:p>
        </w:tc>
        <w:tc>
          <w:tcPr>
            <w:tcW w:w="848" w:type="dxa"/>
            <w:tcBorders>
              <w:top w:val="single" w:sz="4" w:space="0" w:color="auto"/>
              <w:left w:val="nil"/>
              <w:bottom w:val="single" w:sz="4" w:space="0" w:color="auto"/>
              <w:right w:val="single" w:sz="4" w:space="0" w:color="auto"/>
            </w:tcBorders>
            <w:noWrap/>
            <w:vAlign w:val="bottom"/>
            <w:hideMark/>
          </w:tcPr>
          <w:p w14:paraId="23439D9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76.839,28</w:t>
            </w:r>
          </w:p>
        </w:tc>
        <w:tc>
          <w:tcPr>
            <w:tcW w:w="848" w:type="dxa"/>
            <w:tcBorders>
              <w:top w:val="single" w:sz="4" w:space="0" w:color="auto"/>
              <w:left w:val="nil"/>
              <w:bottom w:val="single" w:sz="4" w:space="0" w:color="auto"/>
              <w:right w:val="single" w:sz="4" w:space="0" w:color="auto"/>
            </w:tcBorders>
            <w:noWrap/>
            <w:vAlign w:val="bottom"/>
            <w:hideMark/>
          </w:tcPr>
          <w:p w14:paraId="7402521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72.999,28</w:t>
            </w:r>
          </w:p>
        </w:tc>
        <w:tc>
          <w:tcPr>
            <w:tcW w:w="848" w:type="dxa"/>
            <w:tcBorders>
              <w:top w:val="single" w:sz="4" w:space="0" w:color="auto"/>
              <w:left w:val="nil"/>
              <w:bottom w:val="single" w:sz="4" w:space="0" w:color="auto"/>
              <w:right w:val="single" w:sz="4" w:space="0" w:color="auto"/>
            </w:tcBorders>
            <w:noWrap/>
            <w:vAlign w:val="bottom"/>
            <w:hideMark/>
          </w:tcPr>
          <w:p w14:paraId="1815510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926.198,79</w:t>
            </w:r>
          </w:p>
        </w:tc>
        <w:tc>
          <w:tcPr>
            <w:tcW w:w="739" w:type="dxa"/>
            <w:tcBorders>
              <w:top w:val="nil"/>
              <w:left w:val="nil"/>
              <w:bottom w:val="single" w:sz="4" w:space="0" w:color="auto"/>
              <w:right w:val="single" w:sz="4" w:space="0" w:color="auto"/>
            </w:tcBorders>
            <w:noWrap/>
            <w:vAlign w:val="bottom"/>
            <w:hideMark/>
          </w:tcPr>
          <w:p w14:paraId="04D2EE7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4,52%</w:t>
            </w:r>
          </w:p>
        </w:tc>
        <w:tc>
          <w:tcPr>
            <w:tcW w:w="583" w:type="dxa"/>
            <w:tcBorders>
              <w:top w:val="single" w:sz="4" w:space="0" w:color="auto"/>
              <w:left w:val="nil"/>
              <w:bottom w:val="single" w:sz="4" w:space="0" w:color="auto"/>
              <w:right w:val="single" w:sz="4" w:space="0" w:color="auto"/>
            </w:tcBorders>
            <w:noWrap/>
            <w:vAlign w:val="bottom"/>
            <w:hideMark/>
          </w:tcPr>
          <w:p w14:paraId="2B13DC9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18,08%</w:t>
            </w:r>
          </w:p>
        </w:tc>
      </w:tr>
      <w:tr w:rsidR="00416D67" w:rsidRPr="00416D67" w14:paraId="0572169F"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3C43F03E" w14:textId="77777777" w:rsidR="00416D67" w:rsidRPr="00416D67" w:rsidRDefault="00416D67" w:rsidP="00416D67">
            <w:pPr>
              <w:rPr>
                <w:rFonts w:ascii="Arial" w:hAnsi="Arial" w:cs="Arial"/>
                <w:sz w:val="14"/>
                <w:szCs w:val="14"/>
              </w:rPr>
            </w:pPr>
            <w:r w:rsidRPr="00416D67">
              <w:rPr>
                <w:rFonts w:ascii="Arial" w:hAnsi="Arial" w:cs="Arial"/>
                <w:sz w:val="14"/>
                <w:szCs w:val="14"/>
              </w:rPr>
              <w:t>Izvor 9.1.1 Opći prihodi i primici</w:t>
            </w:r>
          </w:p>
        </w:tc>
        <w:tc>
          <w:tcPr>
            <w:tcW w:w="848" w:type="dxa"/>
            <w:tcBorders>
              <w:top w:val="single" w:sz="4" w:space="0" w:color="auto"/>
              <w:left w:val="nil"/>
              <w:bottom w:val="single" w:sz="4" w:space="0" w:color="auto"/>
              <w:right w:val="single" w:sz="4" w:space="0" w:color="auto"/>
            </w:tcBorders>
            <w:noWrap/>
            <w:vAlign w:val="bottom"/>
            <w:hideMark/>
          </w:tcPr>
          <w:p w14:paraId="1564458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292.076,30</w:t>
            </w:r>
          </w:p>
        </w:tc>
        <w:tc>
          <w:tcPr>
            <w:tcW w:w="848" w:type="dxa"/>
            <w:tcBorders>
              <w:top w:val="single" w:sz="4" w:space="0" w:color="auto"/>
              <w:left w:val="nil"/>
              <w:bottom w:val="single" w:sz="4" w:space="0" w:color="auto"/>
              <w:right w:val="single" w:sz="4" w:space="0" w:color="auto"/>
            </w:tcBorders>
            <w:noWrap/>
            <w:vAlign w:val="bottom"/>
            <w:hideMark/>
          </w:tcPr>
          <w:p w14:paraId="42CC1F1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1.504.831,74</w:t>
            </w:r>
          </w:p>
        </w:tc>
        <w:tc>
          <w:tcPr>
            <w:tcW w:w="848" w:type="dxa"/>
            <w:tcBorders>
              <w:top w:val="single" w:sz="4" w:space="0" w:color="auto"/>
              <w:left w:val="nil"/>
              <w:bottom w:val="single" w:sz="4" w:space="0" w:color="auto"/>
              <w:right w:val="single" w:sz="4" w:space="0" w:color="auto"/>
            </w:tcBorders>
            <w:noWrap/>
            <w:vAlign w:val="bottom"/>
            <w:hideMark/>
          </w:tcPr>
          <w:p w14:paraId="2BD08C8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1.508.671,74</w:t>
            </w:r>
          </w:p>
        </w:tc>
        <w:tc>
          <w:tcPr>
            <w:tcW w:w="848" w:type="dxa"/>
            <w:tcBorders>
              <w:top w:val="single" w:sz="4" w:space="0" w:color="auto"/>
              <w:left w:val="nil"/>
              <w:bottom w:val="single" w:sz="4" w:space="0" w:color="auto"/>
              <w:right w:val="single" w:sz="4" w:space="0" w:color="auto"/>
            </w:tcBorders>
            <w:noWrap/>
            <w:vAlign w:val="bottom"/>
            <w:hideMark/>
          </w:tcPr>
          <w:p w14:paraId="7AAC814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926.198,79</w:t>
            </w:r>
          </w:p>
        </w:tc>
        <w:tc>
          <w:tcPr>
            <w:tcW w:w="739" w:type="dxa"/>
            <w:tcBorders>
              <w:top w:val="nil"/>
              <w:left w:val="nil"/>
              <w:bottom w:val="single" w:sz="4" w:space="0" w:color="auto"/>
              <w:right w:val="single" w:sz="4" w:space="0" w:color="auto"/>
            </w:tcBorders>
            <w:noWrap/>
            <w:vAlign w:val="bottom"/>
            <w:hideMark/>
          </w:tcPr>
          <w:p w14:paraId="46E8069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275,18%</w:t>
            </w:r>
          </w:p>
        </w:tc>
        <w:tc>
          <w:tcPr>
            <w:tcW w:w="583" w:type="dxa"/>
            <w:tcBorders>
              <w:top w:val="single" w:sz="4" w:space="0" w:color="auto"/>
              <w:left w:val="nil"/>
              <w:bottom w:val="single" w:sz="4" w:space="0" w:color="auto"/>
              <w:right w:val="single" w:sz="4" w:space="0" w:color="auto"/>
            </w:tcBorders>
            <w:noWrap/>
            <w:vAlign w:val="bottom"/>
            <w:hideMark/>
          </w:tcPr>
          <w:p w14:paraId="4E509BB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53,27%</w:t>
            </w:r>
          </w:p>
        </w:tc>
      </w:tr>
      <w:tr w:rsidR="00416D67" w:rsidRPr="00416D67" w14:paraId="72F7F0DD"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04DA772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9.3. Višak prihoda prethodne godine PK</w:t>
            </w:r>
          </w:p>
        </w:tc>
        <w:tc>
          <w:tcPr>
            <w:tcW w:w="848" w:type="dxa"/>
            <w:tcBorders>
              <w:top w:val="single" w:sz="4" w:space="0" w:color="auto"/>
              <w:left w:val="nil"/>
              <w:bottom w:val="single" w:sz="4" w:space="0" w:color="auto"/>
              <w:right w:val="single" w:sz="4" w:space="0" w:color="auto"/>
            </w:tcBorders>
            <w:noWrap/>
            <w:vAlign w:val="bottom"/>
            <w:hideMark/>
          </w:tcPr>
          <w:p w14:paraId="4C19DF2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848" w:type="dxa"/>
            <w:tcBorders>
              <w:top w:val="single" w:sz="4" w:space="0" w:color="auto"/>
              <w:left w:val="nil"/>
              <w:bottom w:val="single" w:sz="4" w:space="0" w:color="auto"/>
              <w:right w:val="single" w:sz="4" w:space="0" w:color="auto"/>
            </w:tcBorders>
            <w:noWrap/>
            <w:vAlign w:val="bottom"/>
            <w:hideMark/>
          </w:tcPr>
          <w:p w14:paraId="17926F5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140,97</w:t>
            </w:r>
          </w:p>
        </w:tc>
        <w:tc>
          <w:tcPr>
            <w:tcW w:w="848" w:type="dxa"/>
            <w:tcBorders>
              <w:top w:val="single" w:sz="4" w:space="0" w:color="auto"/>
              <w:left w:val="nil"/>
              <w:bottom w:val="single" w:sz="4" w:space="0" w:color="auto"/>
              <w:right w:val="single" w:sz="4" w:space="0" w:color="auto"/>
            </w:tcBorders>
            <w:noWrap/>
            <w:vAlign w:val="bottom"/>
            <w:hideMark/>
          </w:tcPr>
          <w:p w14:paraId="67C597A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140,97</w:t>
            </w:r>
          </w:p>
        </w:tc>
        <w:tc>
          <w:tcPr>
            <w:tcW w:w="848" w:type="dxa"/>
            <w:tcBorders>
              <w:top w:val="single" w:sz="4" w:space="0" w:color="auto"/>
              <w:left w:val="nil"/>
              <w:bottom w:val="single" w:sz="4" w:space="0" w:color="auto"/>
              <w:right w:val="single" w:sz="4" w:space="0" w:color="auto"/>
            </w:tcBorders>
            <w:noWrap/>
            <w:vAlign w:val="bottom"/>
            <w:hideMark/>
          </w:tcPr>
          <w:p w14:paraId="2258772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140,97</w:t>
            </w:r>
          </w:p>
        </w:tc>
        <w:tc>
          <w:tcPr>
            <w:tcW w:w="739" w:type="dxa"/>
            <w:tcBorders>
              <w:top w:val="nil"/>
              <w:left w:val="nil"/>
              <w:bottom w:val="single" w:sz="4" w:space="0" w:color="auto"/>
              <w:right w:val="single" w:sz="4" w:space="0" w:color="auto"/>
            </w:tcBorders>
            <w:noWrap/>
            <w:vAlign w:val="bottom"/>
            <w:hideMark/>
          </w:tcPr>
          <w:p w14:paraId="36DEF81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583" w:type="dxa"/>
            <w:tcBorders>
              <w:top w:val="single" w:sz="4" w:space="0" w:color="auto"/>
              <w:left w:val="nil"/>
              <w:bottom w:val="single" w:sz="4" w:space="0" w:color="auto"/>
              <w:right w:val="single" w:sz="4" w:space="0" w:color="auto"/>
            </w:tcBorders>
            <w:noWrap/>
            <w:vAlign w:val="bottom"/>
            <w:hideMark/>
          </w:tcPr>
          <w:p w14:paraId="22DF7E2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7C0995E1"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2CE045C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9.4. Višak prihoda ranijih godina</w:t>
            </w:r>
          </w:p>
        </w:tc>
        <w:tc>
          <w:tcPr>
            <w:tcW w:w="848" w:type="dxa"/>
            <w:tcBorders>
              <w:top w:val="single" w:sz="4" w:space="0" w:color="auto"/>
              <w:left w:val="nil"/>
              <w:bottom w:val="single" w:sz="4" w:space="0" w:color="auto"/>
              <w:right w:val="single" w:sz="4" w:space="0" w:color="auto"/>
            </w:tcBorders>
            <w:noWrap/>
            <w:vAlign w:val="bottom"/>
            <w:hideMark/>
          </w:tcPr>
          <w:p w14:paraId="32E2722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56.217,89</w:t>
            </w:r>
          </w:p>
        </w:tc>
        <w:tc>
          <w:tcPr>
            <w:tcW w:w="848" w:type="dxa"/>
            <w:tcBorders>
              <w:top w:val="single" w:sz="4" w:space="0" w:color="auto"/>
              <w:left w:val="nil"/>
              <w:bottom w:val="single" w:sz="4" w:space="0" w:color="auto"/>
              <w:right w:val="single" w:sz="4" w:space="0" w:color="auto"/>
            </w:tcBorders>
            <w:noWrap/>
            <w:vAlign w:val="bottom"/>
            <w:hideMark/>
          </w:tcPr>
          <w:p w14:paraId="34425A9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848" w:type="dxa"/>
            <w:tcBorders>
              <w:top w:val="single" w:sz="4" w:space="0" w:color="auto"/>
              <w:left w:val="nil"/>
              <w:bottom w:val="single" w:sz="4" w:space="0" w:color="auto"/>
              <w:right w:val="single" w:sz="4" w:space="0" w:color="auto"/>
            </w:tcBorders>
            <w:noWrap/>
            <w:vAlign w:val="bottom"/>
            <w:hideMark/>
          </w:tcPr>
          <w:p w14:paraId="70997E6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848" w:type="dxa"/>
            <w:tcBorders>
              <w:top w:val="single" w:sz="4" w:space="0" w:color="auto"/>
              <w:left w:val="nil"/>
              <w:bottom w:val="single" w:sz="4" w:space="0" w:color="auto"/>
              <w:right w:val="single" w:sz="4" w:space="0" w:color="auto"/>
            </w:tcBorders>
            <w:noWrap/>
            <w:vAlign w:val="bottom"/>
            <w:hideMark/>
          </w:tcPr>
          <w:p w14:paraId="4B93672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739" w:type="dxa"/>
            <w:tcBorders>
              <w:top w:val="nil"/>
              <w:left w:val="nil"/>
              <w:bottom w:val="single" w:sz="4" w:space="0" w:color="auto"/>
              <w:right w:val="single" w:sz="4" w:space="0" w:color="auto"/>
            </w:tcBorders>
            <w:noWrap/>
            <w:vAlign w:val="bottom"/>
            <w:hideMark/>
          </w:tcPr>
          <w:p w14:paraId="70E8F0F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583" w:type="dxa"/>
            <w:tcBorders>
              <w:top w:val="single" w:sz="4" w:space="0" w:color="auto"/>
              <w:left w:val="nil"/>
              <w:bottom w:val="single" w:sz="4" w:space="0" w:color="auto"/>
              <w:right w:val="single" w:sz="4" w:space="0" w:color="auto"/>
            </w:tcBorders>
            <w:noWrap/>
            <w:vAlign w:val="bottom"/>
            <w:hideMark/>
          </w:tcPr>
          <w:p w14:paraId="3370737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36EBF2F4"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16C7E52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9.4.2 Višak prihoda komunalni doprinos</w:t>
            </w:r>
          </w:p>
        </w:tc>
        <w:tc>
          <w:tcPr>
            <w:tcW w:w="848" w:type="dxa"/>
            <w:tcBorders>
              <w:top w:val="single" w:sz="4" w:space="0" w:color="auto"/>
              <w:left w:val="nil"/>
              <w:bottom w:val="single" w:sz="4" w:space="0" w:color="auto"/>
              <w:right w:val="single" w:sz="4" w:space="0" w:color="auto"/>
            </w:tcBorders>
            <w:noWrap/>
            <w:vAlign w:val="bottom"/>
            <w:hideMark/>
          </w:tcPr>
          <w:p w14:paraId="0DAEF24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33.426,78</w:t>
            </w:r>
          </w:p>
        </w:tc>
        <w:tc>
          <w:tcPr>
            <w:tcW w:w="848" w:type="dxa"/>
            <w:tcBorders>
              <w:top w:val="single" w:sz="4" w:space="0" w:color="auto"/>
              <w:left w:val="nil"/>
              <w:bottom w:val="single" w:sz="4" w:space="0" w:color="auto"/>
              <w:right w:val="single" w:sz="4" w:space="0" w:color="auto"/>
            </w:tcBorders>
            <w:noWrap/>
            <w:vAlign w:val="bottom"/>
            <w:hideMark/>
          </w:tcPr>
          <w:p w14:paraId="0B91FB0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848" w:type="dxa"/>
            <w:tcBorders>
              <w:top w:val="single" w:sz="4" w:space="0" w:color="auto"/>
              <w:left w:val="nil"/>
              <w:bottom w:val="single" w:sz="4" w:space="0" w:color="auto"/>
              <w:right w:val="single" w:sz="4" w:space="0" w:color="auto"/>
            </w:tcBorders>
            <w:noWrap/>
            <w:vAlign w:val="bottom"/>
            <w:hideMark/>
          </w:tcPr>
          <w:p w14:paraId="7A57A52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848" w:type="dxa"/>
            <w:tcBorders>
              <w:top w:val="single" w:sz="4" w:space="0" w:color="auto"/>
              <w:left w:val="nil"/>
              <w:bottom w:val="single" w:sz="4" w:space="0" w:color="auto"/>
              <w:right w:val="single" w:sz="4" w:space="0" w:color="auto"/>
            </w:tcBorders>
            <w:noWrap/>
            <w:vAlign w:val="bottom"/>
            <w:hideMark/>
          </w:tcPr>
          <w:p w14:paraId="0F67240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739" w:type="dxa"/>
            <w:tcBorders>
              <w:top w:val="nil"/>
              <w:left w:val="nil"/>
              <w:bottom w:val="single" w:sz="4" w:space="0" w:color="auto"/>
              <w:right w:val="single" w:sz="4" w:space="0" w:color="auto"/>
            </w:tcBorders>
            <w:noWrap/>
            <w:vAlign w:val="bottom"/>
            <w:hideMark/>
          </w:tcPr>
          <w:p w14:paraId="02DD109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583" w:type="dxa"/>
            <w:tcBorders>
              <w:top w:val="single" w:sz="4" w:space="0" w:color="auto"/>
              <w:left w:val="nil"/>
              <w:bottom w:val="single" w:sz="4" w:space="0" w:color="auto"/>
              <w:right w:val="single" w:sz="4" w:space="0" w:color="auto"/>
            </w:tcBorders>
            <w:noWrap/>
            <w:vAlign w:val="bottom"/>
            <w:hideMark/>
          </w:tcPr>
          <w:p w14:paraId="75D2E6C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38899F43"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14D44DE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 9.4.312 Višak koncesija javne usluge pražnjenja i dovoza otpadnih vo</w:t>
            </w:r>
          </w:p>
        </w:tc>
        <w:tc>
          <w:tcPr>
            <w:tcW w:w="848" w:type="dxa"/>
            <w:tcBorders>
              <w:top w:val="single" w:sz="4" w:space="0" w:color="auto"/>
              <w:left w:val="nil"/>
              <w:bottom w:val="single" w:sz="4" w:space="0" w:color="auto"/>
              <w:right w:val="single" w:sz="4" w:space="0" w:color="auto"/>
            </w:tcBorders>
            <w:noWrap/>
            <w:vAlign w:val="bottom"/>
            <w:hideMark/>
          </w:tcPr>
          <w:p w14:paraId="2FBCCFB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848" w:type="dxa"/>
            <w:tcBorders>
              <w:top w:val="single" w:sz="4" w:space="0" w:color="auto"/>
              <w:left w:val="nil"/>
              <w:bottom w:val="single" w:sz="4" w:space="0" w:color="auto"/>
              <w:right w:val="single" w:sz="4" w:space="0" w:color="auto"/>
            </w:tcBorders>
            <w:noWrap/>
            <w:vAlign w:val="bottom"/>
            <w:hideMark/>
          </w:tcPr>
          <w:p w14:paraId="797A4A1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2.585,02</w:t>
            </w:r>
          </w:p>
        </w:tc>
        <w:tc>
          <w:tcPr>
            <w:tcW w:w="848" w:type="dxa"/>
            <w:tcBorders>
              <w:top w:val="single" w:sz="4" w:space="0" w:color="auto"/>
              <w:left w:val="nil"/>
              <w:bottom w:val="single" w:sz="4" w:space="0" w:color="auto"/>
              <w:right w:val="single" w:sz="4" w:space="0" w:color="auto"/>
            </w:tcBorders>
            <w:noWrap/>
            <w:vAlign w:val="bottom"/>
            <w:hideMark/>
          </w:tcPr>
          <w:p w14:paraId="6378682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2.585,02</w:t>
            </w:r>
          </w:p>
        </w:tc>
        <w:tc>
          <w:tcPr>
            <w:tcW w:w="848" w:type="dxa"/>
            <w:tcBorders>
              <w:top w:val="single" w:sz="4" w:space="0" w:color="auto"/>
              <w:left w:val="nil"/>
              <w:bottom w:val="single" w:sz="4" w:space="0" w:color="auto"/>
              <w:right w:val="single" w:sz="4" w:space="0" w:color="auto"/>
            </w:tcBorders>
            <w:noWrap/>
            <w:vAlign w:val="bottom"/>
            <w:hideMark/>
          </w:tcPr>
          <w:p w14:paraId="1D40BBA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739" w:type="dxa"/>
            <w:tcBorders>
              <w:top w:val="nil"/>
              <w:left w:val="nil"/>
              <w:bottom w:val="single" w:sz="4" w:space="0" w:color="auto"/>
              <w:right w:val="single" w:sz="4" w:space="0" w:color="auto"/>
            </w:tcBorders>
            <w:noWrap/>
            <w:vAlign w:val="bottom"/>
            <w:hideMark/>
          </w:tcPr>
          <w:p w14:paraId="576B7F1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583" w:type="dxa"/>
            <w:tcBorders>
              <w:top w:val="single" w:sz="4" w:space="0" w:color="auto"/>
              <w:left w:val="nil"/>
              <w:bottom w:val="single" w:sz="4" w:space="0" w:color="auto"/>
              <w:right w:val="single" w:sz="4" w:space="0" w:color="auto"/>
            </w:tcBorders>
            <w:noWrap/>
            <w:vAlign w:val="bottom"/>
            <w:hideMark/>
          </w:tcPr>
          <w:p w14:paraId="51F82AA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696C94EF"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12AFAF93"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9.4.37 Višak prihoda prethodne godine prihodi od prodaje </w:t>
            </w:r>
            <w:proofErr w:type="spellStart"/>
            <w:r w:rsidRPr="00416D67">
              <w:rPr>
                <w:rFonts w:ascii="Arial" w:hAnsi="Arial" w:cs="Arial"/>
                <w:sz w:val="14"/>
                <w:szCs w:val="14"/>
              </w:rPr>
              <w:t>nef.imovin</w:t>
            </w:r>
            <w:proofErr w:type="spellEnd"/>
          </w:p>
        </w:tc>
        <w:tc>
          <w:tcPr>
            <w:tcW w:w="848" w:type="dxa"/>
            <w:tcBorders>
              <w:top w:val="single" w:sz="4" w:space="0" w:color="auto"/>
              <w:left w:val="nil"/>
              <w:bottom w:val="single" w:sz="4" w:space="0" w:color="auto"/>
              <w:right w:val="single" w:sz="4" w:space="0" w:color="auto"/>
            </w:tcBorders>
            <w:noWrap/>
            <w:vAlign w:val="bottom"/>
            <w:hideMark/>
          </w:tcPr>
          <w:p w14:paraId="78EF52E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22.791,11</w:t>
            </w:r>
          </w:p>
        </w:tc>
        <w:tc>
          <w:tcPr>
            <w:tcW w:w="848" w:type="dxa"/>
            <w:tcBorders>
              <w:top w:val="single" w:sz="4" w:space="0" w:color="auto"/>
              <w:left w:val="nil"/>
              <w:bottom w:val="single" w:sz="4" w:space="0" w:color="auto"/>
              <w:right w:val="single" w:sz="4" w:space="0" w:color="auto"/>
            </w:tcBorders>
            <w:noWrap/>
            <w:vAlign w:val="bottom"/>
            <w:hideMark/>
          </w:tcPr>
          <w:p w14:paraId="104C19C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848" w:type="dxa"/>
            <w:tcBorders>
              <w:top w:val="single" w:sz="4" w:space="0" w:color="auto"/>
              <w:left w:val="nil"/>
              <w:bottom w:val="single" w:sz="4" w:space="0" w:color="auto"/>
              <w:right w:val="single" w:sz="4" w:space="0" w:color="auto"/>
            </w:tcBorders>
            <w:noWrap/>
            <w:vAlign w:val="bottom"/>
            <w:hideMark/>
          </w:tcPr>
          <w:p w14:paraId="5284864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848" w:type="dxa"/>
            <w:tcBorders>
              <w:top w:val="single" w:sz="4" w:space="0" w:color="auto"/>
              <w:left w:val="nil"/>
              <w:bottom w:val="single" w:sz="4" w:space="0" w:color="auto"/>
              <w:right w:val="single" w:sz="4" w:space="0" w:color="auto"/>
            </w:tcBorders>
            <w:noWrap/>
            <w:vAlign w:val="bottom"/>
            <w:hideMark/>
          </w:tcPr>
          <w:p w14:paraId="4120667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739" w:type="dxa"/>
            <w:tcBorders>
              <w:top w:val="nil"/>
              <w:left w:val="nil"/>
              <w:bottom w:val="single" w:sz="4" w:space="0" w:color="auto"/>
              <w:right w:val="single" w:sz="4" w:space="0" w:color="auto"/>
            </w:tcBorders>
            <w:noWrap/>
            <w:vAlign w:val="bottom"/>
            <w:hideMark/>
          </w:tcPr>
          <w:p w14:paraId="1307320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583" w:type="dxa"/>
            <w:tcBorders>
              <w:top w:val="single" w:sz="4" w:space="0" w:color="auto"/>
              <w:left w:val="nil"/>
              <w:bottom w:val="single" w:sz="4" w:space="0" w:color="auto"/>
              <w:right w:val="single" w:sz="4" w:space="0" w:color="auto"/>
            </w:tcBorders>
            <w:noWrap/>
            <w:vAlign w:val="bottom"/>
            <w:hideMark/>
          </w:tcPr>
          <w:p w14:paraId="16161D3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r>
      <w:tr w:rsidR="00416D67" w:rsidRPr="00416D67" w14:paraId="6FB2A1D1"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059A849F"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Izvor 9.5.3 Višak prihoda  </w:t>
            </w:r>
            <w:proofErr w:type="spellStart"/>
            <w:r w:rsidRPr="00416D67">
              <w:rPr>
                <w:rFonts w:ascii="Arial" w:hAnsi="Arial" w:cs="Arial"/>
                <w:sz w:val="14"/>
                <w:szCs w:val="14"/>
              </w:rPr>
              <w:t>p.g</w:t>
            </w:r>
            <w:proofErr w:type="spellEnd"/>
            <w:r w:rsidRPr="00416D67">
              <w:rPr>
                <w:rFonts w:ascii="Arial" w:hAnsi="Arial" w:cs="Arial"/>
                <w:sz w:val="14"/>
                <w:szCs w:val="14"/>
              </w:rPr>
              <w:t>. pomoći Ministarstvo turizma i  sporta</w:t>
            </w:r>
          </w:p>
        </w:tc>
        <w:tc>
          <w:tcPr>
            <w:tcW w:w="848" w:type="dxa"/>
            <w:tcBorders>
              <w:top w:val="single" w:sz="4" w:space="0" w:color="auto"/>
              <w:left w:val="nil"/>
              <w:bottom w:val="single" w:sz="4" w:space="0" w:color="auto"/>
              <w:right w:val="single" w:sz="4" w:space="0" w:color="auto"/>
            </w:tcBorders>
            <w:noWrap/>
            <w:vAlign w:val="bottom"/>
            <w:hideMark/>
          </w:tcPr>
          <w:p w14:paraId="13DE7B8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848" w:type="dxa"/>
            <w:tcBorders>
              <w:top w:val="single" w:sz="4" w:space="0" w:color="auto"/>
              <w:left w:val="nil"/>
              <w:bottom w:val="single" w:sz="4" w:space="0" w:color="auto"/>
              <w:right w:val="single" w:sz="4" w:space="0" w:color="auto"/>
            </w:tcBorders>
            <w:noWrap/>
            <w:vAlign w:val="bottom"/>
            <w:hideMark/>
          </w:tcPr>
          <w:p w14:paraId="5936245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53.942,81</w:t>
            </w:r>
          </w:p>
        </w:tc>
        <w:tc>
          <w:tcPr>
            <w:tcW w:w="848" w:type="dxa"/>
            <w:tcBorders>
              <w:top w:val="single" w:sz="4" w:space="0" w:color="auto"/>
              <w:left w:val="nil"/>
              <w:bottom w:val="single" w:sz="4" w:space="0" w:color="auto"/>
              <w:right w:val="single" w:sz="4" w:space="0" w:color="auto"/>
            </w:tcBorders>
            <w:noWrap/>
            <w:vAlign w:val="bottom"/>
            <w:hideMark/>
          </w:tcPr>
          <w:p w14:paraId="0D1C005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53.942,81</w:t>
            </w:r>
          </w:p>
        </w:tc>
        <w:tc>
          <w:tcPr>
            <w:tcW w:w="848" w:type="dxa"/>
            <w:tcBorders>
              <w:top w:val="single" w:sz="4" w:space="0" w:color="auto"/>
              <w:left w:val="nil"/>
              <w:bottom w:val="single" w:sz="4" w:space="0" w:color="auto"/>
              <w:right w:val="single" w:sz="4" w:space="0" w:color="auto"/>
            </w:tcBorders>
            <w:noWrap/>
            <w:vAlign w:val="bottom"/>
            <w:hideMark/>
          </w:tcPr>
          <w:p w14:paraId="06458C9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53.942,81</w:t>
            </w:r>
          </w:p>
        </w:tc>
        <w:tc>
          <w:tcPr>
            <w:tcW w:w="739" w:type="dxa"/>
            <w:tcBorders>
              <w:top w:val="nil"/>
              <w:left w:val="nil"/>
              <w:bottom w:val="single" w:sz="4" w:space="0" w:color="auto"/>
              <w:right w:val="single" w:sz="4" w:space="0" w:color="auto"/>
            </w:tcBorders>
            <w:noWrap/>
            <w:vAlign w:val="bottom"/>
            <w:hideMark/>
          </w:tcPr>
          <w:p w14:paraId="352FD3F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0,00%</w:t>
            </w:r>
          </w:p>
        </w:tc>
        <w:tc>
          <w:tcPr>
            <w:tcW w:w="583" w:type="dxa"/>
            <w:tcBorders>
              <w:top w:val="single" w:sz="4" w:space="0" w:color="auto"/>
              <w:left w:val="nil"/>
              <w:bottom w:val="single" w:sz="4" w:space="0" w:color="auto"/>
              <w:right w:val="single" w:sz="4" w:space="0" w:color="auto"/>
            </w:tcBorders>
            <w:noWrap/>
            <w:vAlign w:val="bottom"/>
            <w:hideMark/>
          </w:tcPr>
          <w:p w14:paraId="06E3E41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w:t>
            </w:r>
          </w:p>
        </w:tc>
      </w:tr>
      <w:tr w:rsidR="00416D67" w:rsidRPr="00416D67" w14:paraId="5B6901FC"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32F6D01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Izvor 9.7. Višak prihoda </w:t>
            </w:r>
            <w:proofErr w:type="spellStart"/>
            <w:r w:rsidRPr="00416D67">
              <w:rPr>
                <w:rFonts w:ascii="Arial" w:hAnsi="Arial" w:cs="Arial"/>
                <w:b/>
                <w:bCs/>
                <w:sz w:val="14"/>
                <w:szCs w:val="14"/>
              </w:rPr>
              <w:t>preth.godine</w:t>
            </w:r>
            <w:proofErr w:type="spellEnd"/>
            <w:r w:rsidRPr="00416D67">
              <w:rPr>
                <w:rFonts w:ascii="Arial" w:hAnsi="Arial" w:cs="Arial"/>
                <w:b/>
                <w:bCs/>
                <w:sz w:val="14"/>
                <w:szCs w:val="14"/>
              </w:rPr>
              <w:t xml:space="preserve"> PK  </w:t>
            </w:r>
          </w:p>
        </w:tc>
        <w:tc>
          <w:tcPr>
            <w:tcW w:w="848" w:type="dxa"/>
            <w:tcBorders>
              <w:top w:val="single" w:sz="4" w:space="0" w:color="auto"/>
              <w:left w:val="nil"/>
              <w:bottom w:val="single" w:sz="4" w:space="0" w:color="auto"/>
              <w:right w:val="single" w:sz="4" w:space="0" w:color="auto"/>
            </w:tcBorders>
            <w:noWrap/>
            <w:vAlign w:val="bottom"/>
            <w:hideMark/>
          </w:tcPr>
          <w:p w14:paraId="419A54F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396,62</w:t>
            </w:r>
          </w:p>
        </w:tc>
        <w:tc>
          <w:tcPr>
            <w:tcW w:w="848" w:type="dxa"/>
            <w:tcBorders>
              <w:top w:val="single" w:sz="4" w:space="0" w:color="auto"/>
              <w:left w:val="nil"/>
              <w:bottom w:val="single" w:sz="4" w:space="0" w:color="auto"/>
              <w:right w:val="single" w:sz="4" w:space="0" w:color="auto"/>
            </w:tcBorders>
            <w:noWrap/>
            <w:vAlign w:val="bottom"/>
            <w:hideMark/>
          </w:tcPr>
          <w:p w14:paraId="58BAEB5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848" w:type="dxa"/>
            <w:tcBorders>
              <w:top w:val="single" w:sz="4" w:space="0" w:color="auto"/>
              <w:left w:val="nil"/>
              <w:bottom w:val="single" w:sz="4" w:space="0" w:color="auto"/>
              <w:right w:val="single" w:sz="4" w:space="0" w:color="auto"/>
            </w:tcBorders>
            <w:noWrap/>
            <w:vAlign w:val="bottom"/>
            <w:hideMark/>
          </w:tcPr>
          <w:p w14:paraId="15E421E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848" w:type="dxa"/>
            <w:tcBorders>
              <w:top w:val="single" w:sz="4" w:space="0" w:color="auto"/>
              <w:left w:val="nil"/>
              <w:bottom w:val="single" w:sz="4" w:space="0" w:color="auto"/>
              <w:right w:val="single" w:sz="4" w:space="0" w:color="auto"/>
            </w:tcBorders>
            <w:noWrap/>
            <w:vAlign w:val="bottom"/>
            <w:hideMark/>
          </w:tcPr>
          <w:p w14:paraId="6BF49F6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739" w:type="dxa"/>
            <w:tcBorders>
              <w:top w:val="nil"/>
              <w:left w:val="nil"/>
              <w:bottom w:val="single" w:sz="4" w:space="0" w:color="auto"/>
              <w:right w:val="single" w:sz="4" w:space="0" w:color="auto"/>
            </w:tcBorders>
            <w:noWrap/>
            <w:vAlign w:val="bottom"/>
            <w:hideMark/>
          </w:tcPr>
          <w:p w14:paraId="2295585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583" w:type="dxa"/>
            <w:tcBorders>
              <w:top w:val="single" w:sz="4" w:space="0" w:color="auto"/>
              <w:left w:val="nil"/>
              <w:bottom w:val="single" w:sz="4" w:space="0" w:color="auto"/>
              <w:right w:val="single" w:sz="4" w:space="0" w:color="auto"/>
            </w:tcBorders>
            <w:noWrap/>
            <w:vAlign w:val="bottom"/>
            <w:hideMark/>
          </w:tcPr>
          <w:p w14:paraId="566AD48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4346197E" w14:textId="77777777" w:rsidTr="00BB1392">
        <w:trPr>
          <w:trHeight w:val="195"/>
          <w:jc w:val="center"/>
        </w:trPr>
        <w:tc>
          <w:tcPr>
            <w:tcW w:w="5056" w:type="dxa"/>
            <w:tcBorders>
              <w:top w:val="single" w:sz="4" w:space="0" w:color="auto"/>
              <w:left w:val="single" w:sz="4" w:space="0" w:color="auto"/>
              <w:bottom w:val="single" w:sz="4" w:space="0" w:color="auto"/>
              <w:right w:val="single" w:sz="4" w:space="0" w:color="auto"/>
            </w:tcBorders>
            <w:noWrap/>
            <w:vAlign w:val="bottom"/>
            <w:hideMark/>
          </w:tcPr>
          <w:p w14:paraId="667DF57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Izvor 9.7.1 Višak prihoda PK prihodi za </w:t>
            </w:r>
            <w:proofErr w:type="spellStart"/>
            <w:r w:rsidRPr="00416D67">
              <w:rPr>
                <w:rFonts w:ascii="Arial" w:hAnsi="Arial" w:cs="Arial"/>
                <w:b/>
                <w:bCs/>
                <w:sz w:val="14"/>
                <w:szCs w:val="14"/>
              </w:rPr>
              <w:t>posebn</w:t>
            </w:r>
            <w:proofErr w:type="spellEnd"/>
            <w:r w:rsidRPr="00416D67">
              <w:rPr>
                <w:rFonts w:ascii="Arial" w:hAnsi="Arial" w:cs="Arial"/>
                <w:b/>
                <w:bCs/>
                <w:sz w:val="14"/>
                <w:szCs w:val="14"/>
              </w:rPr>
              <w:t xml:space="preserve"> namjene boravak</w:t>
            </w:r>
          </w:p>
        </w:tc>
        <w:tc>
          <w:tcPr>
            <w:tcW w:w="848" w:type="dxa"/>
            <w:tcBorders>
              <w:top w:val="single" w:sz="4" w:space="0" w:color="auto"/>
              <w:left w:val="nil"/>
              <w:bottom w:val="single" w:sz="4" w:space="0" w:color="auto"/>
              <w:right w:val="single" w:sz="4" w:space="0" w:color="auto"/>
            </w:tcBorders>
            <w:noWrap/>
            <w:vAlign w:val="bottom"/>
            <w:hideMark/>
          </w:tcPr>
          <w:p w14:paraId="093DC22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396,62</w:t>
            </w:r>
          </w:p>
        </w:tc>
        <w:tc>
          <w:tcPr>
            <w:tcW w:w="848" w:type="dxa"/>
            <w:tcBorders>
              <w:top w:val="single" w:sz="4" w:space="0" w:color="auto"/>
              <w:left w:val="nil"/>
              <w:bottom w:val="single" w:sz="4" w:space="0" w:color="auto"/>
              <w:right w:val="single" w:sz="4" w:space="0" w:color="auto"/>
            </w:tcBorders>
            <w:noWrap/>
            <w:vAlign w:val="bottom"/>
            <w:hideMark/>
          </w:tcPr>
          <w:p w14:paraId="214EEED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848" w:type="dxa"/>
            <w:tcBorders>
              <w:top w:val="single" w:sz="4" w:space="0" w:color="auto"/>
              <w:left w:val="nil"/>
              <w:bottom w:val="single" w:sz="4" w:space="0" w:color="auto"/>
              <w:right w:val="single" w:sz="4" w:space="0" w:color="auto"/>
            </w:tcBorders>
            <w:noWrap/>
            <w:vAlign w:val="bottom"/>
            <w:hideMark/>
          </w:tcPr>
          <w:p w14:paraId="6C2CCA2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848" w:type="dxa"/>
            <w:tcBorders>
              <w:top w:val="single" w:sz="4" w:space="0" w:color="auto"/>
              <w:left w:val="nil"/>
              <w:bottom w:val="single" w:sz="4" w:space="0" w:color="auto"/>
              <w:right w:val="single" w:sz="4" w:space="0" w:color="auto"/>
            </w:tcBorders>
            <w:noWrap/>
            <w:vAlign w:val="bottom"/>
            <w:hideMark/>
          </w:tcPr>
          <w:p w14:paraId="0D54082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 </w:t>
            </w:r>
          </w:p>
        </w:tc>
        <w:tc>
          <w:tcPr>
            <w:tcW w:w="739" w:type="dxa"/>
            <w:tcBorders>
              <w:top w:val="nil"/>
              <w:left w:val="nil"/>
              <w:bottom w:val="single" w:sz="4" w:space="0" w:color="auto"/>
              <w:right w:val="single" w:sz="4" w:space="0" w:color="auto"/>
            </w:tcBorders>
            <w:noWrap/>
            <w:vAlign w:val="bottom"/>
            <w:hideMark/>
          </w:tcPr>
          <w:p w14:paraId="6BCA36E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583" w:type="dxa"/>
            <w:tcBorders>
              <w:top w:val="single" w:sz="4" w:space="0" w:color="auto"/>
              <w:left w:val="nil"/>
              <w:bottom w:val="single" w:sz="4" w:space="0" w:color="auto"/>
              <w:right w:val="single" w:sz="4" w:space="0" w:color="auto"/>
            </w:tcBorders>
            <w:noWrap/>
            <w:vAlign w:val="bottom"/>
            <w:hideMark/>
          </w:tcPr>
          <w:p w14:paraId="47A9419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bl>
    <w:p w14:paraId="734CD63B" w14:textId="77777777" w:rsidR="00416D67" w:rsidRPr="00416D67" w:rsidRDefault="00416D67" w:rsidP="00416D67">
      <w:pPr>
        <w:jc w:val="both"/>
      </w:pPr>
    </w:p>
    <w:p w14:paraId="65C37F01" w14:textId="77777777" w:rsidR="00416D67" w:rsidRPr="00416D67" w:rsidRDefault="00416D67" w:rsidP="00416D67">
      <w:pPr>
        <w:jc w:val="both"/>
      </w:pPr>
      <w:r w:rsidRPr="00416D67">
        <w:t xml:space="preserve">       Višak prihoda na dan 31.12.2025. godine, prema izvorima financiranja i korisnicima ima slijedeću strukturu:</w:t>
      </w:r>
    </w:p>
    <w:p w14:paraId="17EC4705" w14:textId="77777777" w:rsidR="00416D67" w:rsidRPr="00416D67" w:rsidRDefault="00416D67" w:rsidP="00416D67">
      <w:pPr>
        <w:jc w:val="both"/>
        <w:rPr>
          <w:b/>
          <w:bCs/>
          <w:u w:val="single"/>
        </w:rPr>
      </w:pPr>
    </w:p>
    <w:tbl>
      <w:tblPr>
        <w:tblW w:w="8520" w:type="dxa"/>
        <w:tblInd w:w="93" w:type="dxa"/>
        <w:tblLook w:val="04A0" w:firstRow="1" w:lastRow="0" w:firstColumn="1" w:lastColumn="0" w:noHBand="0" w:noVBand="1"/>
      </w:tblPr>
      <w:tblGrid>
        <w:gridCol w:w="6394"/>
        <w:gridCol w:w="2126"/>
      </w:tblGrid>
      <w:tr w:rsidR="00416D67" w:rsidRPr="00416D67" w14:paraId="65A44C89" w14:textId="77777777" w:rsidTr="00BB1392">
        <w:trPr>
          <w:trHeight w:val="300"/>
        </w:trPr>
        <w:tc>
          <w:tcPr>
            <w:tcW w:w="6394" w:type="dxa"/>
            <w:tcBorders>
              <w:top w:val="single" w:sz="4" w:space="0" w:color="auto"/>
              <w:left w:val="single" w:sz="4" w:space="0" w:color="auto"/>
              <w:bottom w:val="single" w:sz="4" w:space="0" w:color="auto"/>
              <w:right w:val="single" w:sz="4" w:space="0" w:color="auto"/>
            </w:tcBorders>
            <w:noWrap/>
            <w:vAlign w:val="center"/>
            <w:hideMark/>
          </w:tcPr>
          <w:p w14:paraId="5E6D55BE" w14:textId="77777777" w:rsidR="00416D67" w:rsidRPr="00416D67" w:rsidRDefault="00416D67" w:rsidP="00416D67">
            <w:pPr>
              <w:rPr>
                <w:color w:val="000000"/>
                <w:sz w:val="18"/>
                <w:szCs w:val="18"/>
              </w:rPr>
            </w:pPr>
            <w:r w:rsidRPr="00416D67">
              <w:rPr>
                <w:color w:val="000000"/>
                <w:sz w:val="18"/>
                <w:szCs w:val="18"/>
              </w:rPr>
              <w:t> </w:t>
            </w:r>
          </w:p>
        </w:tc>
        <w:tc>
          <w:tcPr>
            <w:tcW w:w="2126" w:type="dxa"/>
            <w:tcBorders>
              <w:top w:val="single" w:sz="4" w:space="0" w:color="auto"/>
              <w:left w:val="nil"/>
              <w:bottom w:val="single" w:sz="4" w:space="0" w:color="auto"/>
              <w:right w:val="single" w:sz="4" w:space="0" w:color="auto"/>
            </w:tcBorders>
            <w:vAlign w:val="center"/>
            <w:hideMark/>
          </w:tcPr>
          <w:p w14:paraId="237F4C71" w14:textId="77777777" w:rsidR="00416D67" w:rsidRPr="00416D67" w:rsidRDefault="00416D67" w:rsidP="00416D67">
            <w:pPr>
              <w:jc w:val="center"/>
              <w:rPr>
                <w:color w:val="000000"/>
                <w:sz w:val="18"/>
                <w:szCs w:val="18"/>
              </w:rPr>
            </w:pPr>
            <w:r w:rsidRPr="00416D67">
              <w:rPr>
                <w:color w:val="000000"/>
                <w:sz w:val="18"/>
                <w:szCs w:val="18"/>
              </w:rPr>
              <w:t>Višak   31.12.2025.</w:t>
            </w:r>
          </w:p>
        </w:tc>
      </w:tr>
      <w:tr w:rsidR="00416D67" w:rsidRPr="00416D67" w14:paraId="693F8227" w14:textId="77777777" w:rsidTr="00BB1392">
        <w:trPr>
          <w:trHeight w:val="300"/>
        </w:trPr>
        <w:tc>
          <w:tcPr>
            <w:tcW w:w="6394" w:type="dxa"/>
            <w:tcBorders>
              <w:top w:val="nil"/>
              <w:left w:val="single" w:sz="4" w:space="0" w:color="auto"/>
              <w:bottom w:val="single" w:sz="4" w:space="0" w:color="auto"/>
              <w:right w:val="single" w:sz="4" w:space="0" w:color="auto"/>
            </w:tcBorders>
            <w:noWrap/>
            <w:vAlign w:val="center"/>
            <w:hideMark/>
          </w:tcPr>
          <w:p w14:paraId="6B191A87" w14:textId="77777777" w:rsidR="00416D67" w:rsidRPr="00416D67" w:rsidRDefault="00416D67" w:rsidP="00416D67">
            <w:pPr>
              <w:rPr>
                <w:b/>
                <w:bCs/>
                <w:color w:val="000000"/>
                <w:sz w:val="18"/>
                <w:szCs w:val="18"/>
              </w:rPr>
            </w:pPr>
            <w:r w:rsidRPr="00416D67">
              <w:rPr>
                <w:b/>
                <w:bCs/>
                <w:color w:val="000000"/>
                <w:sz w:val="18"/>
                <w:szCs w:val="18"/>
              </w:rPr>
              <w:t xml:space="preserve">Višak prihoda ukupno konsolidirano </w:t>
            </w:r>
          </w:p>
        </w:tc>
        <w:tc>
          <w:tcPr>
            <w:tcW w:w="2126" w:type="dxa"/>
            <w:tcBorders>
              <w:top w:val="nil"/>
              <w:left w:val="nil"/>
              <w:bottom w:val="single" w:sz="4" w:space="0" w:color="auto"/>
              <w:right w:val="single" w:sz="4" w:space="0" w:color="auto"/>
            </w:tcBorders>
            <w:vAlign w:val="center"/>
            <w:hideMark/>
          </w:tcPr>
          <w:p w14:paraId="3D1BA96D" w14:textId="77777777" w:rsidR="00416D67" w:rsidRPr="00416D67" w:rsidRDefault="00416D67" w:rsidP="00416D67">
            <w:pPr>
              <w:jc w:val="right"/>
              <w:rPr>
                <w:b/>
                <w:bCs/>
                <w:color w:val="000000"/>
                <w:sz w:val="18"/>
                <w:szCs w:val="18"/>
              </w:rPr>
            </w:pPr>
            <w:r w:rsidRPr="00416D67">
              <w:rPr>
                <w:b/>
                <w:bCs/>
                <w:color w:val="000000"/>
                <w:sz w:val="18"/>
                <w:szCs w:val="18"/>
              </w:rPr>
              <w:t>2.709.843,21</w:t>
            </w:r>
          </w:p>
        </w:tc>
      </w:tr>
      <w:tr w:rsidR="00416D67" w:rsidRPr="00416D67" w14:paraId="03F63051" w14:textId="77777777" w:rsidTr="00BB1392">
        <w:trPr>
          <w:trHeight w:val="300"/>
        </w:trPr>
        <w:tc>
          <w:tcPr>
            <w:tcW w:w="6394" w:type="dxa"/>
            <w:tcBorders>
              <w:top w:val="nil"/>
              <w:left w:val="single" w:sz="4" w:space="0" w:color="auto"/>
              <w:bottom w:val="single" w:sz="4" w:space="0" w:color="auto"/>
              <w:right w:val="single" w:sz="4" w:space="0" w:color="auto"/>
            </w:tcBorders>
            <w:shd w:val="clear" w:color="000000" w:fill="D9D9D9"/>
            <w:noWrap/>
            <w:vAlign w:val="center"/>
            <w:hideMark/>
          </w:tcPr>
          <w:p w14:paraId="4470FDEA" w14:textId="77777777" w:rsidR="00416D67" w:rsidRPr="00416D67" w:rsidRDefault="00416D67" w:rsidP="00416D67">
            <w:pPr>
              <w:rPr>
                <w:b/>
                <w:bCs/>
                <w:color w:val="000000"/>
                <w:sz w:val="18"/>
                <w:szCs w:val="18"/>
              </w:rPr>
            </w:pPr>
            <w:r w:rsidRPr="00416D67">
              <w:rPr>
                <w:b/>
                <w:bCs/>
                <w:color w:val="000000"/>
                <w:sz w:val="18"/>
                <w:szCs w:val="18"/>
              </w:rPr>
              <w:t>Općina Marčana</w:t>
            </w:r>
          </w:p>
        </w:tc>
        <w:tc>
          <w:tcPr>
            <w:tcW w:w="2126" w:type="dxa"/>
            <w:tcBorders>
              <w:top w:val="nil"/>
              <w:left w:val="nil"/>
              <w:bottom w:val="single" w:sz="4" w:space="0" w:color="auto"/>
              <w:right w:val="single" w:sz="4" w:space="0" w:color="auto"/>
            </w:tcBorders>
            <w:shd w:val="clear" w:color="000000" w:fill="D9D9D9"/>
            <w:noWrap/>
            <w:vAlign w:val="center"/>
            <w:hideMark/>
          </w:tcPr>
          <w:p w14:paraId="3DC9DB7D" w14:textId="77777777" w:rsidR="00416D67" w:rsidRPr="00416D67" w:rsidRDefault="00416D67" w:rsidP="00416D67">
            <w:pPr>
              <w:jc w:val="right"/>
              <w:rPr>
                <w:b/>
                <w:bCs/>
                <w:color w:val="000000"/>
                <w:sz w:val="18"/>
                <w:szCs w:val="18"/>
              </w:rPr>
            </w:pPr>
            <w:r w:rsidRPr="00416D67">
              <w:rPr>
                <w:b/>
                <w:bCs/>
                <w:color w:val="000000"/>
                <w:sz w:val="18"/>
                <w:szCs w:val="18"/>
              </w:rPr>
              <w:t>2.710.140,05</w:t>
            </w:r>
          </w:p>
        </w:tc>
      </w:tr>
      <w:tr w:rsidR="00416D67" w:rsidRPr="00416D67" w14:paraId="2A0C617F" w14:textId="77777777" w:rsidTr="00BB1392">
        <w:trPr>
          <w:trHeight w:val="300"/>
        </w:trPr>
        <w:tc>
          <w:tcPr>
            <w:tcW w:w="6394" w:type="dxa"/>
            <w:tcBorders>
              <w:top w:val="nil"/>
              <w:left w:val="single" w:sz="4" w:space="0" w:color="auto"/>
              <w:bottom w:val="single" w:sz="4" w:space="0" w:color="auto"/>
              <w:right w:val="single" w:sz="4" w:space="0" w:color="auto"/>
            </w:tcBorders>
            <w:noWrap/>
            <w:vAlign w:val="center"/>
            <w:hideMark/>
          </w:tcPr>
          <w:p w14:paraId="16A8481A" w14:textId="77777777" w:rsidR="00416D67" w:rsidRPr="00416D67" w:rsidRDefault="00416D67" w:rsidP="00416D67">
            <w:pPr>
              <w:rPr>
                <w:color w:val="000000"/>
                <w:sz w:val="18"/>
                <w:szCs w:val="18"/>
              </w:rPr>
            </w:pPr>
            <w:r w:rsidRPr="00416D67">
              <w:rPr>
                <w:color w:val="000000"/>
                <w:sz w:val="18"/>
                <w:szCs w:val="18"/>
              </w:rPr>
              <w:t xml:space="preserve">Višak prihoda opći prihodi i primici </w:t>
            </w:r>
          </w:p>
        </w:tc>
        <w:tc>
          <w:tcPr>
            <w:tcW w:w="2126" w:type="dxa"/>
            <w:tcBorders>
              <w:top w:val="nil"/>
              <w:left w:val="nil"/>
              <w:bottom w:val="single" w:sz="4" w:space="0" w:color="auto"/>
              <w:right w:val="single" w:sz="4" w:space="0" w:color="auto"/>
            </w:tcBorders>
            <w:noWrap/>
            <w:vAlign w:val="center"/>
            <w:hideMark/>
          </w:tcPr>
          <w:p w14:paraId="50E2DB85" w14:textId="77777777" w:rsidR="00416D67" w:rsidRPr="00416D67" w:rsidRDefault="00416D67" w:rsidP="00416D67">
            <w:pPr>
              <w:jc w:val="right"/>
              <w:rPr>
                <w:color w:val="000000"/>
                <w:sz w:val="18"/>
                <w:szCs w:val="18"/>
              </w:rPr>
            </w:pPr>
            <w:r w:rsidRPr="00416D67">
              <w:rPr>
                <w:color w:val="000000"/>
                <w:sz w:val="18"/>
                <w:szCs w:val="18"/>
              </w:rPr>
              <w:t>1.623.959,65</w:t>
            </w:r>
          </w:p>
        </w:tc>
      </w:tr>
      <w:tr w:rsidR="00416D67" w:rsidRPr="00416D67" w14:paraId="499D6B5D" w14:textId="77777777" w:rsidTr="00BB1392">
        <w:trPr>
          <w:trHeight w:val="300"/>
        </w:trPr>
        <w:tc>
          <w:tcPr>
            <w:tcW w:w="6394" w:type="dxa"/>
            <w:tcBorders>
              <w:top w:val="nil"/>
              <w:left w:val="single" w:sz="4" w:space="0" w:color="auto"/>
              <w:bottom w:val="single" w:sz="4" w:space="0" w:color="auto"/>
              <w:right w:val="single" w:sz="4" w:space="0" w:color="auto"/>
            </w:tcBorders>
            <w:noWrap/>
            <w:vAlign w:val="center"/>
            <w:hideMark/>
          </w:tcPr>
          <w:p w14:paraId="3805195B" w14:textId="77777777" w:rsidR="00416D67" w:rsidRPr="00416D67" w:rsidRDefault="00416D67" w:rsidP="00416D67">
            <w:pPr>
              <w:rPr>
                <w:color w:val="000000"/>
                <w:sz w:val="18"/>
                <w:szCs w:val="18"/>
              </w:rPr>
            </w:pPr>
            <w:r w:rsidRPr="00416D67">
              <w:rPr>
                <w:color w:val="000000"/>
                <w:sz w:val="18"/>
                <w:szCs w:val="18"/>
              </w:rPr>
              <w:t>Višak prihoda koncesija javne usluge pražnjenja i odvoza otpadnih voda</w:t>
            </w:r>
          </w:p>
        </w:tc>
        <w:tc>
          <w:tcPr>
            <w:tcW w:w="2126" w:type="dxa"/>
            <w:tcBorders>
              <w:top w:val="nil"/>
              <w:left w:val="nil"/>
              <w:bottom w:val="single" w:sz="4" w:space="0" w:color="auto"/>
              <w:right w:val="single" w:sz="4" w:space="0" w:color="auto"/>
            </w:tcBorders>
            <w:noWrap/>
            <w:vAlign w:val="center"/>
            <w:hideMark/>
          </w:tcPr>
          <w:p w14:paraId="36AA9831" w14:textId="77777777" w:rsidR="00416D67" w:rsidRPr="00416D67" w:rsidRDefault="00416D67" w:rsidP="00416D67">
            <w:pPr>
              <w:jc w:val="right"/>
              <w:rPr>
                <w:color w:val="000000"/>
                <w:sz w:val="18"/>
                <w:szCs w:val="18"/>
              </w:rPr>
            </w:pPr>
            <w:r w:rsidRPr="00416D67">
              <w:rPr>
                <w:color w:val="000000"/>
                <w:sz w:val="18"/>
                <w:szCs w:val="18"/>
              </w:rPr>
              <w:t>2.585,02</w:t>
            </w:r>
          </w:p>
        </w:tc>
      </w:tr>
      <w:tr w:rsidR="00416D67" w:rsidRPr="00416D67" w14:paraId="4ECFA077" w14:textId="77777777" w:rsidTr="00BB1392">
        <w:trPr>
          <w:trHeight w:val="300"/>
        </w:trPr>
        <w:tc>
          <w:tcPr>
            <w:tcW w:w="6394" w:type="dxa"/>
            <w:tcBorders>
              <w:top w:val="nil"/>
              <w:left w:val="single" w:sz="4" w:space="0" w:color="auto"/>
              <w:bottom w:val="single" w:sz="4" w:space="0" w:color="auto"/>
              <w:right w:val="single" w:sz="4" w:space="0" w:color="auto"/>
            </w:tcBorders>
            <w:noWrap/>
            <w:vAlign w:val="center"/>
            <w:hideMark/>
          </w:tcPr>
          <w:p w14:paraId="372CA747" w14:textId="77777777" w:rsidR="00416D67" w:rsidRPr="00416D67" w:rsidRDefault="00416D67" w:rsidP="00416D67">
            <w:pPr>
              <w:rPr>
                <w:color w:val="000000"/>
                <w:sz w:val="18"/>
                <w:szCs w:val="18"/>
              </w:rPr>
            </w:pPr>
            <w:r w:rsidRPr="00416D67">
              <w:rPr>
                <w:color w:val="000000"/>
                <w:sz w:val="18"/>
                <w:szCs w:val="18"/>
              </w:rPr>
              <w:t xml:space="preserve">Višak prihoda </w:t>
            </w:r>
            <w:proofErr w:type="spellStart"/>
            <w:r w:rsidRPr="00416D67">
              <w:rPr>
                <w:color w:val="000000"/>
                <w:sz w:val="18"/>
                <w:szCs w:val="18"/>
              </w:rPr>
              <w:t>koncescija</w:t>
            </w:r>
            <w:proofErr w:type="spellEnd"/>
            <w:r w:rsidRPr="00416D67">
              <w:rPr>
                <w:color w:val="000000"/>
                <w:sz w:val="18"/>
                <w:szCs w:val="18"/>
              </w:rPr>
              <w:t xml:space="preserve"> za taxi prijevoz</w:t>
            </w:r>
          </w:p>
        </w:tc>
        <w:tc>
          <w:tcPr>
            <w:tcW w:w="2126" w:type="dxa"/>
            <w:tcBorders>
              <w:top w:val="nil"/>
              <w:left w:val="nil"/>
              <w:bottom w:val="single" w:sz="4" w:space="0" w:color="auto"/>
              <w:right w:val="single" w:sz="4" w:space="0" w:color="auto"/>
            </w:tcBorders>
            <w:noWrap/>
            <w:vAlign w:val="center"/>
            <w:hideMark/>
          </w:tcPr>
          <w:p w14:paraId="471A1620" w14:textId="77777777" w:rsidR="00416D67" w:rsidRPr="00416D67" w:rsidRDefault="00416D67" w:rsidP="00416D67">
            <w:pPr>
              <w:jc w:val="right"/>
              <w:rPr>
                <w:color w:val="000000"/>
                <w:sz w:val="18"/>
                <w:szCs w:val="18"/>
              </w:rPr>
            </w:pPr>
            <w:r w:rsidRPr="00416D67">
              <w:rPr>
                <w:color w:val="000000"/>
                <w:sz w:val="18"/>
                <w:szCs w:val="18"/>
              </w:rPr>
              <w:t>450,00</w:t>
            </w:r>
          </w:p>
        </w:tc>
      </w:tr>
      <w:tr w:rsidR="00416D67" w:rsidRPr="00416D67" w14:paraId="6318DCD0" w14:textId="77777777" w:rsidTr="00BB1392">
        <w:trPr>
          <w:trHeight w:val="300"/>
        </w:trPr>
        <w:tc>
          <w:tcPr>
            <w:tcW w:w="6394" w:type="dxa"/>
            <w:tcBorders>
              <w:top w:val="nil"/>
              <w:left w:val="single" w:sz="4" w:space="0" w:color="auto"/>
              <w:bottom w:val="single" w:sz="4" w:space="0" w:color="auto"/>
              <w:right w:val="single" w:sz="4" w:space="0" w:color="auto"/>
            </w:tcBorders>
            <w:noWrap/>
            <w:vAlign w:val="center"/>
            <w:hideMark/>
          </w:tcPr>
          <w:p w14:paraId="0E4BE314" w14:textId="77777777" w:rsidR="00416D67" w:rsidRPr="00416D67" w:rsidRDefault="00416D67" w:rsidP="00416D67">
            <w:pPr>
              <w:rPr>
                <w:color w:val="000000"/>
                <w:sz w:val="18"/>
                <w:szCs w:val="18"/>
              </w:rPr>
            </w:pPr>
            <w:r w:rsidRPr="00416D67">
              <w:rPr>
                <w:color w:val="000000"/>
                <w:sz w:val="18"/>
                <w:szCs w:val="18"/>
              </w:rPr>
              <w:t>Višak prihoda naknada za legalizaciju nezakonito izgrađenih zgrada</w:t>
            </w:r>
          </w:p>
        </w:tc>
        <w:tc>
          <w:tcPr>
            <w:tcW w:w="2126" w:type="dxa"/>
            <w:tcBorders>
              <w:top w:val="nil"/>
              <w:left w:val="nil"/>
              <w:bottom w:val="single" w:sz="4" w:space="0" w:color="auto"/>
              <w:right w:val="single" w:sz="4" w:space="0" w:color="auto"/>
            </w:tcBorders>
            <w:noWrap/>
            <w:vAlign w:val="center"/>
            <w:hideMark/>
          </w:tcPr>
          <w:p w14:paraId="105334AF" w14:textId="77777777" w:rsidR="00416D67" w:rsidRPr="00416D67" w:rsidRDefault="00416D67" w:rsidP="00416D67">
            <w:pPr>
              <w:jc w:val="right"/>
              <w:rPr>
                <w:color w:val="000000"/>
                <w:sz w:val="18"/>
                <w:szCs w:val="18"/>
              </w:rPr>
            </w:pPr>
            <w:r w:rsidRPr="00416D67">
              <w:rPr>
                <w:color w:val="000000"/>
                <w:sz w:val="18"/>
                <w:szCs w:val="18"/>
              </w:rPr>
              <w:t>1.384,16</w:t>
            </w:r>
          </w:p>
        </w:tc>
      </w:tr>
      <w:tr w:rsidR="00416D67" w:rsidRPr="00416D67" w14:paraId="187FA8B1" w14:textId="77777777" w:rsidTr="00BB1392">
        <w:trPr>
          <w:trHeight w:val="300"/>
        </w:trPr>
        <w:tc>
          <w:tcPr>
            <w:tcW w:w="6394" w:type="dxa"/>
            <w:tcBorders>
              <w:top w:val="nil"/>
              <w:left w:val="single" w:sz="4" w:space="0" w:color="auto"/>
              <w:bottom w:val="single" w:sz="4" w:space="0" w:color="auto"/>
              <w:right w:val="single" w:sz="4" w:space="0" w:color="auto"/>
            </w:tcBorders>
            <w:vAlign w:val="center"/>
            <w:hideMark/>
          </w:tcPr>
          <w:p w14:paraId="4BDBFD17" w14:textId="77777777" w:rsidR="00416D67" w:rsidRPr="00416D67" w:rsidRDefault="00416D67" w:rsidP="00416D67">
            <w:pPr>
              <w:rPr>
                <w:color w:val="000000"/>
                <w:sz w:val="18"/>
                <w:szCs w:val="18"/>
              </w:rPr>
            </w:pPr>
            <w:r w:rsidRPr="00416D67">
              <w:rPr>
                <w:color w:val="000000"/>
                <w:sz w:val="18"/>
                <w:szCs w:val="18"/>
              </w:rPr>
              <w:t xml:space="preserve">Višak prihoda prihodi od prodaje nefinancijske imovine </w:t>
            </w:r>
          </w:p>
        </w:tc>
        <w:tc>
          <w:tcPr>
            <w:tcW w:w="2126" w:type="dxa"/>
            <w:tcBorders>
              <w:top w:val="nil"/>
              <w:left w:val="nil"/>
              <w:bottom w:val="single" w:sz="4" w:space="0" w:color="auto"/>
              <w:right w:val="single" w:sz="4" w:space="0" w:color="auto"/>
            </w:tcBorders>
            <w:noWrap/>
            <w:vAlign w:val="center"/>
            <w:hideMark/>
          </w:tcPr>
          <w:p w14:paraId="518939EA" w14:textId="77777777" w:rsidR="00416D67" w:rsidRPr="00416D67" w:rsidRDefault="00416D67" w:rsidP="00416D67">
            <w:pPr>
              <w:jc w:val="right"/>
              <w:rPr>
                <w:color w:val="000000"/>
                <w:sz w:val="18"/>
                <w:szCs w:val="18"/>
              </w:rPr>
            </w:pPr>
            <w:r w:rsidRPr="00416D67">
              <w:rPr>
                <w:color w:val="000000"/>
                <w:sz w:val="18"/>
                <w:szCs w:val="18"/>
              </w:rPr>
              <w:t>1.081.761,22</w:t>
            </w:r>
          </w:p>
        </w:tc>
      </w:tr>
      <w:tr w:rsidR="00416D67" w:rsidRPr="00416D67" w14:paraId="7694DAD6" w14:textId="77777777" w:rsidTr="00BB1392">
        <w:trPr>
          <w:trHeight w:val="300"/>
        </w:trPr>
        <w:tc>
          <w:tcPr>
            <w:tcW w:w="6394" w:type="dxa"/>
            <w:tcBorders>
              <w:top w:val="nil"/>
              <w:left w:val="single" w:sz="4" w:space="0" w:color="auto"/>
              <w:bottom w:val="single" w:sz="4" w:space="0" w:color="auto"/>
              <w:right w:val="single" w:sz="4" w:space="0" w:color="auto"/>
            </w:tcBorders>
            <w:shd w:val="clear" w:color="000000" w:fill="D9D9D9"/>
            <w:noWrap/>
            <w:vAlign w:val="center"/>
            <w:hideMark/>
          </w:tcPr>
          <w:p w14:paraId="74774A3E" w14:textId="77777777" w:rsidR="00416D67" w:rsidRPr="00416D67" w:rsidRDefault="00416D67" w:rsidP="00416D67">
            <w:pPr>
              <w:rPr>
                <w:b/>
                <w:bCs/>
                <w:color w:val="000000"/>
                <w:sz w:val="18"/>
                <w:szCs w:val="18"/>
              </w:rPr>
            </w:pPr>
            <w:r w:rsidRPr="00416D67">
              <w:rPr>
                <w:b/>
                <w:bCs/>
                <w:color w:val="000000"/>
                <w:sz w:val="18"/>
                <w:szCs w:val="18"/>
              </w:rPr>
              <w:t xml:space="preserve">Proračunski korisnik </w:t>
            </w:r>
          </w:p>
        </w:tc>
        <w:tc>
          <w:tcPr>
            <w:tcW w:w="2126" w:type="dxa"/>
            <w:tcBorders>
              <w:top w:val="nil"/>
              <w:left w:val="nil"/>
              <w:bottom w:val="single" w:sz="4" w:space="0" w:color="auto"/>
              <w:right w:val="single" w:sz="4" w:space="0" w:color="auto"/>
            </w:tcBorders>
            <w:shd w:val="clear" w:color="000000" w:fill="D9D9D9"/>
            <w:noWrap/>
            <w:vAlign w:val="center"/>
            <w:hideMark/>
          </w:tcPr>
          <w:p w14:paraId="1F68125A" w14:textId="77777777" w:rsidR="00416D67" w:rsidRPr="00416D67" w:rsidRDefault="00416D67" w:rsidP="00416D67">
            <w:pPr>
              <w:jc w:val="right"/>
              <w:rPr>
                <w:b/>
                <w:bCs/>
                <w:color w:val="000000"/>
                <w:sz w:val="18"/>
                <w:szCs w:val="18"/>
              </w:rPr>
            </w:pPr>
            <w:r w:rsidRPr="00416D67">
              <w:rPr>
                <w:b/>
                <w:bCs/>
                <w:color w:val="000000"/>
                <w:sz w:val="18"/>
                <w:szCs w:val="18"/>
              </w:rPr>
              <w:t>-296,84</w:t>
            </w:r>
          </w:p>
        </w:tc>
      </w:tr>
      <w:tr w:rsidR="00416D67" w:rsidRPr="00416D67" w14:paraId="78C9969B" w14:textId="77777777" w:rsidTr="00BB1392">
        <w:trPr>
          <w:trHeight w:val="300"/>
        </w:trPr>
        <w:tc>
          <w:tcPr>
            <w:tcW w:w="6394" w:type="dxa"/>
            <w:tcBorders>
              <w:top w:val="nil"/>
              <w:left w:val="single" w:sz="4" w:space="0" w:color="auto"/>
              <w:bottom w:val="single" w:sz="4" w:space="0" w:color="auto"/>
              <w:right w:val="single" w:sz="4" w:space="0" w:color="auto"/>
            </w:tcBorders>
            <w:vAlign w:val="center"/>
            <w:hideMark/>
          </w:tcPr>
          <w:p w14:paraId="479C4345" w14:textId="77777777" w:rsidR="00416D67" w:rsidRPr="00416D67" w:rsidRDefault="00416D67" w:rsidP="00416D67">
            <w:pPr>
              <w:rPr>
                <w:color w:val="000000"/>
                <w:sz w:val="18"/>
                <w:szCs w:val="18"/>
              </w:rPr>
            </w:pPr>
            <w:r w:rsidRPr="00416D67">
              <w:rPr>
                <w:color w:val="000000"/>
                <w:sz w:val="18"/>
                <w:szCs w:val="18"/>
              </w:rPr>
              <w:t>Manjak prihoda za posebne namjene sufinanciranje boravka roditelji</w:t>
            </w:r>
          </w:p>
        </w:tc>
        <w:tc>
          <w:tcPr>
            <w:tcW w:w="2126" w:type="dxa"/>
            <w:tcBorders>
              <w:top w:val="nil"/>
              <w:left w:val="nil"/>
              <w:bottom w:val="single" w:sz="4" w:space="0" w:color="auto"/>
              <w:right w:val="single" w:sz="4" w:space="0" w:color="auto"/>
            </w:tcBorders>
            <w:noWrap/>
            <w:vAlign w:val="center"/>
            <w:hideMark/>
          </w:tcPr>
          <w:p w14:paraId="50CD8DE6" w14:textId="77777777" w:rsidR="00416D67" w:rsidRPr="00416D67" w:rsidRDefault="00416D67" w:rsidP="00416D67">
            <w:pPr>
              <w:jc w:val="right"/>
              <w:rPr>
                <w:color w:val="000000"/>
                <w:sz w:val="18"/>
                <w:szCs w:val="18"/>
              </w:rPr>
            </w:pPr>
            <w:r w:rsidRPr="00416D67">
              <w:rPr>
                <w:color w:val="000000"/>
                <w:sz w:val="18"/>
                <w:szCs w:val="18"/>
              </w:rPr>
              <w:t>-437,81</w:t>
            </w:r>
          </w:p>
        </w:tc>
      </w:tr>
      <w:tr w:rsidR="00416D67" w:rsidRPr="00416D67" w14:paraId="0D14C87F" w14:textId="77777777" w:rsidTr="00BB1392">
        <w:trPr>
          <w:trHeight w:val="300"/>
        </w:trPr>
        <w:tc>
          <w:tcPr>
            <w:tcW w:w="6394" w:type="dxa"/>
            <w:tcBorders>
              <w:top w:val="nil"/>
              <w:left w:val="single" w:sz="4" w:space="0" w:color="auto"/>
              <w:bottom w:val="single" w:sz="4" w:space="0" w:color="auto"/>
              <w:right w:val="single" w:sz="4" w:space="0" w:color="auto"/>
            </w:tcBorders>
            <w:vAlign w:val="center"/>
            <w:hideMark/>
          </w:tcPr>
          <w:p w14:paraId="68A3A148" w14:textId="77777777" w:rsidR="00416D67" w:rsidRPr="00416D67" w:rsidRDefault="00416D67" w:rsidP="00416D67">
            <w:pPr>
              <w:rPr>
                <w:color w:val="000000"/>
                <w:sz w:val="18"/>
                <w:szCs w:val="18"/>
              </w:rPr>
            </w:pPr>
            <w:r w:rsidRPr="00416D67">
              <w:rPr>
                <w:color w:val="000000"/>
                <w:sz w:val="18"/>
                <w:szCs w:val="18"/>
              </w:rPr>
              <w:t>Višak prihoda od usluge pripreme i dostave obroka</w:t>
            </w:r>
          </w:p>
        </w:tc>
        <w:tc>
          <w:tcPr>
            <w:tcW w:w="2126" w:type="dxa"/>
            <w:tcBorders>
              <w:top w:val="nil"/>
              <w:left w:val="nil"/>
              <w:bottom w:val="single" w:sz="4" w:space="0" w:color="auto"/>
              <w:right w:val="single" w:sz="4" w:space="0" w:color="auto"/>
            </w:tcBorders>
            <w:noWrap/>
            <w:vAlign w:val="center"/>
            <w:hideMark/>
          </w:tcPr>
          <w:p w14:paraId="686F336D" w14:textId="77777777" w:rsidR="00416D67" w:rsidRPr="00416D67" w:rsidRDefault="00416D67" w:rsidP="00416D67">
            <w:pPr>
              <w:jc w:val="right"/>
              <w:rPr>
                <w:color w:val="000000"/>
                <w:sz w:val="18"/>
                <w:szCs w:val="18"/>
              </w:rPr>
            </w:pPr>
            <w:r w:rsidRPr="00416D67">
              <w:rPr>
                <w:color w:val="000000"/>
                <w:sz w:val="18"/>
                <w:szCs w:val="18"/>
              </w:rPr>
              <w:t>140,97</w:t>
            </w:r>
          </w:p>
        </w:tc>
      </w:tr>
    </w:tbl>
    <w:p w14:paraId="715C7930" w14:textId="77777777" w:rsidR="00416D67" w:rsidRPr="00416D67" w:rsidRDefault="00416D67" w:rsidP="00416D67">
      <w:pPr>
        <w:jc w:val="both"/>
      </w:pPr>
      <w:r w:rsidRPr="00416D67">
        <w:t xml:space="preserve">   </w:t>
      </w:r>
    </w:p>
    <w:p w14:paraId="03A22A77" w14:textId="77777777" w:rsidR="00416D67" w:rsidRPr="00416D67" w:rsidRDefault="00416D67" w:rsidP="00416D67">
      <w:pPr>
        <w:jc w:val="both"/>
        <w:rPr>
          <w:rFonts w:eastAsia="Calibri"/>
          <w:b/>
          <w:bCs/>
          <w:u w:val="single"/>
          <w:lang w:eastAsia="en-US"/>
        </w:rPr>
      </w:pPr>
    </w:p>
    <w:p w14:paraId="7F43CCCD" w14:textId="77777777" w:rsidR="00416D67" w:rsidRPr="00416D67" w:rsidRDefault="00416D67" w:rsidP="00416D67">
      <w:pPr>
        <w:jc w:val="both"/>
        <w:rPr>
          <w:b/>
          <w:u w:val="single"/>
        </w:rPr>
      </w:pPr>
    </w:p>
    <w:p w14:paraId="6714CFCD" w14:textId="77777777" w:rsidR="00416D67" w:rsidRPr="00416D67" w:rsidRDefault="00416D67" w:rsidP="00416D67">
      <w:pPr>
        <w:jc w:val="both"/>
        <w:rPr>
          <w:b/>
          <w:u w:val="single"/>
        </w:rPr>
      </w:pPr>
      <w:r w:rsidRPr="00416D67">
        <w:rPr>
          <w:b/>
          <w:u w:val="single"/>
        </w:rPr>
        <w:t xml:space="preserve">2.1.4. RASHODI  I  IZDACI </w:t>
      </w:r>
    </w:p>
    <w:p w14:paraId="2474EB14" w14:textId="77777777" w:rsidR="00416D67" w:rsidRPr="00416D67" w:rsidRDefault="00416D67" w:rsidP="00416D67">
      <w:pPr>
        <w:ind w:firstLine="708"/>
        <w:jc w:val="both"/>
        <w:rPr>
          <w:b/>
          <w:u w:val="single"/>
        </w:rPr>
      </w:pPr>
    </w:p>
    <w:p w14:paraId="346B1E8E" w14:textId="77777777" w:rsidR="00416D67" w:rsidRPr="00416D67" w:rsidRDefault="00416D67" w:rsidP="00416D67">
      <w:pPr>
        <w:ind w:firstLine="708"/>
        <w:jc w:val="both"/>
      </w:pPr>
      <w:r w:rsidRPr="00416D67">
        <w:t xml:space="preserve">Ukupni rashodi i izdaci proračuna za 2025. godinu planirani su u iznosu od 9.163.800,00 EUR, a izvršeni su u iznosu od 6.587.292,79   ili 71,88% od godišnjeg plana. U odnosu na isto razdoblje prethodne godine ostvareni rashodi su veći, indeks ostvarenja iznosi 123,8%. </w:t>
      </w:r>
    </w:p>
    <w:p w14:paraId="0C800196" w14:textId="77777777" w:rsidR="00416D67" w:rsidRPr="00416D67" w:rsidRDefault="00416D67" w:rsidP="00416D67">
      <w:pPr>
        <w:ind w:firstLine="707"/>
        <w:jc w:val="both"/>
        <w:rPr>
          <w:rFonts w:eastAsia="Cambria Math"/>
          <w:snapToGrid w:val="0"/>
          <w:color w:val="000000"/>
        </w:rPr>
      </w:pPr>
      <w:r w:rsidRPr="00416D67">
        <w:rPr>
          <w:rFonts w:eastAsia="Cambria Math"/>
          <w:snapToGrid w:val="0"/>
          <w:color w:val="000000"/>
          <w:szCs w:val="20"/>
          <w:lang w:val="en-AU"/>
        </w:rPr>
        <w:t xml:space="preserve">U </w:t>
      </w:r>
      <w:proofErr w:type="spellStart"/>
      <w:r w:rsidRPr="00416D67">
        <w:rPr>
          <w:rFonts w:eastAsia="Cambria Math"/>
          <w:snapToGrid w:val="0"/>
          <w:color w:val="000000"/>
          <w:szCs w:val="20"/>
          <w:lang w:val="en-AU"/>
        </w:rPr>
        <w:t>strukturi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ukupno</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ostvarenih</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rashoda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izdataka</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najveći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udio</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čine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rashodi</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poslovanja</w:t>
      </w:r>
      <w:proofErr w:type="spellEnd"/>
      <w:r w:rsidRPr="00416D67">
        <w:rPr>
          <w:rFonts w:eastAsia="Cambria Math"/>
          <w:snapToGrid w:val="0"/>
          <w:color w:val="000000"/>
          <w:szCs w:val="20"/>
          <w:lang w:val="en-AU"/>
        </w:rPr>
        <w:t xml:space="preserve"> s </w:t>
      </w:r>
      <w:proofErr w:type="spellStart"/>
      <w:r w:rsidRPr="00416D67">
        <w:rPr>
          <w:rFonts w:eastAsia="Cambria Math"/>
          <w:snapToGrid w:val="0"/>
          <w:color w:val="000000"/>
          <w:szCs w:val="20"/>
          <w:lang w:val="en-AU"/>
        </w:rPr>
        <w:t>udjelom</w:t>
      </w:r>
      <w:proofErr w:type="spellEnd"/>
      <w:r w:rsidRPr="00416D67">
        <w:rPr>
          <w:rFonts w:eastAsia="Cambria Math"/>
          <w:snapToGrid w:val="0"/>
          <w:color w:val="000000"/>
          <w:szCs w:val="20"/>
          <w:lang w:val="en-AU"/>
        </w:rPr>
        <w:t xml:space="preserve"> od 73,96%, </w:t>
      </w:r>
      <w:proofErr w:type="spellStart"/>
      <w:r w:rsidRPr="00416D67">
        <w:rPr>
          <w:rFonts w:eastAsia="Cambria Math"/>
          <w:snapToGrid w:val="0"/>
          <w:color w:val="000000"/>
          <w:szCs w:val="20"/>
          <w:lang w:val="en-AU"/>
        </w:rPr>
        <w:t>dok</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rashodi</w:t>
      </w:r>
      <w:proofErr w:type="spellEnd"/>
      <w:r w:rsidRPr="00416D67">
        <w:rPr>
          <w:rFonts w:eastAsia="Cambria Math"/>
          <w:snapToGrid w:val="0"/>
          <w:color w:val="000000"/>
          <w:szCs w:val="20"/>
          <w:lang w:val="en-AU"/>
        </w:rPr>
        <w:t xml:space="preserve"> za </w:t>
      </w:r>
      <w:proofErr w:type="spellStart"/>
      <w:r w:rsidRPr="00416D67">
        <w:rPr>
          <w:rFonts w:eastAsia="Cambria Math"/>
          <w:snapToGrid w:val="0"/>
          <w:color w:val="000000"/>
          <w:szCs w:val="20"/>
          <w:lang w:val="en-AU"/>
        </w:rPr>
        <w:t>nabavu</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nefinancijske</w:t>
      </w:r>
      <w:proofErr w:type="spellEnd"/>
      <w:r w:rsidRPr="00416D67">
        <w:rPr>
          <w:rFonts w:eastAsia="Cambria Math"/>
          <w:snapToGrid w:val="0"/>
          <w:color w:val="000000"/>
          <w:szCs w:val="20"/>
          <w:lang w:val="en-AU"/>
        </w:rPr>
        <w:t xml:space="preserve"> </w:t>
      </w:r>
      <w:proofErr w:type="spellStart"/>
      <w:r w:rsidRPr="00416D67">
        <w:rPr>
          <w:rFonts w:eastAsia="Cambria Math"/>
          <w:snapToGrid w:val="0"/>
          <w:color w:val="000000"/>
          <w:szCs w:val="20"/>
          <w:lang w:val="en-AU"/>
        </w:rPr>
        <w:t>imovine</w:t>
      </w:r>
      <w:proofErr w:type="spellEnd"/>
      <w:r w:rsidRPr="00416D67">
        <w:rPr>
          <w:rFonts w:eastAsia="Cambria Math"/>
          <w:snapToGrid w:val="0"/>
          <w:color w:val="000000"/>
          <w:szCs w:val="20"/>
          <w:lang w:val="en-AU"/>
        </w:rPr>
        <w:t xml:space="preserve"> s </w:t>
      </w:r>
      <w:proofErr w:type="spellStart"/>
      <w:r w:rsidRPr="00416D67">
        <w:rPr>
          <w:rFonts w:eastAsia="Cambria Math"/>
          <w:snapToGrid w:val="0"/>
          <w:color w:val="000000"/>
          <w:szCs w:val="20"/>
          <w:lang w:val="en-AU"/>
        </w:rPr>
        <w:t>udjelom</w:t>
      </w:r>
      <w:proofErr w:type="spellEnd"/>
      <w:r w:rsidRPr="00416D67">
        <w:rPr>
          <w:rFonts w:eastAsia="Cambria Math"/>
          <w:snapToGrid w:val="0"/>
          <w:color w:val="000000"/>
          <w:szCs w:val="20"/>
          <w:lang w:val="en-AU"/>
        </w:rPr>
        <w:t xml:space="preserve"> od 26,04</w:t>
      </w:r>
      <w:proofErr w:type="gramStart"/>
      <w:r w:rsidRPr="00416D67">
        <w:rPr>
          <w:rFonts w:eastAsia="Cambria Math"/>
          <w:snapToGrid w:val="0"/>
          <w:color w:val="000000"/>
          <w:szCs w:val="20"/>
          <w:lang w:val="en-AU"/>
        </w:rPr>
        <w:t>% .</w:t>
      </w:r>
      <w:proofErr w:type="gramEnd"/>
      <w:r w:rsidRPr="00416D67">
        <w:rPr>
          <w:rFonts w:eastAsia="Cambria Math"/>
          <w:snapToGrid w:val="0"/>
          <w:color w:val="000000"/>
          <w:szCs w:val="20"/>
          <w:lang w:val="en-AU"/>
        </w:rPr>
        <w:t xml:space="preserve"> </w:t>
      </w:r>
    </w:p>
    <w:p w14:paraId="25C97C5C" w14:textId="77777777" w:rsidR="00416D67" w:rsidRPr="00416D67" w:rsidRDefault="00416D67" w:rsidP="00416D67">
      <w:pPr>
        <w:ind w:firstLine="708"/>
        <w:jc w:val="both"/>
      </w:pPr>
      <w:r w:rsidRPr="00416D67">
        <w:t xml:space="preserve"> </w:t>
      </w:r>
    </w:p>
    <w:p w14:paraId="3DB496FC" w14:textId="77777777" w:rsidR="00416D67" w:rsidRPr="00416D67" w:rsidRDefault="00416D67" w:rsidP="00416D67">
      <w:pPr>
        <w:ind w:firstLine="708"/>
        <w:jc w:val="both"/>
      </w:pPr>
      <w:r w:rsidRPr="00416D67">
        <w:t>U nastavku slijedi prikaz izvršenih rashoda i izdataka Proračuna Općine Marčana u 2025. godini s usporednim pokazateljima ostvarenja rashoda i izdataka u prethodnoj 2024. godini.</w:t>
      </w:r>
    </w:p>
    <w:p w14:paraId="541118EA" w14:textId="77777777" w:rsidR="00416D67" w:rsidRPr="00416D67" w:rsidRDefault="00416D67" w:rsidP="00416D67">
      <w:pPr>
        <w:jc w:val="both"/>
        <w:rPr>
          <w:b/>
        </w:rPr>
      </w:pPr>
    </w:p>
    <w:p w14:paraId="2EF59AE8" w14:textId="77777777" w:rsidR="00416D67" w:rsidRPr="00416D67" w:rsidRDefault="00416D67" w:rsidP="00416D67">
      <w:pPr>
        <w:rPr>
          <w:b/>
        </w:rPr>
      </w:pPr>
    </w:p>
    <w:p w14:paraId="1F447E37" w14:textId="77777777" w:rsidR="00416D67" w:rsidRPr="00416D67" w:rsidRDefault="00416D67" w:rsidP="00416D67">
      <w:pPr>
        <w:rPr>
          <w:b/>
        </w:rPr>
      </w:pPr>
    </w:p>
    <w:p w14:paraId="21AAC5D8" w14:textId="77777777" w:rsidR="00416D67" w:rsidRPr="00416D67" w:rsidRDefault="00416D67" w:rsidP="00416D67">
      <w:pPr>
        <w:rPr>
          <w:color w:val="000000"/>
        </w:rPr>
      </w:pPr>
      <w:r w:rsidRPr="00416D67">
        <w:rPr>
          <w:b/>
        </w:rPr>
        <w:lastRenderedPageBreak/>
        <w:t xml:space="preserve">Tablica 5. </w:t>
      </w:r>
      <w:r w:rsidRPr="00416D67">
        <w:rPr>
          <w:b/>
          <w:bCs/>
          <w:color w:val="000000"/>
        </w:rPr>
        <w:t>Ostvarenje rashoda/izdataka Proračuna u 2025. godini s usporednim</w:t>
      </w:r>
      <w:r w:rsidRPr="00416D67">
        <w:rPr>
          <w:color w:val="000000"/>
        </w:rPr>
        <w:t xml:space="preserve"> </w:t>
      </w:r>
      <w:r w:rsidRPr="00416D67">
        <w:rPr>
          <w:b/>
          <w:bCs/>
          <w:color w:val="000000"/>
        </w:rPr>
        <w:t>pokazateljima ostvarenja rashoda/izdataka u  2024. godini</w:t>
      </w:r>
    </w:p>
    <w:tbl>
      <w:tblPr>
        <w:tblW w:w="9229" w:type="dxa"/>
        <w:tblInd w:w="93" w:type="dxa"/>
        <w:tblLook w:val="04A0" w:firstRow="1" w:lastRow="0" w:firstColumn="1" w:lastColumn="0" w:noHBand="0" w:noVBand="1"/>
      </w:tblPr>
      <w:tblGrid>
        <w:gridCol w:w="582"/>
        <w:gridCol w:w="98"/>
        <w:gridCol w:w="2248"/>
        <w:gridCol w:w="1056"/>
        <w:gridCol w:w="1134"/>
        <w:gridCol w:w="1134"/>
        <w:gridCol w:w="973"/>
        <w:gridCol w:w="870"/>
        <w:gridCol w:w="1134"/>
      </w:tblGrid>
      <w:tr w:rsidR="00416D67" w:rsidRPr="00416D67" w14:paraId="6707BC15" w14:textId="77777777" w:rsidTr="00BB1392">
        <w:trPr>
          <w:trHeight w:val="510"/>
        </w:trPr>
        <w:tc>
          <w:tcPr>
            <w:tcW w:w="582" w:type="dxa"/>
            <w:tcBorders>
              <w:top w:val="single" w:sz="8" w:space="0" w:color="808080"/>
              <w:left w:val="single" w:sz="8" w:space="0" w:color="808080"/>
              <w:bottom w:val="single" w:sz="8" w:space="0" w:color="808080"/>
              <w:right w:val="single" w:sz="8" w:space="0" w:color="808080"/>
            </w:tcBorders>
            <w:textDirection w:val="btLr"/>
            <w:vAlign w:val="center"/>
            <w:hideMark/>
          </w:tcPr>
          <w:p w14:paraId="2F74BC59" w14:textId="77777777" w:rsidR="00416D67" w:rsidRPr="00416D67" w:rsidRDefault="00416D67" w:rsidP="00416D67">
            <w:pPr>
              <w:jc w:val="center"/>
              <w:rPr>
                <w:color w:val="000000"/>
                <w:sz w:val="12"/>
                <w:szCs w:val="12"/>
              </w:rPr>
            </w:pPr>
            <w:r w:rsidRPr="00416D67">
              <w:rPr>
                <w:color w:val="000000"/>
                <w:sz w:val="12"/>
                <w:szCs w:val="12"/>
              </w:rPr>
              <w:t>BROJ KONTA</w:t>
            </w:r>
          </w:p>
        </w:tc>
        <w:tc>
          <w:tcPr>
            <w:tcW w:w="2346" w:type="dxa"/>
            <w:gridSpan w:val="2"/>
            <w:tcBorders>
              <w:top w:val="single" w:sz="8" w:space="0" w:color="808080"/>
              <w:left w:val="nil"/>
              <w:bottom w:val="single" w:sz="8" w:space="0" w:color="808080"/>
              <w:right w:val="single" w:sz="8" w:space="0" w:color="808080"/>
            </w:tcBorders>
            <w:vAlign w:val="center"/>
            <w:hideMark/>
          </w:tcPr>
          <w:p w14:paraId="2C6A63BF" w14:textId="77777777" w:rsidR="00416D67" w:rsidRPr="00416D67" w:rsidRDefault="00416D67" w:rsidP="00416D67">
            <w:pPr>
              <w:jc w:val="center"/>
              <w:rPr>
                <w:color w:val="000000"/>
                <w:sz w:val="12"/>
                <w:szCs w:val="12"/>
              </w:rPr>
            </w:pPr>
            <w:r w:rsidRPr="00416D67">
              <w:rPr>
                <w:color w:val="000000"/>
                <w:sz w:val="12"/>
                <w:szCs w:val="12"/>
              </w:rPr>
              <w:t>OPIS (NAZIV)</w:t>
            </w:r>
          </w:p>
        </w:tc>
        <w:tc>
          <w:tcPr>
            <w:tcW w:w="1056" w:type="dxa"/>
            <w:tcBorders>
              <w:top w:val="single" w:sz="8" w:space="0" w:color="808080"/>
              <w:left w:val="nil"/>
              <w:bottom w:val="single" w:sz="8" w:space="0" w:color="808080"/>
              <w:right w:val="single" w:sz="8" w:space="0" w:color="808080"/>
            </w:tcBorders>
            <w:vAlign w:val="center"/>
            <w:hideMark/>
          </w:tcPr>
          <w:p w14:paraId="08815FD2" w14:textId="77777777" w:rsidR="00416D67" w:rsidRPr="00416D67" w:rsidRDefault="00416D67" w:rsidP="00416D67">
            <w:pPr>
              <w:jc w:val="center"/>
              <w:rPr>
                <w:color w:val="000000"/>
                <w:sz w:val="12"/>
                <w:szCs w:val="12"/>
              </w:rPr>
            </w:pPr>
            <w:r w:rsidRPr="00416D67">
              <w:rPr>
                <w:color w:val="000000"/>
                <w:sz w:val="12"/>
                <w:szCs w:val="12"/>
              </w:rPr>
              <w:t>IZVRŠENJE PRORAČUNA 2024. GODINA</w:t>
            </w:r>
          </w:p>
        </w:tc>
        <w:tc>
          <w:tcPr>
            <w:tcW w:w="1134" w:type="dxa"/>
            <w:tcBorders>
              <w:top w:val="single" w:sz="8" w:space="0" w:color="808080"/>
              <w:left w:val="nil"/>
              <w:bottom w:val="single" w:sz="8" w:space="0" w:color="808080"/>
              <w:right w:val="single" w:sz="8" w:space="0" w:color="808080"/>
            </w:tcBorders>
            <w:vAlign w:val="center"/>
            <w:hideMark/>
          </w:tcPr>
          <w:p w14:paraId="6645AF10" w14:textId="77777777" w:rsidR="00416D67" w:rsidRPr="00416D67" w:rsidRDefault="00416D67" w:rsidP="00416D67">
            <w:pPr>
              <w:jc w:val="center"/>
              <w:rPr>
                <w:color w:val="000000"/>
                <w:sz w:val="12"/>
                <w:szCs w:val="12"/>
              </w:rPr>
            </w:pPr>
            <w:r w:rsidRPr="00416D67">
              <w:rPr>
                <w:color w:val="000000"/>
                <w:sz w:val="12"/>
                <w:szCs w:val="12"/>
              </w:rPr>
              <w:t>TEKUĆI PLAN PRORAČUNA 2025. GODINA</w:t>
            </w:r>
          </w:p>
        </w:tc>
        <w:tc>
          <w:tcPr>
            <w:tcW w:w="1134" w:type="dxa"/>
            <w:tcBorders>
              <w:top w:val="single" w:sz="8" w:space="0" w:color="808080"/>
              <w:left w:val="nil"/>
              <w:bottom w:val="single" w:sz="8" w:space="0" w:color="808080"/>
              <w:right w:val="single" w:sz="8" w:space="0" w:color="808080"/>
            </w:tcBorders>
            <w:vAlign w:val="center"/>
            <w:hideMark/>
          </w:tcPr>
          <w:p w14:paraId="1A59E65C" w14:textId="77777777" w:rsidR="00416D67" w:rsidRPr="00416D67" w:rsidRDefault="00416D67" w:rsidP="00416D67">
            <w:pPr>
              <w:jc w:val="center"/>
              <w:rPr>
                <w:color w:val="000000"/>
                <w:sz w:val="12"/>
                <w:szCs w:val="12"/>
              </w:rPr>
            </w:pPr>
            <w:r w:rsidRPr="00416D67">
              <w:rPr>
                <w:color w:val="000000"/>
                <w:sz w:val="12"/>
                <w:szCs w:val="12"/>
              </w:rPr>
              <w:t>IZVRŠENJE PRORAČUNA 2025. GODINA</w:t>
            </w:r>
          </w:p>
        </w:tc>
        <w:tc>
          <w:tcPr>
            <w:tcW w:w="973" w:type="dxa"/>
            <w:tcBorders>
              <w:top w:val="single" w:sz="8" w:space="0" w:color="808080"/>
              <w:left w:val="nil"/>
              <w:bottom w:val="single" w:sz="8" w:space="0" w:color="808080"/>
              <w:right w:val="single" w:sz="8" w:space="0" w:color="808080"/>
            </w:tcBorders>
            <w:vAlign w:val="center"/>
            <w:hideMark/>
          </w:tcPr>
          <w:p w14:paraId="05E72055" w14:textId="77777777" w:rsidR="00416D67" w:rsidRPr="00416D67" w:rsidRDefault="00416D67" w:rsidP="00416D67">
            <w:pPr>
              <w:jc w:val="center"/>
              <w:rPr>
                <w:color w:val="000000"/>
                <w:sz w:val="12"/>
                <w:szCs w:val="12"/>
              </w:rPr>
            </w:pPr>
            <w:r w:rsidRPr="00416D67">
              <w:rPr>
                <w:color w:val="000000"/>
                <w:sz w:val="12"/>
                <w:szCs w:val="12"/>
              </w:rPr>
              <w:t>INDEKS OSTV/PLAN 2025.</w:t>
            </w:r>
          </w:p>
        </w:tc>
        <w:tc>
          <w:tcPr>
            <w:tcW w:w="870" w:type="dxa"/>
            <w:tcBorders>
              <w:top w:val="single" w:sz="8" w:space="0" w:color="808080"/>
              <w:left w:val="nil"/>
              <w:bottom w:val="single" w:sz="8" w:space="0" w:color="808080"/>
              <w:right w:val="single" w:sz="8" w:space="0" w:color="808080"/>
            </w:tcBorders>
            <w:vAlign w:val="center"/>
            <w:hideMark/>
          </w:tcPr>
          <w:p w14:paraId="0ED0063E" w14:textId="77777777" w:rsidR="00416D67" w:rsidRPr="00416D67" w:rsidRDefault="00416D67" w:rsidP="00416D67">
            <w:pPr>
              <w:jc w:val="center"/>
              <w:rPr>
                <w:color w:val="000000"/>
                <w:sz w:val="12"/>
                <w:szCs w:val="12"/>
              </w:rPr>
            </w:pPr>
            <w:r w:rsidRPr="00416D67">
              <w:rPr>
                <w:color w:val="000000"/>
                <w:sz w:val="12"/>
                <w:szCs w:val="12"/>
              </w:rPr>
              <w:t>INDEKS OSTV 2025/2024</w:t>
            </w:r>
          </w:p>
        </w:tc>
        <w:tc>
          <w:tcPr>
            <w:tcW w:w="1134" w:type="dxa"/>
            <w:tcBorders>
              <w:top w:val="single" w:sz="8" w:space="0" w:color="808080"/>
              <w:left w:val="nil"/>
              <w:bottom w:val="single" w:sz="8" w:space="0" w:color="808080"/>
              <w:right w:val="single" w:sz="8" w:space="0" w:color="808080"/>
            </w:tcBorders>
            <w:vAlign w:val="center"/>
            <w:hideMark/>
          </w:tcPr>
          <w:p w14:paraId="5D8C3630" w14:textId="77777777" w:rsidR="00416D67" w:rsidRPr="00416D67" w:rsidRDefault="00416D67" w:rsidP="00416D67">
            <w:pPr>
              <w:jc w:val="center"/>
              <w:rPr>
                <w:color w:val="000000"/>
                <w:sz w:val="12"/>
                <w:szCs w:val="12"/>
              </w:rPr>
            </w:pPr>
            <w:r w:rsidRPr="00416D67">
              <w:rPr>
                <w:color w:val="000000"/>
                <w:sz w:val="12"/>
                <w:szCs w:val="12"/>
              </w:rPr>
              <w:t>UDIO OSTV. U %</w:t>
            </w:r>
          </w:p>
        </w:tc>
      </w:tr>
      <w:tr w:rsidR="00416D67" w:rsidRPr="00416D67" w14:paraId="0D12D17B" w14:textId="77777777" w:rsidTr="00BB1392">
        <w:trPr>
          <w:trHeight w:val="315"/>
        </w:trPr>
        <w:tc>
          <w:tcPr>
            <w:tcW w:w="2928" w:type="dxa"/>
            <w:gridSpan w:val="3"/>
            <w:tcBorders>
              <w:top w:val="single" w:sz="8" w:space="0" w:color="808080"/>
              <w:left w:val="single" w:sz="8" w:space="0" w:color="808080"/>
              <w:bottom w:val="single" w:sz="8" w:space="0" w:color="808080"/>
              <w:right w:val="single" w:sz="8" w:space="0" w:color="808080"/>
            </w:tcBorders>
            <w:vAlign w:val="center"/>
            <w:hideMark/>
          </w:tcPr>
          <w:p w14:paraId="2EC75A01" w14:textId="77777777" w:rsidR="00416D67" w:rsidRPr="00416D67" w:rsidRDefault="00416D67" w:rsidP="00416D67">
            <w:pPr>
              <w:jc w:val="center"/>
              <w:rPr>
                <w:i/>
                <w:iCs/>
                <w:color w:val="000000"/>
                <w:sz w:val="12"/>
                <w:szCs w:val="12"/>
              </w:rPr>
            </w:pPr>
            <w:r w:rsidRPr="00416D67">
              <w:rPr>
                <w:i/>
                <w:iCs/>
                <w:color w:val="000000"/>
                <w:sz w:val="12"/>
                <w:szCs w:val="12"/>
              </w:rPr>
              <w:t>1</w:t>
            </w:r>
          </w:p>
        </w:tc>
        <w:tc>
          <w:tcPr>
            <w:tcW w:w="1056" w:type="dxa"/>
            <w:tcBorders>
              <w:top w:val="nil"/>
              <w:left w:val="nil"/>
              <w:bottom w:val="single" w:sz="8" w:space="0" w:color="808080"/>
              <w:right w:val="single" w:sz="8" w:space="0" w:color="808080"/>
            </w:tcBorders>
            <w:vAlign w:val="center"/>
            <w:hideMark/>
          </w:tcPr>
          <w:p w14:paraId="30D4B32D" w14:textId="77777777" w:rsidR="00416D67" w:rsidRPr="00416D67" w:rsidRDefault="00416D67" w:rsidP="00416D67">
            <w:pPr>
              <w:jc w:val="center"/>
              <w:rPr>
                <w:i/>
                <w:iCs/>
                <w:color w:val="000000"/>
                <w:sz w:val="12"/>
                <w:szCs w:val="12"/>
              </w:rPr>
            </w:pPr>
            <w:r w:rsidRPr="00416D67">
              <w:rPr>
                <w:i/>
                <w:iCs/>
                <w:color w:val="000000"/>
                <w:sz w:val="12"/>
                <w:szCs w:val="12"/>
              </w:rPr>
              <w:t>2</w:t>
            </w:r>
          </w:p>
        </w:tc>
        <w:tc>
          <w:tcPr>
            <w:tcW w:w="1134" w:type="dxa"/>
            <w:tcBorders>
              <w:top w:val="nil"/>
              <w:left w:val="nil"/>
              <w:bottom w:val="single" w:sz="8" w:space="0" w:color="808080"/>
              <w:right w:val="single" w:sz="8" w:space="0" w:color="808080"/>
            </w:tcBorders>
            <w:vAlign w:val="center"/>
            <w:hideMark/>
          </w:tcPr>
          <w:p w14:paraId="6AEAA4E1" w14:textId="77777777" w:rsidR="00416D67" w:rsidRPr="00416D67" w:rsidRDefault="00416D67" w:rsidP="00416D67">
            <w:pPr>
              <w:jc w:val="center"/>
              <w:rPr>
                <w:i/>
                <w:iCs/>
                <w:color w:val="000000"/>
                <w:sz w:val="12"/>
                <w:szCs w:val="12"/>
              </w:rPr>
            </w:pPr>
            <w:r w:rsidRPr="00416D67">
              <w:rPr>
                <w:i/>
                <w:iCs/>
                <w:color w:val="000000"/>
                <w:sz w:val="12"/>
                <w:szCs w:val="12"/>
              </w:rPr>
              <w:t>3</w:t>
            </w:r>
          </w:p>
        </w:tc>
        <w:tc>
          <w:tcPr>
            <w:tcW w:w="1134" w:type="dxa"/>
            <w:tcBorders>
              <w:top w:val="nil"/>
              <w:left w:val="nil"/>
              <w:bottom w:val="single" w:sz="8" w:space="0" w:color="808080"/>
              <w:right w:val="single" w:sz="8" w:space="0" w:color="808080"/>
            </w:tcBorders>
            <w:vAlign w:val="center"/>
            <w:hideMark/>
          </w:tcPr>
          <w:p w14:paraId="46C43C48" w14:textId="77777777" w:rsidR="00416D67" w:rsidRPr="00416D67" w:rsidRDefault="00416D67" w:rsidP="00416D67">
            <w:pPr>
              <w:jc w:val="center"/>
              <w:rPr>
                <w:i/>
                <w:iCs/>
                <w:color w:val="000000"/>
                <w:sz w:val="12"/>
                <w:szCs w:val="12"/>
              </w:rPr>
            </w:pPr>
            <w:r w:rsidRPr="00416D67">
              <w:rPr>
                <w:i/>
                <w:iCs/>
                <w:color w:val="000000"/>
                <w:sz w:val="12"/>
                <w:szCs w:val="12"/>
              </w:rPr>
              <w:t>4</w:t>
            </w:r>
          </w:p>
        </w:tc>
        <w:tc>
          <w:tcPr>
            <w:tcW w:w="973" w:type="dxa"/>
            <w:tcBorders>
              <w:top w:val="nil"/>
              <w:left w:val="nil"/>
              <w:bottom w:val="single" w:sz="8" w:space="0" w:color="808080"/>
              <w:right w:val="single" w:sz="8" w:space="0" w:color="808080"/>
            </w:tcBorders>
            <w:vAlign w:val="center"/>
            <w:hideMark/>
          </w:tcPr>
          <w:p w14:paraId="71496966" w14:textId="77777777" w:rsidR="00416D67" w:rsidRPr="00416D67" w:rsidRDefault="00416D67" w:rsidP="00416D67">
            <w:pPr>
              <w:jc w:val="center"/>
              <w:rPr>
                <w:i/>
                <w:iCs/>
                <w:color w:val="000000"/>
                <w:sz w:val="12"/>
                <w:szCs w:val="12"/>
              </w:rPr>
            </w:pPr>
            <w:r w:rsidRPr="00416D67">
              <w:rPr>
                <w:i/>
                <w:iCs/>
                <w:color w:val="000000"/>
                <w:sz w:val="12"/>
                <w:szCs w:val="12"/>
              </w:rPr>
              <w:t>5 (4/3)</w:t>
            </w:r>
          </w:p>
        </w:tc>
        <w:tc>
          <w:tcPr>
            <w:tcW w:w="870" w:type="dxa"/>
            <w:tcBorders>
              <w:top w:val="nil"/>
              <w:left w:val="nil"/>
              <w:bottom w:val="single" w:sz="8" w:space="0" w:color="808080"/>
              <w:right w:val="single" w:sz="8" w:space="0" w:color="808080"/>
            </w:tcBorders>
            <w:vAlign w:val="center"/>
            <w:hideMark/>
          </w:tcPr>
          <w:p w14:paraId="285D66B1" w14:textId="77777777" w:rsidR="00416D67" w:rsidRPr="00416D67" w:rsidRDefault="00416D67" w:rsidP="00416D67">
            <w:pPr>
              <w:jc w:val="center"/>
              <w:rPr>
                <w:i/>
                <w:iCs/>
                <w:color w:val="000000"/>
                <w:sz w:val="12"/>
                <w:szCs w:val="12"/>
              </w:rPr>
            </w:pPr>
            <w:r w:rsidRPr="00416D67">
              <w:rPr>
                <w:i/>
                <w:iCs/>
                <w:color w:val="000000"/>
                <w:sz w:val="12"/>
                <w:szCs w:val="12"/>
              </w:rPr>
              <w:t>6 (4/2)</w:t>
            </w:r>
          </w:p>
        </w:tc>
        <w:tc>
          <w:tcPr>
            <w:tcW w:w="1134" w:type="dxa"/>
            <w:tcBorders>
              <w:top w:val="nil"/>
              <w:left w:val="nil"/>
              <w:bottom w:val="single" w:sz="8" w:space="0" w:color="808080"/>
              <w:right w:val="single" w:sz="8" w:space="0" w:color="808080"/>
            </w:tcBorders>
            <w:vAlign w:val="center"/>
            <w:hideMark/>
          </w:tcPr>
          <w:p w14:paraId="223958DD" w14:textId="77777777" w:rsidR="00416D67" w:rsidRPr="00416D67" w:rsidRDefault="00416D67" w:rsidP="00416D67">
            <w:pPr>
              <w:jc w:val="center"/>
              <w:rPr>
                <w:i/>
                <w:iCs/>
                <w:color w:val="000000"/>
                <w:sz w:val="12"/>
                <w:szCs w:val="12"/>
              </w:rPr>
            </w:pPr>
            <w:r w:rsidRPr="00416D67">
              <w:rPr>
                <w:i/>
                <w:iCs/>
                <w:color w:val="000000"/>
                <w:sz w:val="12"/>
                <w:szCs w:val="12"/>
              </w:rPr>
              <w:t>7</w:t>
            </w:r>
          </w:p>
        </w:tc>
      </w:tr>
      <w:tr w:rsidR="00416D67" w:rsidRPr="00416D67" w14:paraId="1043A551" w14:textId="77777777" w:rsidTr="00BB1392">
        <w:trPr>
          <w:trHeight w:val="315"/>
        </w:trPr>
        <w:tc>
          <w:tcPr>
            <w:tcW w:w="2928" w:type="dxa"/>
            <w:gridSpan w:val="3"/>
            <w:tcBorders>
              <w:top w:val="single" w:sz="8" w:space="0" w:color="808080"/>
              <w:left w:val="single" w:sz="8" w:space="0" w:color="808080"/>
              <w:bottom w:val="single" w:sz="8" w:space="0" w:color="808080"/>
              <w:right w:val="single" w:sz="8" w:space="0" w:color="808080"/>
            </w:tcBorders>
            <w:shd w:val="clear" w:color="000000" w:fill="D9D9D9"/>
            <w:noWrap/>
            <w:vAlign w:val="center"/>
            <w:hideMark/>
          </w:tcPr>
          <w:p w14:paraId="25FB2231" w14:textId="77777777" w:rsidR="00416D67" w:rsidRPr="00416D67" w:rsidRDefault="00416D67" w:rsidP="00416D67">
            <w:pPr>
              <w:rPr>
                <w:b/>
                <w:bCs/>
                <w:color w:val="000000"/>
                <w:sz w:val="16"/>
                <w:szCs w:val="16"/>
              </w:rPr>
            </w:pPr>
            <w:r w:rsidRPr="00416D67">
              <w:rPr>
                <w:b/>
                <w:bCs/>
                <w:color w:val="000000"/>
                <w:sz w:val="16"/>
                <w:szCs w:val="16"/>
              </w:rPr>
              <w:t>UKUPNO RASHODI / IZDACI</w:t>
            </w:r>
          </w:p>
        </w:tc>
        <w:tc>
          <w:tcPr>
            <w:tcW w:w="1056" w:type="dxa"/>
            <w:tcBorders>
              <w:top w:val="nil"/>
              <w:left w:val="nil"/>
              <w:bottom w:val="single" w:sz="8" w:space="0" w:color="808080"/>
              <w:right w:val="single" w:sz="8" w:space="0" w:color="808080"/>
            </w:tcBorders>
            <w:shd w:val="clear" w:color="000000" w:fill="D9D9D9"/>
            <w:noWrap/>
            <w:vAlign w:val="center"/>
            <w:hideMark/>
          </w:tcPr>
          <w:p w14:paraId="2E5B88B8" w14:textId="77777777" w:rsidR="00416D67" w:rsidRPr="00416D67" w:rsidRDefault="00416D67" w:rsidP="00416D67">
            <w:pPr>
              <w:jc w:val="right"/>
              <w:rPr>
                <w:b/>
                <w:bCs/>
                <w:color w:val="000000"/>
                <w:sz w:val="16"/>
                <w:szCs w:val="16"/>
              </w:rPr>
            </w:pPr>
            <w:r w:rsidRPr="00416D67">
              <w:rPr>
                <w:b/>
                <w:bCs/>
                <w:color w:val="000000"/>
                <w:sz w:val="16"/>
                <w:szCs w:val="16"/>
              </w:rPr>
              <w:t>5.321.693,86</w:t>
            </w:r>
          </w:p>
        </w:tc>
        <w:tc>
          <w:tcPr>
            <w:tcW w:w="1134" w:type="dxa"/>
            <w:tcBorders>
              <w:top w:val="nil"/>
              <w:left w:val="nil"/>
              <w:bottom w:val="single" w:sz="8" w:space="0" w:color="808080"/>
              <w:right w:val="single" w:sz="8" w:space="0" w:color="808080"/>
            </w:tcBorders>
            <w:shd w:val="clear" w:color="000000" w:fill="D9D9D9"/>
            <w:noWrap/>
            <w:vAlign w:val="center"/>
            <w:hideMark/>
          </w:tcPr>
          <w:p w14:paraId="0898C94C" w14:textId="77777777" w:rsidR="00416D67" w:rsidRPr="00416D67" w:rsidRDefault="00416D67" w:rsidP="00416D67">
            <w:pPr>
              <w:jc w:val="right"/>
              <w:rPr>
                <w:b/>
                <w:bCs/>
                <w:color w:val="000000"/>
                <w:sz w:val="16"/>
                <w:szCs w:val="16"/>
              </w:rPr>
            </w:pPr>
            <w:r w:rsidRPr="00416D67">
              <w:rPr>
                <w:b/>
                <w:bCs/>
                <w:color w:val="000000"/>
                <w:sz w:val="16"/>
                <w:szCs w:val="16"/>
              </w:rPr>
              <w:t>9.163.800,00</w:t>
            </w:r>
          </w:p>
        </w:tc>
        <w:tc>
          <w:tcPr>
            <w:tcW w:w="1134" w:type="dxa"/>
            <w:tcBorders>
              <w:top w:val="nil"/>
              <w:left w:val="nil"/>
              <w:bottom w:val="single" w:sz="8" w:space="0" w:color="808080"/>
              <w:right w:val="single" w:sz="8" w:space="0" w:color="808080"/>
            </w:tcBorders>
            <w:shd w:val="clear" w:color="000000" w:fill="D9D9D9"/>
            <w:noWrap/>
            <w:vAlign w:val="center"/>
            <w:hideMark/>
          </w:tcPr>
          <w:p w14:paraId="686F22E7" w14:textId="77777777" w:rsidR="00416D67" w:rsidRPr="00416D67" w:rsidRDefault="00416D67" w:rsidP="00416D67">
            <w:pPr>
              <w:jc w:val="right"/>
              <w:rPr>
                <w:b/>
                <w:bCs/>
                <w:color w:val="000000"/>
                <w:sz w:val="16"/>
                <w:szCs w:val="16"/>
              </w:rPr>
            </w:pPr>
            <w:r w:rsidRPr="00416D67">
              <w:rPr>
                <w:b/>
                <w:bCs/>
                <w:color w:val="000000"/>
                <w:sz w:val="16"/>
                <w:szCs w:val="16"/>
              </w:rPr>
              <w:t>6.587.292,79</w:t>
            </w:r>
          </w:p>
        </w:tc>
        <w:tc>
          <w:tcPr>
            <w:tcW w:w="973" w:type="dxa"/>
            <w:tcBorders>
              <w:top w:val="nil"/>
              <w:left w:val="nil"/>
              <w:bottom w:val="single" w:sz="8" w:space="0" w:color="808080"/>
              <w:right w:val="single" w:sz="8" w:space="0" w:color="808080"/>
            </w:tcBorders>
            <w:shd w:val="clear" w:color="000000" w:fill="D9D9D9"/>
            <w:noWrap/>
            <w:vAlign w:val="center"/>
            <w:hideMark/>
          </w:tcPr>
          <w:p w14:paraId="0A9ADDE6" w14:textId="77777777" w:rsidR="00416D67" w:rsidRPr="00416D67" w:rsidRDefault="00416D67" w:rsidP="00416D67">
            <w:pPr>
              <w:jc w:val="right"/>
              <w:rPr>
                <w:b/>
                <w:bCs/>
                <w:color w:val="000000"/>
                <w:sz w:val="16"/>
                <w:szCs w:val="16"/>
              </w:rPr>
            </w:pPr>
            <w:r w:rsidRPr="00416D67">
              <w:rPr>
                <w:b/>
                <w:bCs/>
                <w:color w:val="000000"/>
                <w:sz w:val="16"/>
                <w:szCs w:val="16"/>
              </w:rPr>
              <w:t>71,88%</w:t>
            </w:r>
          </w:p>
        </w:tc>
        <w:tc>
          <w:tcPr>
            <w:tcW w:w="870" w:type="dxa"/>
            <w:tcBorders>
              <w:top w:val="nil"/>
              <w:left w:val="nil"/>
              <w:bottom w:val="single" w:sz="8" w:space="0" w:color="808080"/>
              <w:right w:val="single" w:sz="8" w:space="0" w:color="808080"/>
            </w:tcBorders>
            <w:shd w:val="clear" w:color="000000" w:fill="D9D9D9"/>
            <w:noWrap/>
            <w:vAlign w:val="center"/>
            <w:hideMark/>
          </w:tcPr>
          <w:p w14:paraId="723F7C32" w14:textId="77777777" w:rsidR="00416D67" w:rsidRPr="00416D67" w:rsidRDefault="00416D67" w:rsidP="00416D67">
            <w:pPr>
              <w:jc w:val="right"/>
              <w:rPr>
                <w:b/>
                <w:bCs/>
                <w:color w:val="000000"/>
                <w:sz w:val="16"/>
                <w:szCs w:val="16"/>
              </w:rPr>
            </w:pPr>
            <w:r w:rsidRPr="00416D67">
              <w:rPr>
                <w:b/>
                <w:bCs/>
                <w:color w:val="000000"/>
                <w:sz w:val="16"/>
                <w:szCs w:val="16"/>
              </w:rPr>
              <w:t>123,78%</w:t>
            </w:r>
          </w:p>
        </w:tc>
        <w:tc>
          <w:tcPr>
            <w:tcW w:w="1134" w:type="dxa"/>
            <w:tcBorders>
              <w:top w:val="nil"/>
              <w:left w:val="nil"/>
              <w:bottom w:val="single" w:sz="8" w:space="0" w:color="808080"/>
              <w:right w:val="single" w:sz="8" w:space="0" w:color="808080"/>
            </w:tcBorders>
            <w:shd w:val="clear" w:color="000000" w:fill="D9D9D9"/>
            <w:noWrap/>
            <w:vAlign w:val="center"/>
            <w:hideMark/>
          </w:tcPr>
          <w:p w14:paraId="088C7A7C" w14:textId="77777777" w:rsidR="00416D67" w:rsidRPr="00416D67" w:rsidRDefault="00416D67" w:rsidP="00416D67">
            <w:pPr>
              <w:jc w:val="right"/>
              <w:rPr>
                <w:b/>
                <w:bCs/>
                <w:color w:val="000000"/>
                <w:sz w:val="16"/>
                <w:szCs w:val="16"/>
              </w:rPr>
            </w:pPr>
            <w:r w:rsidRPr="00416D67">
              <w:rPr>
                <w:b/>
                <w:bCs/>
                <w:color w:val="000000"/>
                <w:sz w:val="16"/>
                <w:szCs w:val="16"/>
              </w:rPr>
              <w:t>100,00%</w:t>
            </w:r>
          </w:p>
        </w:tc>
      </w:tr>
      <w:tr w:rsidR="00416D67" w:rsidRPr="00416D67" w14:paraId="56B843F4" w14:textId="77777777" w:rsidTr="00BB1392">
        <w:trPr>
          <w:trHeight w:val="405"/>
        </w:trPr>
        <w:tc>
          <w:tcPr>
            <w:tcW w:w="680" w:type="dxa"/>
            <w:gridSpan w:val="2"/>
            <w:tcBorders>
              <w:top w:val="nil"/>
              <w:left w:val="single" w:sz="8" w:space="0" w:color="808080"/>
              <w:bottom w:val="single" w:sz="8" w:space="0" w:color="808080"/>
              <w:right w:val="single" w:sz="8" w:space="0" w:color="808080"/>
            </w:tcBorders>
            <w:vAlign w:val="center"/>
            <w:hideMark/>
          </w:tcPr>
          <w:p w14:paraId="0E29C5BB" w14:textId="77777777" w:rsidR="00416D67" w:rsidRPr="00416D67" w:rsidRDefault="00416D67" w:rsidP="00416D67">
            <w:pPr>
              <w:rPr>
                <w:b/>
                <w:bCs/>
                <w:color w:val="000000"/>
                <w:sz w:val="16"/>
                <w:szCs w:val="16"/>
              </w:rPr>
            </w:pPr>
            <w:r w:rsidRPr="00416D67">
              <w:rPr>
                <w:b/>
                <w:bCs/>
                <w:color w:val="000000"/>
                <w:sz w:val="16"/>
                <w:szCs w:val="16"/>
              </w:rPr>
              <w:t>3</w:t>
            </w:r>
          </w:p>
        </w:tc>
        <w:tc>
          <w:tcPr>
            <w:tcW w:w="2248" w:type="dxa"/>
            <w:tcBorders>
              <w:top w:val="single" w:sz="8" w:space="0" w:color="808080"/>
              <w:left w:val="nil"/>
              <w:bottom w:val="single" w:sz="8" w:space="0" w:color="808080"/>
              <w:right w:val="single" w:sz="8" w:space="0" w:color="808080"/>
            </w:tcBorders>
            <w:vAlign w:val="center"/>
            <w:hideMark/>
          </w:tcPr>
          <w:p w14:paraId="73935E56" w14:textId="77777777" w:rsidR="00416D67" w:rsidRPr="00416D67" w:rsidRDefault="00416D67" w:rsidP="00416D67">
            <w:pPr>
              <w:rPr>
                <w:b/>
                <w:bCs/>
                <w:color w:val="000000"/>
                <w:sz w:val="16"/>
                <w:szCs w:val="16"/>
              </w:rPr>
            </w:pPr>
            <w:r w:rsidRPr="00416D67">
              <w:rPr>
                <w:b/>
                <w:bCs/>
                <w:color w:val="000000"/>
                <w:sz w:val="16"/>
                <w:szCs w:val="16"/>
              </w:rPr>
              <w:t>Rashodi poslovanja  (2025. udio ostvarenja  63,58 %)</w:t>
            </w:r>
          </w:p>
        </w:tc>
        <w:tc>
          <w:tcPr>
            <w:tcW w:w="1056" w:type="dxa"/>
            <w:tcBorders>
              <w:top w:val="nil"/>
              <w:left w:val="nil"/>
              <w:bottom w:val="single" w:sz="8" w:space="0" w:color="808080"/>
              <w:right w:val="single" w:sz="8" w:space="0" w:color="808080"/>
            </w:tcBorders>
            <w:vAlign w:val="center"/>
            <w:hideMark/>
          </w:tcPr>
          <w:p w14:paraId="77970D6A" w14:textId="77777777" w:rsidR="00416D67" w:rsidRPr="00416D67" w:rsidRDefault="00416D67" w:rsidP="00416D67">
            <w:pPr>
              <w:jc w:val="right"/>
              <w:rPr>
                <w:b/>
                <w:bCs/>
                <w:color w:val="000000"/>
                <w:sz w:val="16"/>
                <w:szCs w:val="16"/>
              </w:rPr>
            </w:pPr>
            <w:r w:rsidRPr="00416D67">
              <w:rPr>
                <w:b/>
                <w:bCs/>
                <w:color w:val="000000"/>
                <w:sz w:val="16"/>
                <w:szCs w:val="16"/>
              </w:rPr>
              <w:t>3.423.197,81</w:t>
            </w:r>
          </w:p>
        </w:tc>
        <w:tc>
          <w:tcPr>
            <w:tcW w:w="1134" w:type="dxa"/>
            <w:tcBorders>
              <w:top w:val="nil"/>
              <w:left w:val="nil"/>
              <w:bottom w:val="single" w:sz="8" w:space="0" w:color="808080"/>
              <w:right w:val="single" w:sz="8" w:space="0" w:color="808080"/>
            </w:tcBorders>
            <w:vAlign w:val="center"/>
            <w:hideMark/>
          </w:tcPr>
          <w:p w14:paraId="78EA853A" w14:textId="77777777" w:rsidR="00416D67" w:rsidRPr="00416D67" w:rsidRDefault="00416D67" w:rsidP="00416D67">
            <w:pPr>
              <w:jc w:val="right"/>
              <w:rPr>
                <w:b/>
                <w:bCs/>
                <w:color w:val="000000"/>
                <w:sz w:val="16"/>
                <w:szCs w:val="16"/>
              </w:rPr>
            </w:pPr>
            <w:r w:rsidRPr="00416D67">
              <w:rPr>
                <w:b/>
                <w:bCs/>
                <w:color w:val="000000"/>
                <w:sz w:val="16"/>
                <w:szCs w:val="16"/>
              </w:rPr>
              <w:t>5.785.441,47</w:t>
            </w:r>
          </w:p>
        </w:tc>
        <w:tc>
          <w:tcPr>
            <w:tcW w:w="1134" w:type="dxa"/>
            <w:tcBorders>
              <w:top w:val="nil"/>
              <w:left w:val="nil"/>
              <w:bottom w:val="single" w:sz="8" w:space="0" w:color="808080"/>
              <w:right w:val="single" w:sz="8" w:space="0" w:color="808080"/>
            </w:tcBorders>
            <w:vAlign w:val="center"/>
            <w:hideMark/>
          </w:tcPr>
          <w:p w14:paraId="58060DA9" w14:textId="77777777" w:rsidR="00416D67" w:rsidRPr="00416D67" w:rsidRDefault="00416D67" w:rsidP="00416D67">
            <w:pPr>
              <w:jc w:val="right"/>
              <w:rPr>
                <w:b/>
                <w:bCs/>
                <w:color w:val="000000"/>
                <w:sz w:val="16"/>
                <w:szCs w:val="16"/>
              </w:rPr>
            </w:pPr>
            <w:r w:rsidRPr="00416D67">
              <w:rPr>
                <w:b/>
                <w:bCs/>
                <w:color w:val="000000"/>
                <w:sz w:val="16"/>
                <w:szCs w:val="16"/>
              </w:rPr>
              <w:t>4.187.956,59</w:t>
            </w:r>
          </w:p>
        </w:tc>
        <w:tc>
          <w:tcPr>
            <w:tcW w:w="973" w:type="dxa"/>
            <w:tcBorders>
              <w:top w:val="nil"/>
              <w:left w:val="nil"/>
              <w:bottom w:val="single" w:sz="8" w:space="0" w:color="808080"/>
              <w:right w:val="single" w:sz="8" w:space="0" w:color="808080"/>
            </w:tcBorders>
            <w:vAlign w:val="center"/>
            <w:hideMark/>
          </w:tcPr>
          <w:p w14:paraId="7B46F584" w14:textId="77777777" w:rsidR="00416D67" w:rsidRPr="00416D67" w:rsidRDefault="00416D67" w:rsidP="00416D67">
            <w:pPr>
              <w:jc w:val="right"/>
              <w:rPr>
                <w:b/>
                <w:bCs/>
                <w:color w:val="000000"/>
                <w:sz w:val="16"/>
                <w:szCs w:val="16"/>
              </w:rPr>
            </w:pPr>
            <w:r w:rsidRPr="00416D67">
              <w:rPr>
                <w:b/>
                <w:bCs/>
                <w:color w:val="000000"/>
                <w:sz w:val="16"/>
                <w:szCs w:val="16"/>
              </w:rPr>
              <w:t>72,39%</w:t>
            </w:r>
          </w:p>
        </w:tc>
        <w:tc>
          <w:tcPr>
            <w:tcW w:w="870" w:type="dxa"/>
            <w:tcBorders>
              <w:top w:val="nil"/>
              <w:left w:val="nil"/>
              <w:bottom w:val="single" w:sz="8" w:space="0" w:color="808080"/>
              <w:right w:val="single" w:sz="8" w:space="0" w:color="808080"/>
            </w:tcBorders>
            <w:vAlign w:val="center"/>
            <w:hideMark/>
          </w:tcPr>
          <w:p w14:paraId="6C45C315" w14:textId="77777777" w:rsidR="00416D67" w:rsidRPr="00416D67" w:rsidRDefault="00416D67" w:rsidP="00416D67">
            <w:pPr>
              <w:jc w:val="right"/>
              <w:rPr>
                <w:b/>
                <w:bCs/>
                <w:color w:val="000000"/>
                <w:sz w:val="16"/>
                <w:szCs w:val="16"/>
              </w:rPr>
            </w:pPr>
            <w:r w:rsidRPr="00416D67">
              <w:rPr>
                <w:b/>
                <w:bCs/>
                <w:color w:val="000000"/>
                <w:sz w:val="16"/>
                <w:szCs w:val="16"/>
              </w:rPr>
              <w:t>122,34%</w:t>
            </w:r>
          </w:p>
        </w:tc>
        <w:tc>
          <w:tcPr>
            <w:tcW w:w="1134" w:type="dxa"/>
            <w:tcBorders>
              <w:top w:val="nil"/>
              <w:left w:val="nil"/>
              <w:bottom w:val="single" w:sz="8" w:space="0" w:color="808080"/>
              <w:right w:val="single" w:sz="8" w:space="0" w:color="808080"/>
            </w:tcBorders>
            <w:vAlign w:val="center"/>
            <w:hideMark/>
          </w:tcPr>
          <w:p w14:paraId="4B59FFD4" w14:textId="77777777" w:rsidR="00416D67" w:rsidRPr="00416D67" w:rsidRDefault="00416D67" w:rsidP="00416D67">
            <w:pPr>
              <w:jc w:val="right"/>
              <w:rPr>
                <w:b/>
                <w:bCs/>
                <w:color w:val="000000"/>
                <w:sz w:val="16"/>
                <w:szCs w:val="16"/>
              </w:rPr>
            </w:pPr>
            <w:r w:rsidRPr="00416D67">
              <w:rPr>
                <w:b/>
                <w:bCs/>
                <w:color w:val="000000"/>
                <w:sz w:val="16"/>
                <w:szCs w:val="16"/>
              </w:rPr>
              <w:t>0,00%</w:t>
            </w:r>
          </w:p>
        </w:tc>
      </w:tr>
      <w:tr w:rsidR="00416D67" w:rsidRPr="00416D67" w14:paraId="1864A4BA" w14:textId="77777777" w:rsidTr="00BB1392">
        <w:trPr>
          <w:trHeight w:val="315"/>
        </w:trPr>
        <w:tc>
          <w:tcPr>
            <w:tcW w:w="680" w:type="dxa"/>
            <w:gridSpan w:val="2"/>
            <w:tcBorders>
              <w:top w:val="nil"/>
              <w:left w:val="single" w:sz="8" w:space="0" w:color="808080"/>
              <w:bottom w:val="single" w:sz="8" w:space="0" w:color="808080"/>
              <w:right w:val="single" w:sz="8" w:space="0" w:color="808080"/>
            </w:tcBorders>
            <w:vAlign w:val="center"/>
            <w:hideMark/>
          </w:tcPr>
          <w:p w14:paraId="7613BC9B" w14:textId="77777777" w:rsidR="00416D67" w:rsidRPr="00416D67" w:rsidRDefault="00416D67" w:rsidP="00416D67">
            <w:pPr>
              <w:rPr>
                <w:color w:val="000000"/>
                <w:sz w:val="16"/>
                <w:szCs w:val="16"/>
              </w:rPr>
            </w:pPr>
            <w:r w:rsidRPr="00416D67">
              <w:rPr>
                <w:color w:val="000000"/>
                <w:sz w:val="16"/>
                <w:szCs w:val="16"/>
              </w:rPr>
              <w:t>31</w:t>
            </w:r>
          </w:p>
        </w:tc>
        <w:tc>
          <w:tcPr>
            <w:tcW w:w="2248" w:type="dxa"/>
            <w:tcBorders>
              <w:top w:val="single" w:sz="8" w:space="0" w:color="808080"/>
              <w:left w:val="nil"/>
              <w:bottom w:val="single" w:sz="8" w:space="0" w:color="808080"/>
              <w:right w:val="single" w:sz="8" w:space="0" w:color="808080"/>
            </w:tcBorders>
            <w:vAlign w:val="center"/>
            <w:hideMark/>
          </w:tcPr>
          <w:p w14:paraId="6E3785C2" w14:textId="77777777" w:rsidR="00416D67" w:rsidRPr="00416D67" w:rsidRDefault="00416D67" w:rsidP="00416D67">
            <w:pPr>
              <w:rPr>
                <w:color w:val="000000"/>
                <w:sz w:val="16"/>
                <w:szCs w:val="16"/>
              </w:rPr>
            </w:pPr>
            <w:r w:rsidRPr="00416D67">
              <w:rPr>
                <w:color w:val="000000"/>
                <w:sz w:val="16"/>
                <w:szCs w:val="16"/>
              </w:rPr>
              <w:t>Rashodi za zaposlene</w:t>
            </w:r>
          </w:p>
        </w:tc>
        <w:tc>
          <w:tcPr>
            <w:tcW w:w="1056" w:type="dxa"/>
            <w:tcBorders>
              <w:top w:val="nil"/>
              <w:left w:val="nil"/>
              <w:bottom w:val="single" w:sz="8" w:space="0" w:color="808080"/>
              <w:right w:val="single" w:sz="8" w:space="0" w:color="808080"/>
            </w:tcBorders>
            <w:vAlign w:val="center"/>
            <w:hideMark/>
          </w:tcPr>
          <w:p w14:paraId="631362A1" w14:textId="77777777" w:rsidR="00416D67" w:rsidRPr="00416D67" w:rsidRDefault="00416D67" w:rsidP="00416D67">
            <w:pPr>
              <w:jc w:val="right"/>
              <w:rPr>
                <w:color w:val="000000"/>
                <w:sz w:val="16"/>
                <w:szCs w:val="16"/>
              </w:rPr>
            </w:pPr>
            <w:r w:rsidRPr="00416D67">
              <w:rPr>
                <w:color w:val="000000"/>
                <w:sz w:val="16"/>
                <w:szCs w:val="16"/>
              </w:rPr>
              <w:t>853.025,07</w:t>
            </w:r>
          </w:p>
        </w:tc>
        <w:tc>
          <w:tcPr>
            <w:tcW w:w="1134" w:type="dxa"/>
            <w:tcBorders>
              <w:top w:val="nil"/>
              <w:left w:val="nil"/>
              <w:bottom w:val="single" w:sz="8" w:space="0" w:color="808080"/>
              <w:right w:val="single" w:sz="8" w:space="0" w:color="808080"/>
            </w:tcBorders>
            <w:vAlign w:val="center"/>
            <w:hideMark/>
          </w:tcPr>
          <w:p w14:paraId="79BB9DC4" w14:textId="77777777" w:rsidR="00416D67" w:rsidRPr="00416D67" w:rsidRDefault="00416D67" w:rsidP="00416D67">
            <w:pPr>
              <w:jc w:val="right"/>
              <w:rPr>
                <w:color w:val="000000"/>
                <w:sz w:val="16"/>
                <w:szCs w:val="16"/>
              </w:rPr>
            </w:pPr>
            <w:r w:rsidRPr="00416D67">
              <w:rPr>
                <w:color w:val="000000"/>
                <w:sz w:val="16"/>
                <w:szCs w:val="16"/>
              </w:rPr>
              <w:t>1.165.113,50</w:t>
            </w:r>
          </w:p>
        </w:tc>
        <w:tc>
          <w:tcPr>
            <w:tcW w:w="1134" w:type="dxa"/>
            <w:tcBorders>
              <w:top w:val="nil"/>
              <w:left w:val="nil"/>
              <w:bottom w:val="single" w:sz="8" w:space="0" w:color="808080"/>
              <w:right w:val="single" w:sz="8" w:space="0" w:color="808080"/>
            </w:tcBorders>
            <w:vAlign w:val="center"/>
            <w:hideMark/>
          </w:tcPr>
          <w:p w14:paraId="2DA05BE5" w14:textId="77777777" w:rsidR="00416D67" w:rsidRPr="00416D67" w:rsidRDefault="00416D67" w:rsidP="00416D67">
            <w:pPr>
              <w:jc w:val="right"/>
              <w:rPr>
                <w:color w:val="000000"/>
                <w:sz w:val="16"/>
                <w:szCs w:val="16"/>
              </w:rPr>
            </w:pPr>
            <w:r w:rsidRPr="00416D67">
              <w:rPr>
                <w:color w:val="000000"/>
                <w:sz w:val="16"/>
                <w:szCs w:val="16"/>
              </w:rPr>
              <w:t>1.148.392,20</w:t>
            </w:r>
          </w:p>
        </w:tc>
        <w:tc>
          <w:tcPr>
            <w:tcW w:w="973" w:type="dxa"/>
            <w:tcBorders>
              <w:top w:val="nil"/>
              <w:left w:val="nil"/>
              <w:bottom w:val="single" w:sz="8" w:space="0" w:color="808080"/>
              <w:right w:val="single" w:sz="8" w:space="0" w:color="808080"/>
            </w:tcBorders>
            <w:vAlign w:val="center"/>
            <w:hideMark/>
          </w:tcPr>
          <w:p w14:paraId="7BF2250C" w14:textId="77777777" w:rsidR="00416D67" w:rsidRPr="00416D67" w:rsidRDefault="00416D67" w:rsidP="00416D67">
            <w:pPr>
              <w:jc w:val="right"/>
              <w:rPr>
                <w:color w:val="000000"/>
                <w:sz w:val="16"/>
                <w:szCs w:val="16"/>
              </w:rPr>
            </w:pPr>
            <w:r w:rsidRPr="00416D67">
              <w:rPr>
                <w:color w:val="000000"/>
                <w:sz w:val="16"/>
                <w:szCs w:val="16"/>
              </w:rPr>
              <w:t>98,56%</w:t>
            </w:r>
          </w:p>
        </w:tc>
        <w:tc>
          <w:tcPr>
            <w:tcW w:w="870" w:type="dxa"/>
            <w:tcBorders>
              <w:top w:val="nil"/>
              <w:left w:val="nil"/>
              <w:bottom w:val="single" w:sz="8" w:space="0" w:color="808080"/>
              <w:right w:val="single" w:sz="8" w:space="0" w:color="808080"/>
            </w:tcBorders>
            <w:vAlign w:val="center"/>
            <w:hideMark/>
          </w:tcPr>
          <w:p w14:paraId="13843ACB" w14:textId="77777777" w:rsidR="00416D67" w:rsidRPr="00416D67" w:rsidRDefault="00416D67" w:rsidP="00416D67">
            <w:pPr>
              <w:jc w:val="right"/>
              <w:rPr>
                <w:color w:val="000000"/>
                <w:sz w:val="16"/>
                <w:szCs w:val="16"/>
              </w:rPr>
            </w:pPr>
            <w:r w:rsidRPr="00416D67">
              <w:rPr>
                <w:color w:val="000000"/>
                <w:sz w:val="16"/>
                <w:szCs w:val="16"/>
              </w:rPr>
              <w:t>134,63%</w:t>
            </w:r>
          </w:p>
        </w:tc>
        <w:tc>
          <w:tcPr>
            <w:tcW w:w="1134" w:type="dxa"/>
            <w:tcBorders>
              <w:top w:val="nil"/>
              <w:left w:val="nil"/>
              <w:bottom w:val="single" w:sz="8" w:space="0" w:color="808080"/>
              <w:right w:val="single" w:sz="8" w:space="0" w:color="808080"/>
            </w:tcBorders>
            <w:vAlign w:val="center"/>
            <w:hideMark/>
          </w:tcPr>
          <w:p w14:paraId="52D033EB" w14:textId="77777777" w:rsidR="00416D67" w:rsidRPr="00416D67" w:rsidRDefault="00416D67" w:rsidP="00416D67">
            <w:pPr>
              <w:jc w:val="right"/>
              <w:rPr>
                <w:color w:val="000000"/>
                <w:sz w:val="16"/>
                <w:szCs w:val="16"/>
              </w:rPr>
            </w:pPr>
            <w:r w:rsidRPr="00416D67">
              <w:rPr>
                <w:color w:val="000000"/>
                <w:sz w:val="16"/>
                <w:szCs w:val="16"/>
              </w:rPr>
              <w:t>17,43%</w:t>
            </w:r>
          </w:p>
        </w:tc>
      </w:tr>
      <w:tr w:rsidR="00416D67" w:rsidRPr="00416D67" w14:paraId="6ED11A6F" w14:textId="77777777" w:rsidTr="00BB1392">
        <w:trPr>
          <w:trHeight w:val="315"/>
        </w:trPr>
        <w:tc>
          <w:tcPr>
            <w:tcW w:w="680" w:type="dxa"/>
            <w:gridSpan w:val="2"/>
            <w:tcBorders>
              <w:top w:val="nil"/>
              <w:left w:val="single" w:sz="8" w:space="0" w:color="808080"/>
              <w:bottom w:val="single" w:sz="8" w:space="0" w:color="808080"/>
              <w:right w:val="single" w:sz="8" w:space="0" w:color="808080"/>
            </w:tcBorders>
            <w:vAlign w:val="center"/>
            <w:hideMark/>
          </w:tcPr>
          <w:p w14:paraId="68102BB1" w14:textId="77777777" w:rsidR="00416D67" w:rsidRPr="00416D67" w:rsidRDefault="00416D67" w:rsidP="00416D67">
            <w:pPr>
              <w:rPr>
                <w:color w:val="000000"/>
                <w:sz w:val="16"/>
                <w:szCs w:val="16"/>
              </w:rPr>
            </w:pPr>
            <w:r w:rsidRPr="00416D67">
              <w:rPr>
                <w:color w:val="000000"/>
                <w:sz w:val="16"/>
                <w:szCs w:val="16"/>
              </w:rPr>
              <w:t>32</w:t>
            </w:r>
          </w:p>
        </w:tc>
        <w:tc>
          <w:tcPr>
            <w:tcW w:w="2248" w:type="dxa"/>
            <w:tcBorders>
              <w:top w:val="single" w:sz="8" w:space="0" w:color="808080"/>
              <w:left w:val="nil"/>
              <w:bottom w:val="single" w:sz="8" w:space="0" w:color="808080"/>
              <w:right w:val="single" w:sz="8" w:space="0" w:color="808080"/>
            </w:tcBorders>
            <w:vAlign w:val="center"/>
            <w:hideMark/>
          </w:tcPr>
          <w:p w14:paraId="4F690103" w14:textId="77777777" w:rsidR="00416D67" w:rsidRPr="00416D67" w:rsidRDefault="00416D67" w:rsidP="00416D67">
            <w:pPr>
              <w:rPr>
                <w:color w:val="000000"/>
                <w:sz w:val="16"/>
                <w:szCs w:val="16"/>
              </w:rPr>
            </w:pPr>
            <w:r w:rsidRPr="00416D67">
              <w:rPr>
                <w:color w:val="000000"/>
                <w:sz w:val="16"/>
                <w:szCs w:val="16"/>
              </w:rPr>
              <w:t>Materijalni rashodi</w:t>
            </w:r>
          </w:p>
        </w:tc>
        <w:tc>
          <w:tcPr>
            <w:tcW w:w="1056" w:type="dxa"/>
            <w:tcBorders>
              <w:top w:val="nil"/>
              <w:left w:val="nil"/>
              <w:bottom w:val="single" w:sz="8" w:space="0" w:color="808080"/>
              <w:right w:val="single" w:sz="8" w:space="0" w:color="808080"/>
            </w:tcBorders>
            <w:vAlign w:val="center"/>
            <w:hideMark/>
          </w:tcPr>
          <w:p w14:paraId="0A58B685" w14:textId="77777777" w:rsidR="00416D67" w:rsidRPr="00416D67" w:rsidRDefault="00416D67" w:rsidP="00416D67">
            <w:pPr>
              <w:jc w:val="right"/>
              <w:rPr>
                <w:color w:val="000000"/>
                <w:sz w:val="16"/>
                <w:szCs w:val="16"/>
              </w:rPr>
            </w:pPr>
            <w:r w:rsidRPr="00416D67">
              <w:rPr>
                <w:color w:val="000000"/>
                <w:sz w:val="16"/>
                <w:szCs w:val="16"/>
              </w:rPr>
              <w:t>1.303.220,56</w:t>
            </w:r>
          </w:p>
        </w:tc>
        <w:tc>
          <w:tcPr>
            <w:tcW w:w="1134" w:type="dxa"/>
            <w:tcBorders>
              <w:top w:val="nil"/>
              <w:left w:val="nil"/>
              <w:bottom w:val="single" w:sz="8" w:space="0" w:color="808080"/>
              <w:right w:val="single" w:sz="8" w:space="0" w:color="808080"/>
            </w:tcBorders>
            <w:vAlign w:val="center"/>
            <w:hideMark/>
          </w:tcPr>
          <w:p w14:paraId="085ECB69" w14:textId="77777777" w:rsidR="00416D67" w:rsidRPr="00416D67" w:rsidRDefault="00416D67" w:rsidP="00416D67">
            <w:pPr>
              <w:jc w:val="right"/>
              <w:rPr>
                <w:color w:val="000000"/>
                <w:sz w:val="16"/>
                <w:szCs w:val="16"/>
              </w:rPr>
            </w:pPr>
            <w:r w:rsidRPr="00416D67">
              <w:rPr>
                <w:color w:val="000000"/>
                <w:sz w:val="16"/>
                <w:szCs w:val="16"/>
              </w:rPr>
              <w:t>1.841.688,77</w:t>
            </w:r>
          </w:p>
        </w:tc>
        <w:tc>
          <w:tcPr>
            <w:tcW w:w="1134" w:type="dxa"/>
            <w:tcBorders>
              <w:top w:val="nil"/>
              <w:left w:val="nil"/>
              <w:bottom w:val="single" w:sz="8" w:space="0" w:color="808080"/>
              <w:right w:val="single" w:sz="8" w:space="0" w:color="808080"/>
            </w:tcBorders>
            <w:vAlign w:val="center"/>
            <w:hideMark/>
          </w:tcPr>
          <w:p w14:paraId="37AE2C60" w14:textId="77777777" w:rsidR="00416D67" w:rsidRPr="00416D67" w:rsidRDefault="00416D67" w:rsidP="00416D67">
            <w:pPr>
              <w:jc w:val="right"/>
              <w:rPr>
                <w:color w:val="000000"/>
                <w:sz w:val="16"/>
                <w:szCs w:val="16"/>
              </w:rPr>
            </w:pPr>
            <w:r w:rsidRPr="00416D67">
              <w:rPr>
                <w:color w:val="000000"/>
                <w:sz w:val="16"/>
                <w:szCs w:val="16"/>
              </w:rPr>
              <w:t>1.458.146,21</w:t>
            </w:r>
          </w:p>
        </w:tc>
        <w:tc>
          <w:tcPr>
            <w:tcW w:w="973" w:type="dxa"/>
            <w:tcBorders>
              <w:top w:val="nil"/>
              <w:left w:val="nil"/>
              <w:bottom w:val="single" w:sz="8" w:space="0" w:color="808080"/>
              <w:right w:val="single" w:sz="8" w:space="0" w:color="808080"/>
            </w:tcBorders>
            <w:vAlign w:val="center"/>
            <w:hideMark/>
          </w:tcPr>
          <w:p w14:paraId="2FE91F51" w14:textId="77777777" w:rsidR="00416D67" w:rsidRPr="00416D67" w:rsidRDefault="00416D67" w:rsidP="00416D67">
            <w:pPr>
              <w:jc w:val="right"/>
              <w:rPr>
                <w:color w:val="000000"/>
                <w:sz w:val="16"/>
                <w:szCs w:val="16"/>
              </w:rPr>
            </w:pPr>
            <w:r w:rsidRPr="00416D67">
              <w:rPr>
                <w:color w:val="000000"/>
                <w:sz w:val="16"/>
                <w:szCs w:val="16"/>
              </w:rPr>
              <w:t>79,17%</w:t>
            </w:r>
          </w:p>
        </w:tc>
        <w:tc>
          <w:tcPr>
            <w:tcW w:w="870" w:type="dxa"/>
            <w:tcBorders>
              <w:top w:val="nil"/>
              <w:left w:val="nil"/>
              <w:bottom w:val="single" w:sz="8" w:space="0" w:color="808080"/>
              <w:right w:val="single" w:sz="8" w:space="0" w:color="808080"/>
            </w:tcBorders>
            <w:vAlign w:val="center"/>
            <w:hideMark/>
          </w:tcPr>
          <w:p w14:paraId="1D6321FF" w14:textId="77777777" w:rsidR="00416D67" w:rsidRPr="00416D67" w:rsidRDefault="00416D67" w:rsidP="00416D67">
            <w:pPr>
              <w:jc w:val="right"/>
              <w:rPr>
                <w:color w:val="000000"/>
                <w:sz w:val="16"/>
                <w:szCs w:val="16"/>
              </w:rPr>
            </w:pPr>
            <w:r w:rsidRPr="00416D67">
              <w:rPr>
                <w:color w:val="000000"/>
                <w:sz w:val="16"/>
                <w:szCs w:val="16"/>
              </w:rPr>
              <w:t>111,89%</w:t>
            </w:r>
          </w:p>
        </w:tc>
        <w:tc>
          <w:tcPr>
            <w:tcW w:w="1134" w:type="dxa"/>
            <w:tcBorders>
              <w:top w:val="nil"/>
              <w:left w:val="nil"/>
              <w:bottom w:val="single" w:sz="8" w:space="0" w:color="808080"/>
              <w:right w:val="single" w:sz="8" w:space="0" w:color="808080"/>
            </w:tcBorders>
            <w:vAlign w:val="center"/>
            <w:hideMark/>
          </w:tcPr>
          <w:p w14:paraId="7F1BF69E" w14:textId="77777777" w:rsidR="00416D67" w:rsidRPr="00416D67" w:rsidRDefault="00416D67" w:rsidP="00416D67">
            <w:pPr>
              <w:jc w:val="right"/>
              <w:rPr>
                <w:color w:val="000000"/>
                <w:sz w:val="16"/>
                <w:szCs w:val="16"/>
              </w:rPr>
            </w:pPr>
            <w:r w:rsidRPr="00416D67">
              <w:rPr>
                <w:color w:val="000000"/>
                <w:sz w:val="16"/>
                <w:szCs w:val="16"/>
              </w:rPr>
              <w:t>22,14%</w:t>
            </w:r>
          </w:p>
        </w:tc>
      </w:tr>
      <w:tr w:rsidR="00416D67" w:rsidRPr="00416D67" w14:paraId="7A7E3204" w14:textId="77777777" w:rsidTr="00BB1392">
        <w:trPr>
          <w:trHeight w:val="315"/>
        </w:trPr>
        <w:tc>
          <w:tcPr>
            <w:tcW w:w="680" w:type="dxa"/>
            <w:gridSpan w:val="2"/>
            <w:tcBorders>
              <w:top w:val="nil"/>
              <w:left w:val="single" w:sz="8" w:space="0" w:color="808080"/>
              <w:bottom w:val="single" w:sz="8" w:space="0" w:color="808080"/>
              <w:right w:val="single" w:sz="8" w:space="0" w:color="808080"/>
            </w:tcBorders>
            <w:vAlign w:val="center"/>
            <w:hideMark/>
          </w:tcPr>
          <w:p w14:paraId="66F00B15" w14:textId="77777777" w:rsidR="00416D67" w:rsidRPr="00416D67" w:rsidRDefault="00416D67" w:rsidP="00416D67">
            <w:pPr>
              <w:rPr>
                <w:color w:val="000000"/>
                <w:sz w:val="16"/>
                <w:szCs w:val="16"/>
              </w:rPr>
            </w:pPr>
            <w:r w:rsidRPr="00416D67">
              <w:rPr>
                <w:color w:val="000000"/>
                <w:sz w:val="16"/>
                <w:szCs w:val="16"/>
              </w:rPr>
              <w:t>34</w:t>
            </w:r>
          </w:p>
        </w:tc>
        <w:tc>
          <w:tcPr>
            <w:tcW w:w="2248" w:type="dxa"/>
            <w:tcBorders>
              <w:top w:val="single" w:sz="8" w:space="0" w:color="808080"/>
              <w:left w:val="nil"/>
              <w:bottom w:val="single" w:sz="8" w:space="0" w:color="808080"/>
              <w:right w:val="single" w:sz="8" w:space="0" w:color="808080"/>
            </w:tcBorders>
            <w:vAlign w:val="center"/>
            <w:hideMark/>
          </w:tcPr>
          <w:p w14:paraId="21E62116" w14:textId="77777777" w:rsidR="00416D67" w:rsidRPr="00416D67" w:rsidRDefault="00416D67" w:rsidP="00416D67">
            <w:pPr>
              <w:rPr>
                <w:color w:val="000000"/>
                <w:sz w:val="16"/>
                <w:szCs w:val="16"/>
              </w:rPr>
            </w:pPr>
            <w:r w:rsidRPr="00416D67">
              <w:rPr>
                <w:color w:val="000000"/>
                <w:sz w:val="16"/>
                <w:szCs w:val="16"/>
              </w:rPr>
              <w:t>Financijski rashodi</w:t>
            </w:r>
          </w:p>
        </w:tc>
        <w:tc>
          <w:tcPr>
            <w:tcW w:w="1056" w:type="dxa"/>
            <w:tcBorders>
              <w:top w:val="nil"/>
              <w:left w:val="nil"/>
              <w:bottom w:val="single" w:sz="8" w:space="0" w:color="808080"/>
              <w:right w:val="single" w:sz="8" w:space="0" w:color="808080"/>
            </w:tcBorders>
            <w:vAlign w:val="center"/>
            <w:hideMark/>
          </w:tcPr>
          <w:p w14:paraId="14901785" w14:textId="77777777" w:rsidR="00416D67" w:rsidRPr="00416D67" w:rsidRDefault="00416D67" w:rsidP="00416D67">
            <w:pPr>
              <w:jc w:val="right"/>
              <w:rPr>
                <w:color w:val="000000"/>
                <w:sz w:val="16"/>
                <w:szCs w:val="16"/>
              </w:rPr>
            </w:pPr>
            <w:r w:rsidRPr="00416D67">
              <w:rPr>
                <w:color w:val="000000"/>
                <w:sz w:val="16"/>
                <w:szCs w:val="16"/>
              </w:rPr>
              <w:t>21.204,54</w:t>
            </w:r>
          </w:p>
        </w:tc>
        <w:tc>
          <w:tcPr>
            <w:tcW w:w="1134" w:type="dxa"/>
            <w:tcBorders>
              <w:top w:val="nil"/>
              <w:left w:val="nil"/>
              <w:bottom w:val="single" w:sz="8" w:space="0" w:color="808080"/>
              <w:right w:val="single" w:sz="8" w:space="0" w:color="808080"/>
            </w:tcBorders>
            <w:vAlign w:val="center"/>
            <w:hideMark/>
          </w:tcPr>
          <w:p w14:paraId="76E30A93" w14:textId="77777777" w:rsidR="00416D67" w:rsidRPr="00416D67" w:rsidRDefault="00416D67" w:rsidP="00416D67">
            <w:pPr>
              <w:jc w:val="right"/>
              <w:rPr>
                <w:color w:val="000000"/>
                <w:sz w:val="16"/>
                <w:szCs w:val="16"/>
              </w:rPr>
            </w:pPr>
            <w:r w:rsidRPr="00416D67">
              <w:rPr>
                <w:color w:val="000000"/>
                <w:sz w:val="16"/>
                <w:szCs w:val="16"/>
              </w:rPr>
              <w:t>42.841,75</w:t>
            </w:r>
          </w:p>
        </w:tc>
        <w:tc>
          <w:tcPr>
            <w:tcW w:w="1134" w:type="dxa"/>
            <w:tcBorders>
              <w:top w:val="nil"/>
              <w:left w:val="nil"/>
              <w:bottom w:val="single" w:sz="8" w:space="0" w:color="808080"/>
              <w:right w:val="single" w:sz="8" w:space="0" w:color="808080"/>
            </w:tcBorders>
            <w:vAlign w:val="center"/>
            <w:hideMark/>
          </w:tcPr>
          <w:p w14:paraId="7F19B19E" w14:textId="77777777" w:rsidR="00416D67" w:rsidRPr="00416D67" w:rsidRDefault="00416D67" w:rsidP="00416D67">
            <w:pPr>
              <w:jc w:val="right"/>
              <w:rPr>
                <w:color w:val="000000"/>
                <w:sz w:val="16"/>
                <w:szCs w:val="16"/>
              </w:rPr>
            </w:pPr>
            <w:r w:rsidRPr="00416D67">
              <w:rPr>
                <w:color w:val="000000"/>
                <w:sz w:val="16"/>
                <w:szCs w:val="16"/>
              </w:rPr>
              <w:t>33.707,47</w:t>
            </w:r>
          </w:p>
        </w:tc>
        <w:tc>
          <w:tcPr>
            <w:tcW w:w="973" w:type="dxa"/>
            <w:tcBorders>
              <w:top w:val="nil"/>
              <w:left w:val="nil"/>
              <w:bottom w:val="single" w:sz="8" w:space="0" w:color="808080"/>
              <w:right w:val="single" w:sz="8" w:space="0" w:color="808080"/>
            </w:tcBorders>
            <w:vAlign w:val="center"/>
            <w:hideMark/>
          </w:tcPr>
          <w:p w14:paraId="17C0034C" w14:textId="77777777" w:rsidR="00416D67" w:rsidRPr="00416D67" w:rsidRDefault="00416D67" w:rsidP="00416D67">
            <w:pPr>
              <w:jc w:val="right"/>
              <w:rPr>
                <w:color w:val="000000"/>
                <w:sz w:val="16"/>
                <w:szCs w:val="16"/>
              </w:rPr>
            </w:pPr>
            <w:r w:rsidRPr="00416D67">
              <w:rPr>
                <w:color w:val="000000"/>
                <w:sz w:val="16"/>
                <w:szCs w:val="16"/>
              </w:rPr>
              <w:t>78,68%</w:t>
            </w:r>
          </w:p>
        </w:tc>
        <w:tc>
          <w:tcPr>
            <w:tcW w:w="870" w:type="dxa"/>
            <w:tcBorders>
              <w:top w:val="nil"/>
              <w:left w:val="nil"/>
              <w:bottom w:val="single" w:sz="8" w:space="0" w:color="808080"/>
              <w:right w:val="single" w:sz="8" w:space="0" w:color="808080"/>
            </w:tcBorders>
            <w:vAlign w:val="center"/>
            <w:hideMark/>
          </w:tcPr>
          <w:p w14:paraId="3C4B28B1" w14:textId="77777777" w:rsidR="00416D67" w:rsidRPr="00416D67" w:rsidRDefault="00416D67" w:rsidP="00416D67">
            <w:pPr>
              <w:jc w:val="right"/>
              <w:rPr>
                <w:color w:val="000000"/>
                <w:sz w:val="16"/>
                <w:szCs w:val="16"/>
              </w:rPr>
            </w:pPr>
            <w:r w:rsidRPr="00416D67">
              <w:rPr>
                <w:color w:val="000000"/>
                <w:sz w:val="16"/>
                <w:szCs w:val="16"/>
              </w:rPr>
              <w:t>158,96%</w:t>
            </w:r>
          </w:p>
        </w:tc>
        <w:tc>
          <w:tcPr>
            <w:tcW w:w="1134" w:type="dxa"/>
            <w:tcBorders>
              <w:top w:val="nil"/>
              <w:left w:val="nil"/>
              <w:bottom w:val="single" w:sz="8" w:space="0" w:color="808080"/>
              <w:right w:val="single" w:sz="8" w:space="0" w:color="808080"/>
            </w:tcBorders>
            <w:vAlign w:val="center"/>
            <w:hideMark/>
          </w:tcPr>
          <w:p w14:paraId="2A64DCFA" w14:textId="77777777" w:rsidR="00416D67" w:rsidRPr="00416D67" w:rsidRDefault="00416D67" w:rsidP="00416D67">
            <w:pPr>
              <w:jc w:val="right"/>
              <w:rPr>
                <w:color w:val="000000"/>
                <w:sz w:val="16"/>
                <w:szCs w:val="16"/>
              </w:rPr>
            </w:pPr>
            <w:r w:rsidRPr="00416D67">
              <w:rPr>
                <w:color w:val="000000"/>
                <w:sz w:val="16"/>
                <w:szCs w:val="16"/>
              </w:rPr>
              <w:t>0,51%</w:t>
            </w:r>
          </w:p>
        </w:tc>
      </w:tr>
      <w:tr w:rsidR="00416D67" w:rsidRPr="00416D67" w14:paraId="044E2211" w14:textId="77777777" w:rsidTr="00BB1392">
        <w:trPr>
          <w:trHeight w:val="315"/>
        </w:trPr>
        <w:tc>
          <w:tcPr>
            <w:tcW w:w="680" w:type="dxa"/>
            <w:gridSpan w:val="2"/>
            <w:tcBorders>
              <w:top w:val="nil"/>
              <w:left w:val="single" w:sz="8" w:space="0" w:color="808080"/>
              <w:bottom w:val="single" w:sz="8" w:space="0" w:color="808080"/>
              <w:right w:val="single" w:sz="8" w:space="0" w:color="808080"/>
            </w:tcBorders>
            <w:vAlign w:val="center"/>
            <w:hideMark/>
          </w:tcPr>
          <w:p w14:paraId="5651C36E" w14:textId="77777777" w:rsidR="00416D67" w:rsidRPr="00416D67" w:rsidRDefault="00416D67" w:rsidP="00416D67">
            <w:pPr>
              <w:rPr>
                <w:color w:val="000000"/>
                <w:sz w:val="16"/>
                <w:szCs w:val="16"/>
              </w:rPr>
            </w:pPr>
            <w:r w:rsidRPr="00416D67">
              <w:rPr>
                <w:color w:val="000000"/>
                <w:sz w:val="16"/>
                <w:szCs w:val="16"/>
              </w:rPr>
              <w:t>35</w:t>
            </w:r>
          </w:p>
        </w:tc>
        <w:tc>
          <w:tcPr>
            <w:tcW w:w="2248" w:type="dxa"/>
            <w:tcBorders>
              <w:top w:val="single" w:sz="8" w:space="0" w:color="808080"/>
              <w:left w:val="nil"/>
              <w:bottom w:val="single" w:sz="8" w:space="0" w:color="808080"/>
              <w:right w:val="single" w:sz="8" w:space="0" w:color="808080"/>
            </w:tcBorders>
            <w:vAlign w:val="center"/>
            <w:hideMark/>
          </w:tcPr>
          <w:p w14:paraId="19C33618" w14:textId="77777777" w:rsidR="00416D67" w:rsidRPr="00416D67" w:rsidRDefault="00416D67" w:rsidP="00416D67">
            <w:pPr>
              <w:rPr>
                <w:color w:val="000000"/>
                <w:sz w:val="16"/>
                <w:szCs w:val="16"/>
              </w:rPr>
            </w:pPr>
            <w:r w:rsidRPr="00416D67">
              <w:rPr>
                <w:color w:val="000000"/>
                <w:sz w:val="16"/>
                <w:szCs w:val="16"/>
              </w:rPr>
              <w:t>Subvencije</w:t>
            </w:r>
          </w:p>
        </w:tc>
        <w:tc>
          <w:tcPr>
            <w:tcW w:w="1056" w:type="dxa"/>
            <w:tcBorders>
              <w:top w:val="nil"/>
              <w:left w:val="nil"/>
              <w:bottom w:val="single" w:sz="8" w:space="0" w:color="808080"/>
              <w:right w:val="single" w:sz="8" w:space="0" w:color="808080"/>
            </w:tcBorders>
            <w:vAlign w:val="center"/>
            <w:hideMark/>
          </w:tcPr>
          <w:p w14:paraId="70FEF61B" w14:textId="77777777" w:rsidR="00416D67" w:rsidRPr="00416D67" w:rsidRDefault="00416D67" w:rsidP="00416D67">
            <w:pPr>
              <w:jc w:val="right"/>
              <w:rPr>
                <w:color w:val="000000"/>
                <w:sz w:val="16"/>
                <w:szCs w:val="16"/>
              </w:rPr>
            </w:pPr>
            <w:r w:rsidRPr="00416D67">
              <w:rPr>
                <w:color w:val="000000"/>
                <w:sz w:val="16"/>
                <w:szCs w:val="16"/>
              </w:rPr>
              <w:t>26.181,25</w:t>
            </w:r>
          </w:p>
        </w:tc>
        <w:tc>
          <w:tcPr>
            <w:tcW w:w="1134" w:type="dxa"/>
            <w:tcBorders>
              <w:top w:val="nil"/>
              <w:left w:val="nil"/>
              <w:bottom w:val="single" w:sz="8" w:space="0" w:color="808080"/>
              <w:right w:val="single" w:sz="8" w:space="0" w:color="808080"/>
            </w:tcBorders>
            <w:vAlign w:val="center"/>
            <w:hideMark/>
          </w:tcPr>
          <w:p w14:paraId="00345D47" w14:textId="77777777" w:rsidR="00416D67" w:rsidRPr="00416D67" w:rsidRDefault="00416D67" w:rsidP="00416D67">
            <w:pPr>
              <w:jc w:val="right"/>
              <w:rPr>
                <w:color w:val="000000"/>
                <w:sz w:val="16"/>
                <w:szCs w:val="16"/>
              </w:rPr>
            </w:pPr>
            <w:r w:rsidRPr="00416D67">
              <w:rPr>
                <w:color w:val="000000"/>
                <w:sz w:val="16"/>
                <w:szCs w:val="16"/>
              </w:rPr>
              <w:t>101.650,00</w:t>
            </w:r>
          </w:p>
        </w:tc>
        <w:tc>
          <w:tcPr>
            <w:tcW w:w="1134" w:type="dxa"/>
            <w:tcBorders>
              <w:top w:val="nil"/>
              <w:left w:val="nil"/>
              <w:bottom w:val="single" w:sz="8" w:space="0" w:color="808080"/>
              <w:right w:val="single" w:sz="8" w:space="0" w:color="808080"/>
            </w:tcBorders>
            <w:vAlign w:val="center"/>
            <w:hideMark/>
          </w:tcPr>
          <w:p w14:paraId="73EB1CD2" w14:textId="77777777" w:rsidR="00416D67" w:rsidRPr="00416D67" w:rsidRDefault="00416D67" w:rsidP="00416D67">
            <w:pPr>
              <w:jc w:val="right"/>
              <w:rPr>
                <w:color w:val="000000"/>
                <w:sz w:val="16"/>
                <w:szCs w:val="16"/>
              </w:rPr>
            </w:pPr>
            <w:r w:rsidRPr="00416D67">
              <w:rPr>
                <w:color w:val="000000"/>
                <w:sz w:val="16"/>
                <w:szCs w:val="16"/>
              </w:rPr>
              <w:t>100.692,11</w:t>
            </w:r>
          </w:p>
        </w:tc>
        <w:tc>
          <w:tcPr>
            <w:tcW w:w="973" w:type="dxa"/>
            <w:tcBorders>
              <w:top w:val="nil"/>
              <w:left w:val="nil"/>
              <w:bottom w:val="single" w:sz="8" w:space="0" w:color="808080"/>
              <w:right w:val="single" w:sz="8" w:space="0" w:color="808080"/>
            </w:tcBorders>
            <w:vAlign w:val="center"/>
            <w:hideMark/>
          </w:tcPr>
          <w:p w14:paraId="1DBD8EB1" w14:textId="77777777" w:rsidR="00416D67" w:rsidRPr="00416D67" w:rsidRDefault="00416D67" w:rsidP="00416D67">
            <w:pPr>
              <w:jc w:val="right"/>
              <w:rPr>
                <w:color w:val="000000"/>
                <w:sz w:val="16"/>
                <w:szCs w:val="16"/>
              </w:rPr>
            </w:pPr>
            <w:r w:rsidRPr="00416D67">
              <w:rPr>
                <w:color w:val="000000"/>
                <w:sz w:val="16"/>
                <w:szCs w:val="16"/>
              </w:rPr>
              <w:t>99,06%</w:t>
            </w:r>
          </w:p>
        </w:tc>
        <w:tc>
          <w:tcPr>
            <w:tcW w:w="870" w:type="dxa"/>
            <w:tcBorders>
              <w:top w:val="nil"/>
              <w:left w:val="nil"/>
              <w:bottom w:val="single" w:sz="8" w:space="0" w:color="808080"/>
              <w:right w:val="single" w:sz="8" w:space="0" w:color="808080"/>
            </w:tcBorders>
            <w:vAlign w:val="center"/>
            <w:hideMark/>
          </w:tcPr>
          <w:p w14:paraId="0C17DB78" w14:textId="77777777" w:rsidR="00416D67" w:rsidRPr="00416D67" w:rsidRDefault="00416D67" w:rsidP="00416D67">
            <w:pPr>
              <w:jc w:val="right"/>
              <w:rPr>
                <w:color w:val="000000"/>
                <w:sz w:val="16"/>
                <w:szCs w:val="16"/>
              </w:rPr>
            </w:pPr>
            <w:r w:rsidRPr="00416D67">
              <w:rPr>
                <w:color w:val="000000"/>
                <w:sz w:val="16"/>
                <w:szCs w:val="16"/>
              </w:rPr>
              <w:t>384,60%</w:t>
            </w:r>
          </w:p>
        </w:tc>
        <w:tc>
          <w:tcPr>
            <w:tcW w:w="1134" w:type="dxa"/>
            <w:tcBorders>
              <w:top w:val="nil"/>
              <w:left w:val="nil"/>
              <w:bottom w:val="single" w:sz="8" w:space="0" w:color="808080"/>
              <w:right w:val="single" w:sz="8" w:space="0" w:color="808080"/>
            </w:tcBorders>
            <w:vAlign w:val="center"/>
            <w:hideMark/>
          </w:tcPr>
          <w:p w14:paraId="0A4B42CB" w14:textId="77777777" w:rsidR="00416D67" w:rsidRPr="00416D67" w:rsidRDefault="00416D67" w:rsidP="00416D67">
            <w:pPr>
              <w:jc w:val="right"/>
              <w:rPr>
                <w:color w:val="000000"/>
                <w:sz w:val="16"/>
                <w:szCs w:val="16"/>
              </w:rPr>
            </w:pPr>
            <w:r w:rsidRPr="00416D67">
              <w:rPr>
                <w:color w:val="000000"/>
                <w:sz w:val="16"/>
                <w:szCs w:val="16"/>
              </w:rPr>
              <w:t>1,53%</w:t>
            </w:r>
          </w:p>
        </w:tc>
      </w:tr>
      <w:tr w:rsidR="00416D67" w:rsidRPr="00416D67" w14:paraId="5FBDBD9B" w14:textId="77777777" w:rsidTr="00BB1392">
        <w:trPr>
          <w:trHeight w:val="487"/>
        </w:trPr>
        <w:tc>
          <w:tcPr>
            <w:tcW w:w="680" w:type="dxa"/>
            <w:gridSpan w:val="2"/>
            <w:tcBorders>
              <w:top w:val="nil"/>
              <w:left w:val="single" w:sz="8" w:space="0" w:color="808080"/>
              <w:bottom w:val="single" w:sz="8" w:space="0" w:color="808080"/>
              <w:right w:val="single" w:sz="8" w:space="0" w:color="808080"/>
            </w:tcBorders>
            <w:vAlign w:val="center"/>
            <w:hideMark/>
          </w:tcPr>
          <w:p w14:paraId="447DA21E" w14:textId="77777777" w:rsidR="00416D67" w:rsidRPr="00416D67" w:rsidRDefault="00416D67" w:rsidP="00416D67">
            <w:pPr>
              <w:rPr>
                <w:color w:val="000000"/>
                <w:sz w:val="16"/>
                <w:szCs w:val="16"/>
              </w:rPr>
            </w:pPr>
            <w:r w:rsidRPr="00416D67">
              <w:rPr>
                <w:color w:val="000000"/>
                <w:sz w:val="16"/>
                <w:szCs w:val="16"/>
              </w:rPr>
              <w:t>36</w:t>
            </w:r>
          </w:p>
        </w:tc>
        <w:tc>
          <w:tcPr>
            <w:tcW w:w="2248" w:type="dxa"/>
            <w:tcBorders>
              <w:top w:val="single" w:sz="8" w:space="0" w:color="808080"/>
              <w:left w:val="nil"/>
              <w:bottom w:val="single" w:sz="8" w:space="0" w:color="808080"/>
              <w:right w:val="single" w:sz="8" w:space="0" w:color="808080"/>
            </w:tcBorders>
            <w:vAlign w:val="center"/>
            <w:hideMark/>
          </w:tcPr>
          <w:p w14:paraId="22C13EBA" w14:textId="77777777" w:rsidR="00416D67" w:rsidRPr="00416D67" w:rsidRDefault="00416D67" w:rsidP="00416D67">
            <w:pPr>
              <w:rPr>
                <w:color w:val="000000"/>
                <w:sz w:val="16"/>
                <w:szCs w:val="16"/>
              </w:rPr>
            </w:pPr>
            <w:r w:rsidRPr="00416D67">
              <w:rPr>
                <w:color w:val="000000"/>
                <w:sz w:val="16"/>
                <w:szCs w:val="16"/>
              </w:rPr>
              <w:t>Pomoći dane u inozemstvo i unutar općeg proračuna</w:t>
            </w:r>
          </w:p>
        </w:tc>
        <w:tc>
          <w:tcPr>
            <w:tcW w:w="1056" w:type="dxa"/>
            <w:tcBorders>
              <w:top w:val="nil"/>
              <w:left w:val="nil"/>
              <w:bottom w:val="single" w:sz="8" w:space="0" w:color="808080"/>
              <w:right w:val="single" w:sz="8" w:space="0" w:color="808080"/>
            </w:tcBorders>
            <w:vAlign w:val="center"/>
            <w:hideMark/>
          </w:tcPr>
          <w:p w14:paraId="6A9039A3" w14:textId="77777777" w:rsidR="00416D67" w:rsidRPr="00416D67" w:rsidRDefault="00416D67" w:rsidP="00416D67">
            <w:pPr>
              <w:jc w:val="right"/>
              <w:rPr>
                <w:color w:val="000000"/>
                <w:sz w:val="16"/>
                <w:szCs w:val="16"/>
              </w:rPr>
            </w:pPr>
            <w:r w:rsidRPr="00416D67">
              <w:rPr>
                <w:color w:val="000000"/>
                <w:sz w:val="16"/>
                <w:szCs w:val="16"/>
              </w:rPr>
              <w:t>413.456,88</w:t>
            </w:r>
          </w:p>
        </w:tc>
        <w:tc>
          <w:tcPr>
            <w:tcW w:w="1134" w:type="dxa"/>
            <w:tcBorders>
              <w:top w:val="nil"/>
              <w:left w:val="nil"/>
              <w:bottom w:val="single" w:sz="8" w:space="0" w:color="808080"/>
              <w:right w:val="single" w:sz="8" w:space="0" w:color="808080"/>
            </w:tcBorders>
            <w:vAlign w:val="center"/>
            <w:hideMark/>
          </w:tcPr>
          <w:p w14:paraId="3A001AC6" w14:textId="77777777" w:rsidR="00416D67" w:rsidRPr="00416D67" w:rsidRDefault="00416D67" w:rsidP="00416D67">
            <w:pPr>
              <w:jc w:val="right"/>
              <w:rPr>
                <w:color w:val="000000"/>
                <w:sz w:val="16"/>
                <w:szCs w:val="16"/>
              </w:rPr>
            </w:pPr>
            <w:r w:rsidRPr="00416D67">
              <w:rPr>
                <w:color w:val="000000"/>
                <w:sz w:val="16"/>
                <w:szCs w:val="16"/>
              </w:rPr>
              <w:t>1.419.062,45</w:t>
            </w:r>
          </w:p>
        </w:tc>
        <w:tc>
          <w:tcPr>
            <w:tcW w:w="1134" w:type="dxa"/>
            <w:tcBorders>
              <w:top w:val="nil"/>
              <w:left w:val="nil"/>
              <w:bottom w:val="single" w:sz="8" w:space="0" w:color="808080"/>
              <w:right w:val="single" w:sz="8" w:space="0" w:color="808080"/>
            </w:tcBorders>
            <w:vAlign w:val="center"/>
            <w:hideMark/>
          </w:tcPr>
          <w:p w14:paraId="311001BC" w14:textId="77777777" w:rsidR="00416D67" w:rsidRPr="00416D67" w:rsidRDefault="00416D67" w:rsidP="00416D67">
            <w:pPr>
              <w:jc w:val="right"/>
              <w:rPr>
                <w:color w:val="000000"/>
                <w:sz w:val="16"/>
                <w:szCs w:val="16"/>
              </w:rPr>
            </w:pPr>
            <w:r w:rsidRPr="00416D67">
              <w:rPr>
                <w:color w:val="000000"/>
                <w:sz w:val="16"/>
                <w:szCs w:val="16"/>
              </w:rPr>
              <w:t>437.260,62</w:t>
            </w:r>
          </w:p>
        </w:tc>
        <w:tc>
          <w:tcPr>
            <w:tcW w:w="973" w:type="dxa"/>
            <w:tcBorders>
              <w:top w:val="nil"/>
              <w:left w:val="nil"/>
              <w:bottom w:val="single" w:sz="8" w:space="0" w:color="808080"/>
              <w:right w:val="single" w:sz="8" w:space="0" w:color="808080"/>
            </w:tcBorders>
            <w:vAlign w:val="center"/>
            <w:hideMark/>
          </w:tcPr>
          <w:p w14:paraId="4E1F610A" w14:textId="77777777" w:rsidR="00416D67" w:rsidRPr="00416D67" w:rsidRDefault="00416D67" w:rsidP="00416D67">
            <w:pPr>
              <w:jc w:val="right"/>
              <w:rPr>
                <w:color w:val="000000"/>
                <w:sz w:val="16"/>
                <w:szCs w:val="16"/>
              </w:rPr>
            </w:pPr>
            <w:r w:rsidRPr="00416D67">
              <w:rPr>
                <w:color w:val="000000"/>
                <w:sz w:val="16"/>
                <w:szCs w:val="16"/>
              </w:rPr>
              <w:t>30,81%</w:t>
            </w:r>
          </w:p>
        </w:tc>
        <w:tc>
          <w:tcPr>
            <w:tcW w:w="870" w:type="dxa"/>
            <w:tcBorders>
              <w:top w:val="nil"/>
              <w:left w:val="nil"/>
              <w:bottom w:val="single" w:sz="8" w:space="0" w:color="808080"/>
              <w:right w:val="single" w:sz="8" w:space="0" w:color="808080"/>
            </w:tcBorders>
            <w:vAlign w:val="center"/>
            <w:hideMark/>
          </w:tcPr>
          <w:p w14:paraId="24DA8B03" w14:textId="77777777" w:rsidR="00416D67" w:rsidRPr="00416D67" w:rsidRDefault="00416D67" w:rsidP="00416D67">
            <w:pPr>
              <w:jc w:val="right"/>
              <w:rPr>
                <w:color w:val="000000"/>
                <w:sz w:val="16"/>
                <w:szCs w:val="16"/>
              </w:rPr>
            </w:pPr>
            <w:r w:rsidRPr="00416D67">
              <w:rPr>
                <w:color w:val="000000"/>
                <w:sz w:val="16"/>
                <w:szCs w:val="16"/>
              </w:rPr>
              <w:t>105,76%</w:t>
            </w:r>
          </w:p>
        </w:tc>
        <w:tc>
          <w:tcPr>
            <w:tcW w:w="1134" w:type="dxa"/>
            <w:tcBorders>
              <w:top w:val="nil"/>
              <w:left w:val="nil"/>
              <w:bottom w:val="single" w:sz="8" w:space="0" w:color="808080"/>
              <w:right w:val="single" w:sz="8" w:space="0" w:color="808080"/>
            </w:tcBorders>
            <w:vAlign w:val="center"/>
            <w:hideMark/>
          </w:tcPr>
          <w:p w14:paraId="6F13A56A" w14:textId="77777777" w:rsidR="00416D67" w:rsidRPr="00416D67" w:rsidRDefault="00416D67" w:rsidP="00416D67">
            <w:pPr>
              <w:jc w:val="right"/>
              <w:rPr>
                <w:color w:val="000000"/>
                <w:sz w:val="16"/>
                <w:szCs w:val="16"/>
              </w:rPr>
            </w:pPr>
            <w:r w:rsidRPr="00416D67">
              <w:rPr>
                <w:color w:val="000000"/>
                <w:sz w:val="16"/>
                <w:szCs w:val="16"/>
              </w:rPr>
              <w:t>6,64%</w:t>
            </w:r>
          </w:p>
        </w:tc>
      </w:tr>
      <w:tr w:rsidR="00416D67" w:rsidRPr="00416D67" w14:paraId="388F042B" w14:textId="77777777" w:rsidTr="00BB1392">
        <w:trPr>
          <w:trHeight w:val="675"/>
        </w:trPr>
        <w:tc>
          <w:tcPr>
            <w:tcW w:w="680" w:type="dxa"/>
            <w:gridSpan w:val="2"/>
            <w:tcBorders>
              <w:top w:val="nil"/>
              <w:left w:val="single" w:sz="8" w:space="0" w:color="808080"/>
              <w:bottom w:val="single" w:sz="8" w:space="0" w:color="808080"/>
              <w:right w:val="single" w:sz="8" w:space="0" w:color="808080"/>
            </w:tcBorders>
            <w:vAlign w:val="center"/>
            <w:hideMark/>
          </w:tcPr>
          <w:p w14:paraId="0D1FC4F2" w14:textId="77777777" w:rsidR="00416D67" w:rsidRPr="00416D67" w:rsidRDefault="00416D67" w:rsidP="00416D67">
            <w:pPr>
              <w:rPr>
                <w:color w:val="000000"/>
                <w:sz w:val="16"/>
                <w:szCs w:val="16"/>
              </w:rPr>
            </w:pPr>
            <w:r w:rsidRPr="00416D67">
              <w:rPr>
                <w:color w:val="000000"/>
                <w:sz w:val="16"/>
                <w:szCs w:val="16"/>
              </w:rPr>
              <w:t>37</w:t>
            </w:r>
          </w:p>
        </w:tc>
        <w:tc>
          <w:tcPr>
            <w:tcW w:w="2248" w:type="dxa"/>
            <w:tcBorders>
              <w:top w:val="single" w:sz="8" w:space="0" w:color="808080"/>
              <w:left w:val="nil"/>
              <w:bottom w:val="single" w:sz="8" w:space="0" w:color="808080"/>
              <w:right w:val="single" w:sz="8" w:space="0" w:color="808080"/>
            </w:tcBorders>
            <w:vAlign w:val="center"/>
            <w:hideMark/>
          </w:tcPr>
          <w:p w14:paraId="16D31F08" w14:textId="77777777" w:rsidR="00416D67" w:rsidRPr="00416D67" w:rsidRDefault="00416D67" w:rsidP="00416D67">
            <w:pPr>
              <w:rPr>
                <w:color w:val="000000"/>
                <w:sz w:val="16"/>
                <w:szCs w:val="16"/>
              </w:rPr>
            </w:pPr>
            <w:r w:rsidRPr="00416D67">
              <w:rPr>
                <w:color w:val="000000"/>
                <w:sz w:val="16"/>
                <w:szCs w:val="16"/>
              </w:rPr>
              <w:t>Naknade građanima i kućanstvima na temelju osiguranja i druge naknade</w:t>
            </w:r>
          </w:p>
        </w:tc>
        <w:tc>
          <w:tcPr>
            <w:tcW w:w="1056" w:type="dxa"/>
            <w:tcBorders>
              <w:top w:val="nil"/>
              <w:left w:val="nil"/>
              <w:bottom w:val="single" w:sz="8" w:space="0" w:color="808080"/>
              <w:right w:val="single" w:sz="8" w:space="0" w:color="808080"/>
            </w:tcBorders>
            <w:vAlign w:val="center"/>
            <w:hideMark/>
          </w:tcPr>
          <w:p w14:paraId="3C5A2257" w14:textId="77777777" w:rsidR="00416D67" w:rsidRPr="00416D67" w:rsidRDefault="00416D67" w:rsidP="00416D67">
            <w:pPr>
              <w:jc w:val="right"/>
              <w:rPr>
                <w:color w:val="000000"/>
                <w:sz w:val="16"/>
                <w:szCs w:val="16"/>
              </w:rPr>
            </w:pPr>
            <w:r w:rsidRPr="00416D67">
              <w:rPr>
                <w:color w:val="000000"/>
                <w:sz w:val="16"/>
                <w:szCs w:val="16"/>
              </w:rPr>
              <w:t>223.197,45</w:t>
            </w:r>
          </w:p>
        </w:tc>
        <w:tc>
          <w:tcPr>
            <w:tcW w:w="1134" w:type="dxa"/>
            <w:tcBorders>
              <w:top w:val="nil"/>
              <w:left w:val="nil"/>
              <w:bottom w:val="single" w:sz="8" w:space="0" w:color="808080"/>
              <w:right w:val="single" w:sz="8" w:space="0" w:color="808080"/>
            </w:tcBorders>
            <w:vAlign w:val="center"/>
            <w:hideMark/>
          </w:tcPr>
          <w:p w14:paraId="68E4326E" w14:textId="77777777" w:rsidR="00416D67" w:rsidRPr="00416D67" w:rsidRDefault="00416D67" w:rsidP="00416D67">
            <w:pPr>
              <w:jc w:val="right"/>
              <w:rPr>
                <w:color w:val="000000"/>
                <w:sz w:val="16"/>
                <w:szCs w:val="16"/>
              </w:rPr>
            </w:pPr>
            <w:r w:rsidRPr="00416D67">
              <w:rPr>
                <w:color w:val="000000"/>
                <w:sz w:val="16"/>
                <w:szCs w:val="16"/>
              </w:rPr>
              <w:t>257.937,00</w:t>
            </w:r>
          </w:p>
        </w:tc>
        <w:tc>
          <w:tcPr>
            <w:tcW w:w="1134" w:type="dxa"/>
            <w:tcBorders>
              <w:top w:val="nil"/>
              <w:left w:val="nil"/>
              <w:bottom w:val="single" w:sz="8" w:space="0" w:color="808080"/>
              <w:right w:val="single" w:sz="8" w:space="0" w:color="808080"/>
            </w:tcBorders>
            <w:vAlign w:val="center"/>
            <w:hideMark/>
          </w:tcPr>
          <w:p w14:paraId="156F831A" w14:textId="77777777" w:rsidR="00416D67" w:rsidRPr="00416D67" w:rsidRDefault="00416D67" w:rsidP="00416D67">
            <w:pPr>
              <w:jc w:val="right"/>
              <w:rPr>
                <w:color w:val="000000"/>
                <w:sz w:val="16"/>
                <w:szCs w:val="16"/>
              </w:rPr>
            </w:pPr>
            <w:r w:rsidRPr="00416D67">
              <w:rPr>
                <w:color w:val="000000"/>
                <w:sz w:val="16"/>
                <w:szCs w:val="16"/>
              </w:rPr>
              <w:t>231.323,21</w:t>
            </w:r>
          </w:p>
        </w:tc>
        <w:tc>
          <w:tcPr>
            <w:tcW w:w="973" w:type="dxa"/>
            <w:tcBorders>
              <w:top w:val="nil"/>
              <w:left w:val="nil"/>
              <w:bottom w:val="single" w:sz="8" w:space="0" w:color="808080"/>
              <w:right w:val="single" w:sz="8" w:space="0" w:color="808080"/>
            </w:tcBorders>
            <w:vAlign w:val="center"/>
            <w:hideMark/>
          </w:tcPr>
          <w:p w14:paraId="72052774" w14:textId="77777777" w:rsidR="00416D67" w:rsidRPr="00416D67" w:rsidRDefault="00416D67" w:rsidP="00416D67">
            <w:pPr>
              <w:jc w:val="right"/>
              <w:rPr>
                <w:color w:val="000000"/>
                <w:sz w:val="16"/>
                <w:szCs w:val="16"/>
              </w:rPr>
            </w:pPr>
            <w:r w:rsidRPr="00416D67">
              <w:rPr>
                <w:color w:val="000000"/>
                <w:sz w:val="16"/>
                <w:szCs w:val="16"/>
              </w:rPr>
              <w:t>89,68%</w:t>
            </w:r>
          </w:p>
        </w:tc>
        <w:tc>
          <w:tcPr>
            <w:tcW w:w="870" w:type="dxa"/>
            <w:tcBorders>
              <w:top w:val="nil"/>
              <w:left w:val="nil"/>
              <w:bottom w:val="single" w:sz="8" w:space="0" w:color="808080"/>
              <w:right w:val="single" w:sz="8" w:space="0" w:color="808080"/>
            </w:tcBorders>
            <w:vAlign w:val="center"/>
            <w:hideMark/>
          </w:tcPr>
          <w:p w14:paraId="4AC77105" w14:textId="77777777" w:rsidR="00416D67" w:rsidRPr="00416D67" w:rsidRDefault="00416D67" w:rsidP="00416D67">
            <w:pPr>
              <w:jc w:val="right"/>
              <w:rPr>
                <w:color w:val="000000"/>
                <w:sz w:val="16"/>
                <w:szCs w:val="16"/>
              </w:rPr>
            </w:pPr>
            <w:r w:rsidRPr="00416D67">
              <w:rPr>
                <w:color w:val="000000"/>
                <w:sz w:val="16"/>
                <w:szCs w:val="16"/>
              </w:rPr>
              <w:t>103,64%</w:t>
            </w:r>
          </w:p>
        </w:tc>
        <w:tc>
          <w:tcPr>
            <w:tcW w:w="1134" w:type="dxa"/>
            <w:tcBorders>
              <w:top w:val="nil"/>
              <w:left w:val="nil"/>
              <w:bottom w:val="single" w:sz="8" w:space="0" w:color="808080"/>
              <w:right w:val="single" w:sz="8" w:space="0" w:color="808080"/>
            </w:tcBorders>
            <w:vAlign w:val="center"/>
            <w:hideMark/>
          </w:tcPr>
          <w:p w14:paraId="6047AB99" w14:textId="77777777" w:rsidR="00416D67" w:rsidRPr="00416D67" w:rsidRDefault="00416D67" w:rsidP="00416D67">
            <w:pPr>
              <w:jc w:val="right"/>
              <w:rPr>
                <w:color w:val="000000"/>
                <w:sz w:val="16"/>
                <w:szCs w:val="16"/>
              </w:rPr>
            </w:pPr>
            <w:r w:rsidRPr="00416D67">
              <w:rPr>
                <w:color w:val="000000"/>
                <w:sz w:val="16"/>
                <w:szCs w:val="16"/>
              </w:rPr>
              <w:t>3,51%</w:t>
            </w:r>
          </w:p>
        </w:tc>
      </w:tr>
      <w:tr w:rsidR="00416D67" w:rsidRPr="00416D67" w14:paraId="60C4C3CD" w14:textId="77777777" w:rsidTr="00BB1392">
        <w:trPr>
          <w:trHeight w:val="315"/>
        </w:trPr>
        <w:tc>
          <w:tcPr>
            <w:tcW w:w="680" w:type="dxa"/>
            <w:gridSpan w:val="2"/>
            <w:tcBorders>
              <w:top w:val="nil"/>
              <w:left w:val="single" w:sz="8" w:space="0" w:color="808080"/>
              <w:bottom w:val="single" w:sz="8" w:space="0" w:color="808080"/>
              <w:right w:val="single" w:sz="8" w:space="0" w:color="808080"/>
            </w:tcBorders>
            <w:vAlign w:val="center"/>
            <w:hideMark/>
          </w:tcPr>
          <w:p w14:paraId="619FBB90" w14:textId="77777777" w:rsidR="00416D67" w:rsidRPr="00416D67" w:rsidRDefault="00416D67" w:rsidP="00416D67">
            <w:pPr>
              <w:rPr>
                <w:color w:val="000000"/>
                <w:sz w:val="16"/>
                <w:szCs w:val="16"/>
              </w:rPr>
            </w:pPr>
            <w:r w:rsidRPr="00416D67">
              <w:rPr>
                <w:color w:val="000000"/>
                <w:sz w:val="16"/>
                <w:szCs w:val="16"/>
              </w:rPr>
              <w:t>38</w:t>
            </w:r>
          </w:p>
        </w:tc>
        <w:tc>
          <w:tcPr>
            <w:tcW w:w="2248" w:type="dxa"/>
            <w:tcBorders>
              <w:top w:val="single" w:sz="8" w:space="0" w:color="808080"/>
              <w:left w:val="nil"/>
              <w:bottom w:val="single" w:sz="8" w:space="0" w:color="808080"/>
              <w:right w:val="single" w:sz="8" w:space="0" w:color="808080"/>
            </w:tcBorders>
            <w:vAlign w:val="center"/>
            <w:hideMark/>
          </w:tcPr>
          <w:p w14:paraId="47EB6A44" w14:textId="77777777" w:rsidR="00416D67" w:rsidRPr="00416D67" w:rsidRDefault="00416D67" w:rsidP="00416D67">
            <w:pPr>
              <w:rPr>
                <w:color w:val="000000"/>
                <w:sz w:val="16"/>
                <w:szCs w:val="16"/>
              </w:rPr>
            </w:pPr>
            <w:r w:rsidRPr="00416D67">
              <w:rPr>
                <w:color w:val="000000"/>
                <w:sz w:val="16"/>
                <w:szCs w:val="16"/>
              </w:rPr>
              <w:t>Ostali rashodi</w:t>
            </w:r>
          </w:p>
        </w:tc>
        <w:tc>
          <w:tcPr>
            <w:tcW w:w="1056" w:type="dxa"/>
            <w:tcBorders>
              <w:top w:val="nil"/>
              <w:left w:val="nil"/>
              <w:bottom w:val="single" w:sz="8" w:space="0" w:color="808080"/>
              <w:right w:val="single" w:sz="8" w:space="0" w:color="808080"/>
            </w:tcBorders>
            <w:vAlign w:val="center"/>
            <w:hideMark/>
          </w:tcPr>
          <w:p w14:paraId="2D587C36" w14:textId="77777777" w:rsidR="00416D67" w:rsidRPr="00416D67" w:rsidRDefault="00416D67" w:rsidP="00416D67">
            <w:pPr>
              <w:jc w:val="right"/>
              <w:rPr>
                <w:color w:val="000000"/>
                <w:sz w:val="16"/>
                <w:szCs w:val="16"/>
              </w:rPr>
            </w:pPr>
            <w:r w:rsidRPr="00416D67">
              <w:rPr>
                <w:color w:val="000000"/>
                <w:sz w:val="16"/>
                <w:szCs w:val="16"/>
              </w:rPr>
              <w:t>582.912,06</w:t>
            </w:r>
          </w:p>
        </w:tc>
        <w:tc>
          <w:tcPr>
            <w:tcW w:w="1134" w:type="dxa"/>
            <w:tcBorders>
              <w:top w:val="nil"/>
              <w:left w:val="nil"/>
              <w:bottom w:val="single" w:sz="8" w:space="0" w:color="808080"/>
              <w:right w:val="single" w:sz="8" w:space="0" w:color="808080"/>
            </w:tcBorders>
            <w:vAlign w:val="center"/>
            <w:hideMark/>
          </w:tcPr>
          <w:p w14:paraId="36A1DE5D" w14:textId="77777777" w:rsidR="00416D67" w:rsidRPr="00416D67" w:rsidRDefault="00416D67" w:rsidP="00416D67">
            <w:pPr>
              <w:jc w:val="right"/>
              <w:rPr>
                <w:color w:val="000000"/>
                <w:sz w:val="16"/>
                <w:szCs w:val="16"/>
              </w:rPr>
            </w:pPr>
            <w:r w:rsidRPr="00416D67">
              <w:rPr>
                <w:color w:val="000000"/>
                <w:sz w:val="16"/>
                <w:szCs w:val="16"/>
              </w:rPr>
              <w:t>957.148,00</w:t>
            </w:r>
          </w:p>
        </w:tc>
        <w:tc>
          <w:tcPr>
            <w:tcW w:w="1134" w:type="dxa"/>
            <w:tcBorders>
              <w:top w:val="nil"/>
              <w:left w:val="nil"/>
              <w:bottom w:val="single" w:sz="8" w:space="0" w:color="808080"/>
              <w:right w:val="single" w:sz="8" w:space="0" w:color="808080"/>
            </w:tcBorders>
            <w:vAlign w:val="center"/>
            <w:hideMark/>
          </w:tcPr>
          <w:p w14:paraId="7ADC58D8" w14:textId="77777777" w:rsidR="00416D67" w:rsidRPr="00416D67" w:rsidRDefault="00416D67" w:rsidP="00416D67">
            <w:pPr>
              <w:jc w:val="right"/>
              <w:rPr>
                <w:color w:val="000000"/>
                <w:sz w:val="16"/>
                <w:szCs w:val="16"/>
              </w:rPr>
            </w:pPr>
            <w:r w:rsidRPr="00416D67">
              <w:rPr>
                <w:color w:val="000000"/>
                <w:sz w:val="16"/>
                <w:szCs w:val="16"/>
              </w:rPr>
              <w:t>778.434,77</w:t>
            </w:r>
          </w:p>
        </w:tc>
        <w:tc>
          <w:tcPr>
            <w:tcW w:w="973" w:type="dxa"/>
            <w:tcBorders>
              <w:top w:val="nil"/>
              <w:left w:val="nil"/>
              <w:bottom w:val="single" w:sz="8" w:space="0" w:color="808080"/>
              <w:right w:val="single" w:sz="8" w:space="0" w:color="808080"/>
            </w:tcBorders>
            <w:vAlign w:val="center"/>
            <w:hideMark/>
          </w:tcPr>
          <w:p w14:paraId="7249461C" w14:textId="77777777" w:rsidR="00416D67" w:rsidRPr="00416D67" w:rsidRDefault="00416D67" w:rsidP="00416D67">
            <w:pPr>
              <w:jc w:val="right"/>
              <w:rPr>
                <w:color w:val="000000"/>
                <w:sz w:val="16"/>
                <w:szCs w:val="16"/>
              </w:rPr>
            </w:pPr>
            <w:r w:rsidRPr="00416D67">
              <w:rPr>
                <w:color w:val="000000"/>
                <w:sz w:val="16"/>
                <w:szCs w:val="16"/>
              </w:rPr>
              <w:t>81,33%</w:t>
            </w:r>
          </w:p>
        </w:tc>
        <w:tc>
          <w:tcPr>
            <w:tcW w:w="870" w:type="dxa"/>
            <w:tcBorders>
              <w:top w:val="nil"/>
              <w:left w:val="nil"/>
              <w:bottom w:val="single" w:sz="8" w:space="0" w:color="808080"/>
              <w:right w:val="single" w:sz="8" w:space="0" w:color="808080"/>
            </w:tcBorders>
            <w:vAlign w:val="center"/>
            <w:hideMark/>
          </w:tcPr>
          <w:p w14:paraId="001392E4" w14:textId="77777777" w:rsidR="00416D67" w:rsidRPr="00416D67" w:rsidRDefault="00416D67" w:rsidP="00416D67">
            <w:pPr>
              <w:jc w:val="right"/>
              <w:rPr>
                <w:color w:val="000000"/>
                <w:sz w:val="16"/>
                <w:szCs w:val="16"/>
              </w:rPr>
            </w:pPr>
            <w:r w:rsidRPr="00416D67">
              <w:rPr>
                <w:color w:val="000000"/>
                <w:sz w:val="16"/>
                <w:szCs w:val="16"/>
              </w:rPr>
              <w:t>133,54%</w:t>
            </w:r>
          </w:p>
        </w:tc>
        <w:tc>
          <w:tcPr>
            <w:tcW w:w="1134" w:type="dxa"/>
            <w:tcBorders>
              <w:top w:val="nil"/>
              <w:left w:val="nil"/>
              <w:bottom w:val="single" w:sz="8" w:space="0" w:color="808080"/>
              <w:right w:val="single" w:sz="8" w:space="0" w:color="808080"/>
            </w:tcBorders>
            <w:vAlign w:val="center"/>
            <w:hideMark/>
          </w:tcPr>
          <w:p w14:paraId="09F6EBE7" w14:textId="77777777" w:rsidR="00416D67" w:rsidRPr="00416D67" w:rsidRDefault="00416D67" w:rsidP="00416D67">
            <w:pPr>
              <w:jc w:val="right"/>
              <w:rPr>
                <w:color w:val="000000"/>
                <w:sz w:val="16"/>
                <w:szCs w:val="16"/>
              </w:rPr>
            </w:pPr>
            <w:r w:rsidRPr="00416D67">
              <w:rPr>
                <w:color w:val="000000"/>
                <w:sz w:val="16"/>
                <w:szCs w:val="16"/>
              </w:rPr>
              <w:t>11,82%</w:t>
            </w:r>
          </w:p>
        </w:tc>
      </w:tr>
      <w:tr w:rsidR="00416D67" w:rsidRPr="00416D67" w14:paraId="585B8E7B" w14:textId="77777777" w:rsidTr="00BB1392">
        <w:trPr>
          <w:trHeight w:val="211"/>
        </w:trPr>
        <w:tc>
          <w:tcPr>
            <w:tcW w:w="680" w:type="dxa"/>
            <w:gridSpan w:val="2"/>
            <w:tcBorders>
              <w:top w:val="nil"/>
              <w:left w:val="single" w:sz="8" w:space="0" w:color="808080"/>
              <w:bottom w:val="single" w:sz="8" w:space="0" w:color="808080"/>
              <w:right w:val="single" w:sz="8" w:space="0" w:color="808080"/>
            </w:tcBorders>
            <w:vAlign w:val="center"/>
            <w:hideMark/>
          </w:tcPr>
          <w:p w14:paraId="77987085" w14:textId="77777777" w:rsidR="00416D67" w:rsidRPr="00416D67" w:rsidRDefault="00416D67" w:rsidP="00416D67">
            <w:pPr>
              <w:rPr>
                <w:b/>
                <w:bCs/>
                <w:color w:val="000000"/>
                <w:sz w:val="16"/>
                <w:szCs w:val="16"/>
              </w:rPr>
            </w:pPr>
            <w:r w:rsidRPr="00416D67">
              <w:rPr>
                <w:b/>
                <w:bCs/>
                <w:color w:val="000000"/>
                <w:sz w:val="16"/>
                <w:szCs w:val="16"/>
              </w:rPr>
              <w:t>4</w:t>
            </w:r>
          </w:p>
        </w:tc>
        <w:tc>
          <w:tcPr>
            <w:tcW w:w="2248" w:type="dxa"/>
            <w:tcBorders>
              <w:top w:val="single" w:sz="8" w:space="0" w:color="808080"/>
              <w:left w:val="nil"/>
              <w:bottom w:val="single" w:sz="8" w:space="0" w:color="808080"/>
              <w:right w:val="single" w:sz="8" w:space="0" w:color="808080"/>
            </w:tcBorders>
            <w:vAlign w:val="center"/>
            <w:hideMark/>
          </w:tcPr>
          <w:p w14:paraId="2E219F45" w14:textId="77777777" w:rsidR="00416D67" w:rsidRPr="00416D67" w:rsidRDefault="00416D67" w:rsidP="00416D67">
            <w:pPr>
              <w:rPr>
                <w:b/>
                <w:bCs/>
                <w:color w:val="000000"/>
                <w:sz w:val="16"/>
                <w:szCs w:val="16"/>
              </w:rPr>
            </w:pPr>
            <w:r w:rsidRPr="00416D67">
              <w:rPr>
                <w:b/>
                <w:bCs/>
                <w:color w:val="000000"/>
                <w:sz w:val="16"/>
                <w:szCs w:val="16"/>
              </w:rPr>
              <w:t>Rashodi za nabavu nefinancijske imovine  (2025. udio ostvarenja 32,98 %)</w:t>
            </w:r>
          </w:p>
        </w:tc>
        <w:tc>
          <w:tcPr>
            <w:tcW w:w="1056" w:type="dxa"/>
            <w:tcBorders>
              <w:top w:val="nil"/>
              <w:left w:val="nil"/>
              <w:bottom w:val="single" w:sz="8" w:space="0" w:color="808080"/>
              <w:right w:val="single" w:sz="8" w:space="0" w:color="808080"/>
            </w:tcBorders>
            <w:vAlign w:val="center"/>
            <w:hideMark/>
          </w:tcPr>
          <w:p w14:paraId="5AE7E4C5" w14:textId="77777777" w:rsidR="00416D67" w:rsidRPr="00416D67" w:rsidRDefault="00416D67" w:rsidP="00416D67">
            <w:pPr>
              <w:jc w:val="right"/>
              <w:rPr>
                <w:b/>
                <w:bCs/>
                <w:color w:val="000000"/>
                <w:sz w:val="16"/>
                <w:szCs w:val="16"/>
              </w:rPr>
            </w:pPr>
            <w:r w:rsidRPr="00416D67">
              <w:rPr>
                <w:b/>
                <w:bCs/>
                <w:color w:val="000000"/>
                <w:sz w:val="16"/>
                <w:szCs w:val="16"/>
              </w:rPr>
              <w:t>1.827.066,29</w:t>
            </w:r>
          </w:p>
        </w:tc>
        <w:tc>
          <w:tcPr>
            <w:tcW w:w="1134" w:type="dxa"/>
            <w:tcBorders>
              <w:top w:val="nil"/>
              <w:left w:val="nil"/>
              <w:bottom w:val="single" w:sz="8" w:space="0" w:color="808080"/>
              <w:right w:val="single" w:sz="8" w:space="0" w:color="808080"/>
            </w:tcBorders>
            <w:vAlign w:val="center"/>
            <w:hideMark/>
          </w:tcPr>
          <w:p w14:paraId="0D403715" w14:textId="77777777" w:rsidR="00416D67" w:rsidRPr="00416D67" w:rsidRDefault="00416D67" w:rsidP="00416D67">
            <w:pPr>
              <w:jc w:val="right"/>
              <w:rPr>
                <w:b/>
                <w:bCs/>
                <w:color w:val="000000"/>
                <w:sz w:val="16"/>
                <w:szCs w:val="16"/>
              </w:rPr>
            </w:pPr>
            <w:r w:rsidRPr="00416D67">
              <w:rPr>
                <w:b/>
                <w:bCs/>
                <w:color w:val="000000"/>
                <w:sz w:val="16"/>
                <w:szCs w:val="16"/>
              </w:rPr>
              <w:t>3.111.154,77</w:t>
            </w:r>
          </w:p>
        </w:tc>
        <w:tc>
          <w:tcPr>
            <w:tcW w:w="1134" w:type="dxa"/>
            <w:tcBorders>
              <w:top w:val="nil"/>
              <w:left w:val="nil"/>
              <w:bottom w:val="single" w:sz="8" w:space="0" w:color="808080"/>
              <w:right w:val="single" w:sz="8" w:space="0" w:color="808080"/>
            </w:tcBorders>
            <w:vAlign w:val="center"/>
            <w:hideMark/>
          </w:tcPr>
          <w:p w14:paraId="738DC81D" w14:textId="77777777" w:rsidR="00416D67" w:rsidRPr="00416D67" w:rsidRDefault="00416D67" w:rsidP="00416D67">
            <w:pPr>
              <w:jc w:val="right"/>
              <w:rPr>
                <w:b/>
                <w:bCs/>
                <w:color w:val="000000"/>
                <w:sz w:val="16"/>
                <w:szCs w:val="16"/>
              </w:rPr>
            </w:pPr>
            <w:r w:rsidRPr="00416D67">
              <w:rPr>
                <w:b/>
                <w:bCs/>
                <w:color w:val="000000"/>
                <w:sz w:val="16"/>
                <w:szCs w:val="16"/>
              </w:rPr>
              <w:t>2.172.336,49</w:t>
            </w:r>
          </w:p>
        </w:tc>
        <w:tc>
          <w:tcPr>
            <w:tcW w:w="973" w:type="dxa"/>
            <w:tcBorders>
              <w:top w:val="nil"/>
              <w:left w:val="nil"/>
              <w:bottom w:val="single" w:sz="8" w:space="0" w:color="808080"/>
              <w:right w:val="single" w:sz="8" w:space="0" w:color="808080"/>
            </w:tcBorders>
            <w:vAlign w:val="center"/>
            <w:hideMark/>
          </w:tcPr>
          <w:p w14:paraId="2142F62D" w14:textId="77777777" w:rsidR="00416D67" w:rsidRPr="00416D67" w:rsidRDefault="00416D67" w:rsidP="00416D67">
            <w:pPr>
              <w:jc w:val="right"/>
              <w:rPr>
                <w:b/>
                <w:bCs/>
                <w:color w:val="000000"/>
                <w:sz w:val="16"/>
                <w:szCs w:val="16"/>
              </w:rPr>
            </w:pPr>
            <w:r w:rsidRPr="00416D67">
              <w:rPr>
                <w:b/>
                <w:bCs/>
                <w:color w:val="000000"/>
                <w:sz w:val="16"/>
                <w:szCs w:val="16"/>
              </w:rPr>
              <w:t>69,82%</w:t>
            </w:r>
          </w:p>
        </w:tc>
        <w:tc>
          <w:tcPr>
            <w:tcW w:w="870" w:type="dxa"/>
            <w:tcBorders>
              <w:top w:val="nil"/>
              <w:left w:val="nil"/>
              <w:bottom w:val="single" w:sz="8" w:space="0" w:color="808080"/>
              <w:right w:val="single" w:sz="8" w:space="0" w:color="808080"/>
            </w:tcBorders>
            <w:vAlign w:val="center"/>
            <w:hideMark/>
          </w:tcPr>
          <w:p w14:paraId="20EAD6B8" w14:textId="77777777" w:rsidR="00416D67" w:rsidRPr="00416D67" w:rsidRDefault="00416D67" w:rsidP="00416D67">
            <w:pPr>
              <w:jc w:val="right"/>
              <w:rPr>
                <w:b/>
                <w:bCs/>
                <w:color w:val="000000"/>
                <w:sz w:val="16"/>
                <w:szCs w:val="16"/>
              </w:rPr>
            </w:pPr>
            <w:r w:rsidRPr="00416D67">
              <w:rPr>
                <w:b/>
                <w:bCs/>
                <w:color w:val="000000"/>
                <w:sz w:val="16"/>
                <w:szCs w:val="16"/>
              </w:rPr>
              <w:t>118,90%</w:t>
            </w:r>
          </w:p>
        </w:tc>
        <w:tc>
          <w:tcPr>
            <w:tcW w:w="1134" w:type="dxa"/>
            <w:tcBorders>
              <w:top w:val="nil"/>
              <w:left w:val="nil"/>
              <w:bottom w:val="single" w:sz="8" w:space="0" w:color="808080"/>
              <w:right w:val="single" w:sz="8" w:space="0" w:color="808080"/>
            </w:tcBorders>
            <w:vAlign w:val="center"/>
            <w:hideMark/>
          </w:tcPr>
          <w:p w14:paraId="6C3C176D" w14:textId="77777777" w:rsidR="00416D67" w:rsidRPr="00416D67" w:rsidRDefault="00416D67" w:rsidP="00416D67">
            <w:pPr>
              <w:jc w:val="right"/>
              <w:rPr>
                <w:b/>
                <w:bCs/>
                <w:color w:val="000000"/>
                <w:sz w:val="16"/>
                <w:szCs w:val="16"/>
              </w:rPr>
            </w:pPr>
            <w:r w:rsidRPr="00416D67">
              <w:rPr>
                <w:b/>
                <w:bCs/>
                <w:color w:val="000000"/>
                <w:sz w:val="16"/>
                <w:szCs w:val="16"/>
              </w:rPr>
              <w:t>0,00%</w:t>
            </w:r>
          </w:p>
        </w:tc>
      </w:tr>
      <w:tr w:rsidR="00416D67" w:rsidRPr="00416D67" w14:paraId="0C8D74D6" w14:textId="77777777" w:rsidTr="00BB1392">
        <w:trPr>
          <w:trHeight w:val="675"/>
        </w:trPr>
        <w:tc>
          <w:tcPr>
            <w:tcW w:w="680" w:type="dxa"/>
            <w:gridSpan w:val="2"/>
            <w:tcBorders>
              <w:top w:val="nil"/>
              <w:left w:val="single" w:sz="8" w:space="0" w:color="808080"/>
              <w:bottom w:val="single" w:sz="8" w:space="0" w:color="808080"/>
              <w:right w:val="single" w:sz="8" w:space="0" w:color="808080"/>
            </w:tcBorders>
            <w:vAlign w:val="center"/>
            <w:hideMark/>
          </w:tcPr>
          <w:p w14:paraId="4B75F573" w14:textId="77777777" w:rsidR="00416D67" w:rsidRPr="00416D67" w:rsidRDefault="00416D67" w:rsidP="00416D67">
            <w:pPr>
              <w:rPr>
                <w:color w:val="000000"/>
                <w:sz w:val="16"/>
                <w:szCs w:val="16"/>
              </w:rPr>
            </w:pPr>
            <w:r w:rsidRPr="00416D67">
              <w:rPr>
                <w:color w:val="000000"/>
                <w:sz w:val="16"/>
                <w:szCs w:val="16"/>
              </w:rPr>
              <w:t>41</w:t>
            </w:r>
          </w:p>
        </w:tc>
        <w:tc>
          <w:tcPr>
            <w:tcW w:w="2248" w:type="dxa"/>
            <w:tcBorders>
              <w:top w:val="single" w:sz="8" w:space="0" w:color="808080"/>
              <w:left w:val="nil"/>
              <w:bottom w:val="single" w:sz="8" w:space="0" w:color="808080"/>
              <w:right w:val="single" w:sz="8" w:space="0" w:color="808080"/>
            </w:tcBorders>
            <w:vAlign w:val="center"/>
            <w:hideMark/>
          </w:tcPr>
          <w:p w14:paraId="075624C8" w14:textId="77777777" w:rsidR="00416D67" w:rsidRPr="00416D67" w:rsidRDefault="00416D67" w:rsidP="00416D67">
            <w:pPr>
              <w:rPr>
                <w:color w:val="000000"/>
                <w:sz w:val="16"/>
                <w:szCs w:val="16"/>
              </w:rPr>
            </w:pPr>
            <w:r w:rsidRPr="00416D67">
              <w:rPr>
                <w:color w:val="000000"/>
                <w:sz w:val="16"/>
                <w:szCs w:val="16"/>
              </w:rPr>
              <w:t xml:space="preserve">Rashodi za nabavu </w:t>
            </w:r>
            <w:proofErr w:type="spellStart"/>
            <w:r w:rsidRPr="00416D67">
              <w:rPr>
                <w:color w:val="000000"/>
                <w:sz w:val="16"/>
                <w:szCs w:val="16"/>
              </w:rPr>
              <w:t>neproizvedene</w:t>
            </w:r>
            <w:proofErr w:type="spellEnd"/>
            <w:r w:rsidRPr="00416D67">
              <w:rPr>
                <w:color w:val="000000"/>
                <w:sz w:val="16"/>
                <w:szCs w:val="16"/>
              </w:rPr>
              <w:t xml:space="preserve"> dugotrajne imovine</w:t>
            </w:r>
          </w:p>
        </w:tc>
        <w:tc>
          <w:tcPr>
            <w:tcW w:w="1056" w:type="dxa"/>
            <w:tcBorders>
              <w:top w:val="nil"/>
              <w:left w:val="nil"/>
              <w:bottom w:val="single" w:sz="8" w:space="0" w:color="808080"/>
              <w:right w:val="single" w:sz="8" w:space="0" w:color="808080"/>
            </w:tcBorders>
            <w:vAlign w:val="center"/>
            <w:hideMark/>
          </w:tcPr>
          <w:p w14:paraId="0ECDC4A2" w14:textId="77777777" w:rsidR="00416D67" w:rsidRPr="00416D67" w:rsidRDefault="00416D67" w:rsidP="00416D67">
            <w:pPr>
              <w:jc w:val="right"/>
              <w:rPr>
                <w:color w:val="000000"/>
                <w:sz w:val="16"/>
                <w:szCs w:val="16"/>
              </w:rPr>
            </w:pPr>
            <w:r w:rsidRPr="00416D67">
              <w:rPr>
                <w:color w:val="000000"/>
                <w:sz w:val="16"/>
                <w:szCs w:val="16"/>
              </w:rPr>
              <w:t>12.121,28</w:t>
            </w:r>
          </w:p>
        </w:tc>
        <w:tc>
          <w:tcPr>
            <w:tcW w:w="1134" w:type="dxa"/>
            <w:tcBorders>
              <w:top w:val="nil"/>
              <w:left w:val="nil"/>
              <w:bottom w:val="single" w:sz="8" w:space="0" w:color="808080"/>
              <w:right w:val="single" w:sz="8" w:space="0" w:color="808080"/>
            </w:tcBorders>
            <w:vAlign w:val="center"/>
            <w:hideMark/>
          </w:tcPr>
          <w:p w14:paraId="06FD2245" w14:textId="77777777" w:rsidR="00416D67" w:rsidRPr="00416D67" w:rsidRDefault="00416D67" w:rsidP="00416D67">
            <w:pPr>
              <w:jc w:val="right"/>
              <w:rPr>
                <w:color w:val="000000"/>
                <w:sz w:val="16"/>
                <w:szCs w:val="16"/>
              </w:rPr>
            </w:pPr>
            <w:r w:rsidRPr="00416D67">
              <w:rPr>
                <w:color w:val="000000"/>
                <w:sz w:val="16"/>
                <w:szCs w:val="16"/>
              </w:rPr>
              <w:t>153.470,00</w:t>
            </w:r>
          </w:p>
        </w:tc>
        <w:tc>
          <w:tcPr>
            <w:tcW w:w="1134" w:type="dxa"/>
            <w:tcBorders>
              <w:top w:val="nil"/>
              <w:left w:val="nil"/>
              <w:bottom w:val="single" w:sz="8" w:space="0" w:color="808080"/>
              <w:right w:val="single" w:sz="8" w:space="0" w:color="808080"/>
            </w:tcBorders>
            <w:vAlign w:val="center"/>
            <w:hideMark/>
          </w:tcPr>
          <w:p w14:paraId="38185302" w14:textId="77777777" w:rsidR="00416D67" w:rsidRPr="00416D67" w:rsidRDefault="00416D67" w:rsidP="00416D67">
            <w:pPr>
              <w:jc w:val="right"/>
              <w:rPr>
                <w:color w:val="000000"/>
                <w:sz w:val="16"/>
                <w:szCs w:val="16"/>
              </w:rPr>
            </w:pPr>
            <w:r w:rsidRPr="00416D67">
              <w:rPr>
                <w:color w:val="000000"/>
                <w:sz w:val="16"/>
                <w:szCs w:val="16"/>
              </w:rPr>
              <w:t>141.772,96</w:t>
            </w:r>
          </w:p>
        </w:tc>
        <w:tc>
          <w:tcPr>
            <w:tcW w:w="973" w:type="dxa"/>
            <w:tcBorders>
              <w:top w:val="nil"/>
              <w:left w:val="nil"/>
              <w:bottom w:val="single" w:sz="8" w:space="0" w:color="808080"/>
              <w:right w:val="single" w:sz="8" w:space="0" w:color="808080"/>
            </w:tcBorders>
            <w:vAlign w:val="center"/>
            <w:hideMark/>
          </w:tcPr>
          <w:p w14:paraId="1835586F" w14:textId="77777777" w:rsidR="00416D67" w:rsidRPr="00416D67" w:rsidRDefault="00416D67" w:rsidP="00416D67">
            <w:pPr>
              <w:jc w:val="right"/>
              <w:rPr>
                <w:color w:val="000000"/>
                <w:sz w:val="16"/>
                <w:szCs w:val="16"/>
              </w:rPr>
            </w:pPr>
            <w:r w:rsidRPr="00416D67">
              <w:rPr>
                <w:color w:val="000000"/>
                <w:sz w:val="16"/>
                <w:szCs w:val="16"/>
              </w:rPr>
              <w:t>92,38%</w:t>
            </w:r>
          </w:p>
        </w:tc>
        <w:tc>
          <w:tcPr>
            <w:tcW w:w="870" w:type="dxa"/>
            <w:tcBorders>
              <w:top w:val="nil"/>
              <w:left w:val="nil"/>
              <w:bottom w:val="single" w:sz="8" w:space="0" w:color="808080"/>
              <w:right w:val="single" w:sz="8" w:space="0" w:color="808080"/>
            </w:tcBorders>
            <w:vAlign w:val="center"/>
            <w:hideMark/>
          </w:tcPr>
          <w:p w14:paraId="518E5298" w14:textId="77777777" w:rsidR="00416D67" w:rsidRPr="00416D67" w:rsidRDefault="00416D67" w:rsidP="00416D67">
            <w:pPr>
              <w:jc w:val="right"/>
              <w:rPr>
                <w:color w:val="000000"/>
                <w:sz w:val="16"/>
                <w:szCs w:val="16"/>
              </w:rPr>
            </w:pPr>
            <w:r w:rsidRPr="00416D67">
              <w:rPr>
                <w:color w:val="000000"/>
                <w:sz w:val="16"/>
                <w:szCs w:val="16"/>
              </w:rPr>
              <w:t>1169,62%</w:t>
            </w:r>
          </w:p>
        </w:tc>
        <w:tc>
          <w:tcPr>
            <w:tcW w:w="1134" w:type="dxa"/>
            <w:tcBorders>
              <w:top w:val="nil"/>
              <w:left w:val="nil"/>
              <w:bottom w:val="single" w:sz="8" w:space="0" w:color="808080"/>
              <w:right w:val="single" w:sz="8" w:space="0" w:color="808080"/>
            </w:tcBorders>
            <w:vAlign w:val="center"/>
            <w:hideMark/>
          </w:tcPr>
          <w:p w14:paraId="5C037ADE" w14:textId="77777777" w:rsidR="00416D67" w:rsidRPr="00416D67" w:rsidRDefault="00416D67" w:rsidP="00416D67">
            <w:pPr>
              <w:jc w:val="right"/>
              <w:rPr>
                <w:color w:val="000000"/>
                <w:sz w:val="16"/>
                <w:szCs w:val="16"/>
              </w:rPr>
            </w:pPr>
            <w:r w:rsidRPr="00416D67">
              <w:rPr>
                <w:color w:val="000000"/>
                <w:sz w:val="16"/>
                <w:szCs w:val="16"/>
              </w:rPr>
              <w:t>2,15%</w:t>
            </w:r>
          </w:p>
        </w:tc>
      </w:tr>
      <w:tr w:rsidR="00416D67" w:rsidRPr="00416D67" w14:paraId="70F6BCFC" w14:textId="77777777" w:rsidTr="00BB1392">
        <w:trPr>
          <w:trHeight w:val="229"/>
        </w:trPr>
        <w:tc>
          <w:tcPr>
            <w:tcW w:w="680" w:type="dxa"/>
            <w:gridSpan w:val="2"/>
            <w:tcBorders>
              <w:top w:val="nil"/>
              <w:left w:val="single" w:sz="8" w:space="0" w:color="808080"/>
              <w:bottom w:val="single" w:sz="8" w:space="0" w:color="808080"/>
              <w:right w:val="single" w:sz="8" w:space="0" w:color="808080"/>
            </w:tcBorders>
            <w:vAlign w:val="center"/>
            <w:hideMark/>
          </w:tcPr>
          <w:p w14:paraId="29C7F595" w14:textId="77777777" w:rsidR="00416D67" w:rsidRPr="00416D67" w:rsidRDefault="00416D67" w:rsidP="00416D67">
            <w:pPr>
              <w:rPr>
                <w:color w:val="000000"/>
                <w:sz w:val="16"/>
                <w:szCs w:val="16"/>
              </w:rPr>
            </w:pPr>
            <w:r w:rsidRPr="00416D67">
              <w:rPr>
                <w:color w:val="000000"/>
                <w:sz w:val="16"/>
                <w:szCs w:val="16"/>
              </w:rPr>
              <w:t>42</w:t>
            </w:r>
          </w:p>
        </w:tc>
        <w:tc>
          <w:tcPr>
            <w:tcW w:w="2248" w:type="dxa"/>
            <w:tcBorders>
              <w:top w:val="single" w:sz="8" w:space="0" w:color="808080"/>
              <w:left w:val="nil"/>
              <w:bottom w:val="single" w:sz="8" w:space="0" w:color="808080"/>
              <w:right w:val="single" w:sz="8" w:space="0" w:color="808080"/>
            </w:tcBorders>
            <w:vAlign w:val="center"/>
            <w:hideMark/>
          </w:tcPr>
          <w:p w14:paraId="772525AC" w14:textId="77777777" w:rsidR="00416D67" w:rsidRPr="00416D67" w:rsidRDefault="00416D67" w:rsidP="00416D67">
            <w:pPr>
              <w:rPr>
                <w:color w:val="000000"/>
                <w:sz w:val="16"/>
                <w:szCs w:val="16"/>
              </w:rPr>
            </w:pPr>
            <w:r w:rsidRPr="00416D67">
              <w:rPr>
                <w:color w:val="000000"/>
                <w:sz w:val="16"/>
                <w:szCs w:val="16"/>
              </w:rPr>
              <w:t>Rashodi za nabavu proizvedene dugotrajne imovine</w:t>
            </w:r>
          </w:p>
        </w:tc>
        <w:tc>
          <w:tcPr>
            <w:tcW w:w="1056" w:type="dxa"/>
            <w:tcBorders>
              <w:top w:val="nil"/>
              <w:left w:val="nil"/>
              <w:bottom w:val="single" w:sz="8" w:space="0" w:color="808080"/>
              <w:right w:val="single" w:sz="8" w:space="0" w:color="808080"/>
            </w:tcBorders>
            <w:vAlign w:val="center"/>
            <w:hideMark/>
          </w:tcPr>
          <w:p w14:paraId="672341CD" w14:textId="77777777" w:rsidR="00416D67" w:rsidRPr="00416D67" w:rsidRDefault="00416D67" w:rsidP="00416D67">
            <w:pPr>
              <w:jc w:val="right"/>
              <w:rPr>
                <w:color w:val="000000"/>
                <w:sz w:val="16"/>
                <w:szCs w:val="16"/>
              </w:rPr>
            </w:pPr>
            <w:r w:rsidRPr="00416D67">
              <w:rPr>
                <w:color w:val="000000"/>
                <w:sz w:val="16"/>
                <w:szCs w:val="16"/>
              </w:rPr>
              <w:t>1.678.034,35</w:t>
            </w:r>
          </w:p>
        </w:tc>
        <w:tc>
          <w:tcPr>
            <w:tcW w:w="1134" w:type="dxa"/>
            <w:tcBorders>
              <w:top w:val="nil"/>
              <w:left w:val="nil"/>
              <w:bottom w:val="single" w:sz="8" w:space="0" w:color="808080"/>
              <w:right w:val="single" w:sz="8" w:space="0" w:color="808080"/>
            </w:tcBorders>
            <w:vAlign w:val="center"/>
            <w:hideMark/>
          </w:tcPr>
          <w:p w14:paraId="4EA03B4D" w14:textId="77777777" w:rsidR="00416D67" w:rsidRPr="00416D67" w:rsidRDefault="00416D67" w:rsidP="00416D67">
            <w:pPr>
              <w:jc w:val="right"/>
              <w:rPr>
                <w:color w:val="000000"/>
                <w:sz w:val="16"/>
                <w:szCs w:val="16"/>
              </w:rPr>
            </w:pPr>
            <w:r w:rsidRPr="00416D67">
              <w:rPr>
                <w:color w:val="000000"/>
                <w:sz w:val="16"/>
                <w:szCs w:val="16"/>
              </w:rPr>
              <w:t>2.702.841,27</w:t>
            </w:r>
          </w:p>
        </w:tc>
        <w:tc>
          <w:tcPr>
            <w:tcW w:w="1134" w:type="dxa"/>
            <w:tcBorders>
              <w:top w:val="nil"/>
              <w:left w:val="nil"/>
              <w:bottom w:val="single" w:sz="8" w:space="0" w:color="808080"/>
              <w:right w:val="single" w:sz="8" w:space="0" w:color="808080"/>
            </w:tcBorders>
            <w:vAlign w:val="center"/>
            <w:hideMark/>
          </w:tcPr>
          <w:p w14:paraId="740FCD0A" w14:textId="77777777" w:rsidR="00416D67" w:rsidRPr="00416D67" w:rsidRDefault="00416D67" w:rsidP="00416D67">
            <w:pPr>
              <w:jc w:val="right"/>
              <w:rPr>
                <w:color w:val="000000"/>
                <w:sz w:val="16"/>
                <w:szCs w:val="16"/>
              </w:rPr>
            </w:pPr>
            <w:r w:rsidRPr="00416D67">
              <w:rPr>
                <w:color w:val="000000"/>
                <w:sz w:val="16"/>
                <w:szCs w:val="16"/>
              </w:rPr>
              <w:t>1.752.058,67</w:t>
            </w:r>
          </w:p>
        </w:tc>
        <w:tc>
          <w:tcPr>
            <w:tcW w:w="973" w:type="dxa"/>
            <w:tcBorders>
              <w:top w:val="nil"/>
              <w:left w:val="nil"/>
              <w:bottom w:val="single" w:sz="8" w:space="0" w:color="808080"/>
              <w:right w:val="single" w:sz="8" w:space="0" w:color="808080"/>
            </w:tcBorders>
            <w:vAlign w:val="center"/>
            <w:hideMark/>
          </w:tcPr>
          <w:p w14:paraId="1D39F132" w14:textId="77777777" w:rsidR="00416D67" w:rsidRPr="00416D67" w:rsidRDefault="00416D67" w:rsidP="00416D67">
            <w:pPr>
              <w:jc w:val="right"/>
              <w:rPr>
                <w:color w:val="000000"/>
                <w:sz w:val="16"/>
                <w:szCs w:val="16"/>
              </w:rPr>
            </w:pPr>
            <w:r w:rsidRPr="00416D67">
              <w:rPr>
                <w:color w:val="000000"/>
                <w:sz w:val="16"/>
                <w:szCs w:val="16"/>
              </w:rPr>
              <w:t>64,82%</w:t>
            </w:r>
          </w:p>
        </w:tc>
        <w:tc>
          <w:tcPr>
            <w:tcW w:w="870" w:type="dxa"/>
            <w:tcBorders>
              <w:top w:val="nil"/>
              <w:left w:val="nil"/>
              <w:bottom w:val="single" w:sz="8" w:space="0" w:color="808080"/>
              <w:right w:val="single" w:sz="8" w:space="0" w:color="808080"/>
            </w:tcBorders>
            <w:vAlign w:val="center"/>
            <w:hideMark/>
          </w:tcPr>
          <w:p w14:paraId="52E6C8AE" w14:textId="77777777" w:rsidR="00416D67" w:rsidRPr="00416D67" w:rsidRDefault="00416D67" w:rsidP="00416D67">
            <w:pPr>
              <w:jc w:val="right"/>
              <w:rPr>
                <w:color w:val="000000"/>
                <w:sz w:val="16"/>
                <w:szCs w:val="16"/>
              </w:rPr>
            </w:pPr>
            <w:r w:rsidRPr="00416D67">
              <w:rPr>
                <w:color w:val="000000"/>
                <w:sz w:val="16"/>
                <w:szCs w:val="16"/>
              </w:rPr>
              <w:t>104,41%</w:t>
            </w:r>
          </w:p>
        </w:tc>
        <w:tc>
          <w:tcPr>
            <w:tcW w:w="1134" w:type="dxa"/>
            <w:tcBorders>
              <w:top w:val="nil"/>
              <w:left w:val="nil"/>
              <w:bottom w:val="single" w:sz="8" w:space="0" w:color="808080"/>
              <w:right w:val="single" w:sz="8" w:space="0" w:color="808080"/>
            </w:tcBorders>
            <w:vAlign w:val="center"/>
            <w:hideMark/>
          </w:tcPr>
          <w:p w14:paraId="7AAD99EB" w14:textId="77777777" w:rsidR="00416D67" w:rsidRPr="00416D67" w:rsidRDefault="00416D67" w:rsidP="00416D67">
            <w:pPr>
              <w:jc w:val="right"/>
              <w:rPr>
                <w:color w:val="000000"/>
                <w:sz w:val="16"/>
                <w:szCs w:val="16"/>
              </w:rPr>
            </w:pPr>
            <w:r w:rsidRPr="00416D67">
              <w:rPr>
                <w:color w:val="000000"/>
                <w:sz w:val="16"/>
                <w:szCs w:val="16"/>
              </w:rPr>
              <w:t>26,60%</w:t>
            </w:r>
          </w:p>
        </w:tc>
      </w:tr>
      <w:tr w:rsidR="00416D67" w:rsidRPr="00416D67" w14:paraId="1484B008" w14:textId="77777777" w:rsidTr="00BB1392">
        <w:trPr>
          <w:trHeight w:val="97"/>
        </w:trPr>
        <w:tc>
          <w:tcPr>
            <w:tcW w:w="680" w:type="dxa"/>
            <w:gridSpan w:val="2"/>
            <w:tcBorders>
              <w:top w:val="nil"/>
              <w:left w:val="single" w:sz="8" w:space="0" w:color="808080"/>
              <w:bottom w:val="single" w:sz="8" w:space="0" w:color="808080"/>
              <w:right w:val="single" w:sz="8" w:space="0" w:color="808080"/>
            </w:tcBorders>
            <w:vAlign w:val="center"/>
            <w:hideMark/>
          </w:tcPr>
          <w:p w14:paraId="44BD100D" w14:textId="77777777" w:rsidR="00416D67" w:rsidRPr="00416D67" w:rsidRDefault="00416D67" w:rsidP="00416D67">
            <w:pPr>
              <w:rPr>
                <w:color w:val="000000"/>
                <w:sz w:val="16"/>
                <w:szCs w:val="16"/>
              </w:rPr>
            </w:pPr>
            <w:r w:rsidRPr="00416D67">
              <w:rPr>
                <w:color w:val="000000"/>
                <w:sz w:val="16"/>
                <w:szCs w:val="16"/>
              </w:rPr>
              <w:t>45</w:t>
            </w:r>
          </w:p>
        </w:tc>
        <w:tc>
          <w:tcPr>
            <w:tcW w:w="2248" w:type="dxa"/>
            <w:tcBorders>
              <w:top w:val="single" w:sz="8" w:space="0" w:color="808080"/>
              <w:left w:val="nil"/>
              <w:bottom w:val="single" w:sz="8" w:space="0" w:color="808080"/>
              <w:right w:val="single" w:sz="8" w:space="0" w:color="808080"/>
            </w:tcBorders>
            <w:vAlign w:val="center"/>
            <w:hideMark/>
          </w:tcPr>
          <w:p w14:paraId="241D89FB" w14:textId="77777777" w:rsidR="00416D67" w:rsidRPr="00416D67" w:rsidRDefault="00416D67" w:rsidP="00416D67">
            <w:pPr>
              <w:rPr>
                <w:color w:val="000000"/>
                <w:sz w:val="16"/>
                <w:szCs w:val="16"/>
              </w:rPr>
            </w:pPr>
            <w:r w:rsidRPr="00416D67">
              <w:rPr>
                <w:color w:val="000000"/>
                <w:sz w:val="16"/>
                <w:szCs w:val="16"/>
              </w:rPr>
              <w:t>Rashodi za dodatna ulaganja na nefinancijskoj imovini</w:t>
            </w:r>
          </w:p>
        </w:tc>
        <w:tc>
          <w:tcPr>
            <w:tcW w:w="1056" w:type="dxa"/>
            <w:tcBorders>
              <w:top w:val="nil"/>
              <w:left w:val="nil"/>
              <w:bottom w:val="single" w:sz="8" w:space="0" w:color="808080"/>
              <w:right w:val="single" w:sz="8" w:space="0" w:color="808080"/>
            </w:tcBorders>
            <w:vAlign w:val="center"/>
            <w:hideMark/>
          </w:tcPr>
          <w:p w14:paraId="1C43320F" w14:textId="77777777" w:rsidR="00416D67" w:rsidRPr="00416D67" w:rsidRDefault="00416D67" w:rsidP="00416D67">
            <w:pPr>
              <w:jc w:val="right"/>
              <w:rPr>
                <w:color w:val="000000"/>
                <w:sz w:val="16"/>
                <w:szCs w:val="16"/>
              </w:rPr>
            </w:pPr>
            <w:r w:rsidRPr="00416D67">
              <w:rPr>
                <w:color w:val="000000"/>
                <w:sz w:val="16"/>
                <w:szCs w:val="16"/>
              </w:rPr>
              <w:t>136.910,66</w:t>
            </w:r>
          </w:p>
        </w:tc>
        <w:tc>
          <w:tcPr>
            <w:tcW w:w="1134" w:type="dxa"/>
            <w:tcBorders>
              <w:top w:val="nil"/>
              <w:left w:val="nil"/>
              <w:bottom w:val="single" w:sz="8" w:space="0" w:color="808080"/>
              <w:right w:val="single" w:sz="8" w:space="0" w:color="808080"/>
            </w:tcBorders>
            <w:vAlign w:val="center"/>
            <w:hideMark/>
          </w:tcPr>
          <w:p w14:paraId="58E4350D" w14:textId="77777777" w:rsidR="00416D67" w:rsidRPr="00416D67" w:rsidRDefault="00416D67" w:rsidP="00416D67">
            <w:pPr>
              <w:jc w:val="right"/>
              <w:rPr>
                <w:color w:val="000000"/>
                <w:sz w:val="16"/>
                <w:szCs w:val="16"/>
              </w:rPr>
            </w:pPr>
            <w:r w:rsidRPr="00416D67">
              <w:rPr>
                <w:color w:val="000000"/>
                <w:sz w:val="16"/>
                <w:szCs w:val="16"/>
              </w:rPr>
              <w:t>254.843,50</w:t>
            </w:r>
          </w:p>
        </w:tc>
        <w:tc>
          <w:tcPr>
            <w:tcW w:w="1134" w:type="dxa"/>
            <w:tcBorders>
              <w:top w:val="nil"/>
              <w:left w:val="nil"/>
              <w:bottom w:val="single" w:sz="8" w:space="0" w:color="808080"/>
              <w:right w:val="single" w:sz="8" w:space="0" w:color="808080"/>
            </w:tcBorders>
            <w:vAlign w:val="center"/>
            <w:hideMark/>
          </w:tcPr>
          <w:p w14:paraId="45D41820" w14:textId="77777777" w:rsidR="00416D67" w:rsidRPr="00416D67" w:rsidRDefault="00416D67" w:rsidP="00416D67">
            <w:pPr>
              <w:jc w:val="right"/>
              <w:rPr>
                <w:color w:val="000000"/>
                <w:sz w:val="16"/>
                <w:szCs w:val="16"/>
              </w:rPr>
            </w:pPr>
            <w:r w:rsidRPr="00416D67">
              <w:rPr>
                <w:color w:val="000000"/>
                <w:sz w:val="16"/>
                <w:szCs w:val="16"/>
              </w:rPr>
              <w:t>278.504,86</w:t>
            </w:r>
          </w:p>
        </w:tc>
        <w:tc>
          <w:tcPr>
            <w:tcW w:w="973" w:type="dxa"/>
            <w:tcBorders>
              <w:top w:val="nil"/>
              <w:left w:val="nil"/>
              <w:bottom w:val="single" w:sz="8" w:space="0" w:color="808080"/>
              <w:right w:val="single" w:sz="8" w:space="0" w:color="808080"/>
            </w:tcBorders>
            <w:vAlign w:val="center"/>
            <w:hideMark/>
          </w:tcPr>
          <w:p w14:paraId="74AE6CBF" w14:textId="77777777" w:rsidR="00416D67" w:rsidRPr="00416D67" w:rsidRDefault="00416D67" w:rsidP="00416D67">
            <w:pPr>
              <w:jc w:val="right"/>
              <w:rPr>
                <w:color w:val="000000"/>
                <w:sz w:val="16"/>
                <w:szCs w:val="16"/>
              </w:rPr>
            </w:pPr>
            <w:r w:rsidRPr="00416D67">
              <w:rPr>
                <w:color w:val="000000"/>
                <w:sz w:val="16"/>
                <w:szCs w:val="16"/>
              </w:rPr>
              <w:t>109,28%</w:t>
            </w:r>
          </w:p>
        </w:tc>
        <w:tc>
          <w:tcPr>
            <w:tcW w:w="870" w:type="dxa"/>
            <w:tcBorders>
              <w:top w:val="nil"/>
              <w:left w:val="nil"/>
              <w:bottom w:val="single" w:sz="8" w:space="0" w:color="808080"/>
              <w:right w:val="single" w:sz="8" w:space="0" w:color="808080"/>
            </w:tcBorders>
            <w:vAlign w:val="center"/>
            <w:hideMark/>
          </w:tcPr>
          <w:p w14:paraId="628ED585" w14:textId="77777777" w:rsidR="00416D67" w:rsidRPr="00416D67" w:rsidRDefault="00416D67" w:rsidP="00416D67">
            <w:pPr>
              <w:jc w:val="right"/>
              <w:rPr>
                <w:color w:val="000000"/>
                <w:sz w:val="16"/>
                <w:szCs w:val="16"/>
              </w:rPr>
            </w:pPr>
            <w:r w:rsidRPr="00416D67">
              <w:rPr>
                <w:color w:val="000000"/>
                <w:sz w:val="16"/>
                <w:szCs w:val="16"/>
              </w:rPr>
              <w:t>203,42%</w:t>
            </w:r>
          </w:p>
        </w:tc>
        <w:tc>
          <w:tcPr>
            <w:tcW w:w="1134" w:type="dxa"/>
            <w:tcBorders>
              <w:top w:val="nil"/>
              <w:left w:val="nil"/>
              <w:bottom w:val="single" w:sz="8" w:space="0" w:color="808080"/>
              <w:right w:val="single" w:sz="8" w:space="0" w:color="808080"/>
            </w:tcBorders>
            <w:vAlign w:val="center"/>
            <w:hideMark/>
          </w:tcPr>
          <w:p w14:paraId="1CA22C28" w14:textId="77777777" w:rsidR="00416D67" w:rsidRPr="00416D67" w:rsidRDefault="00416D67" w:rsidP="00416D67">
            <w:pPr>
              <w:jc w:val="right"/>
              <w:rPr>
                <w:color w:val="000000"/>
                <w:sz w:val="16"/>
                <w:szCs w:val="16"/>
              </w:rPr>
            </w:pPr>
            <w:r w:rsidRPr="00416D67">
              <w:rPr>
                <w:color w:val="000000"/>
                <w:sz w:val="16"/>
                <w:szCs w:val="16"/>
              </w:rPr>
              <w:t>4,23%</w:t>
            </w:r>
          </w:p>
        </w:tc>
      </w:tr>
      <w:tr w:rsidR="00416D67" w:rsidRPr="00416D67" w14:paraId="2FFFEC5C" w14:textId="77777777" w:rsidTr="00BB1392">
        <w:trPr>
          <w:trHeight w:val="580"/>
        </w:trPr>
        <w:tc>
          <w:tcPr>
            <w:tcW w:w="680" w:type="dxa"/>
            <w:gridSpan w:val="2"/>
            <w:tcBorders>
              <w:top w:val="nil"/>
              <w:left w:val="single" w:sz="8" w:space="0" w:color="808080"/>
              <w:bottom w:val="single" w:sz="8" w:space="0" w:color="808080"/>
              <w:right w:val="single" w:sz="8" w:space="0" w:color="808080"/>
            </w:tcBorders>
            <w:vAlign w:val="center"/>
            <w:hideMark/>
          </w:tcPr>
          <w:p w14:paraId="4161F0E8" w14:textId="77777777" w:rsidR="00416D67" w:rsidRPr="00416D67" w:rsidRDefault="00416D67" w:rsidP="00416D67">
            <w:pPr>
              <w:rPr>
                <w:b/>
                <w:bCs/>
                <w:color w:val="000000"/>
                <w:sz w:val="16"/>
                <w:szCs w:val="16"/>
              </w:rPr>
            </w:pPr>
            <w:r w:rsidRPr="00416D67">
              <w:rPr>
                <w:b/>
                <w:bCs/>
                <w:color w:val="000000"/>
                <w:sz w:val="16"/>
                <w:szCs w:val="16"/>
              </w:rPr>
              <w:t>5</w:t>
            </w:r>
          </w:p>
        </w:tc>
        <w:tc>
          <w:tcPr>
            <w:tcW w:w="2248" w:type="dxa"/>
            <w:tcBorders>
              <w:top w:val="single" w:sz="8" w:space="0" w:color="808080"/>
              <w:left w:val="nil"/>
              <w:bottom w:val="single" w:sz="8" w:space="0" w:color="808080"/>
              <w:right w:val="single" w:sz="8" w:space="0" w:color="808080"/>
            </w:tcBorders>
            <w:vAlign w:val="center"/>
            <w:hideMark/>
          </w:tcPr>
          <w:p w14:paraId="6563D17D" w14:textId="77777777" w:rsidR="00416D67" w:rsidRPr="00416D67" w:rsidRDefault="00416D67" w:rsidP="00416D67">
            <w:pPr>
              <w:rPr>
                <w:b/>
                <w:bCs/>
                <w:color w:val="000000"/>
                <w:sz w:val="16"/>
                <w:szCs w:val="16"/>
              </w:rPr>
            </w:pPr>
            <w:r w:rsidRPr="00416D67">
              <w:rPr>
                <w:b/>
                <w:bCs/>
                <w:color w:val="000000"/>
                <w:sz w:val="16"/>
                <w:szCs w:val="16"/>
              </w:rPr>
              <w:t>Izdaci za financijsku imovinu i otplate zajmova (2025. udio ostvarenja  3,45 %)</w:t>
            </w:r>
          </w:p>
        </w:tc>
        <w:tc>
          <w:tcPr>
            <w:tcW w:w="1056" w:type="dxa"/>
            <w:tcBorders>
              <w:top w:val="nil"/>
              <w:left w:val="nil"/>
              <w:bottom w:val="single" w:sz="8" w:space="0" w:color="808080"/>
              <w:right w:val="single" w:sz="8" w:space="0" w:color="808080"/>
            </w:tcBorders>
            <w:vAlign w:val="center"/>
            <w:hideMark/>
          </w:tcPr>
          <w:p w14:paraId="4168A71D" w14:textId="77777777" w:rsidR="00416D67" w:rsidRPr="00416D67" w:rsidRDefault="00416D67" w:rsidP="00416D67">
            <w:pPr>
              <w:jc w:val="right"/>
              <w:rPr>
                <w:b/>
                <w:bCs/>
                <w:color w:val="000000"/>
                <w:sz w:val="16"/>
                <w:szCs w:val="16"/>
              </w:rPr>
            </w:pPr>
            <w:r w:rsidRPr="00416D67">
              <w:rPr>
                <w:b/>
                <w:bCs/>
                <w:color w:val="000000"/>
                <w:sz w:val="16"/>
                <w:szCs w:val="16"/>
              </w:rPr>
              <w:t>71.429,76</w:t>
            </w:r>
          </w:p>
        </w:tc>
        <w:tc>
          <w:tcPr>
            <w:tcW w:w="1134" w:type="dxa"/>
            <w:tcBorders>
              <w:top w:val="nil"/>
              <w:left w:val="nil"/>
              <w:bottom w:val="single" w:sz="8" w:space="0" w:color="808080"/>
              <w:right w:val="single" w:sz="8" w:space="0" w:color="808080"/>
            </w:tcBorders>
            <w:vAlign w:val="center"/>
            <w:hideMark/>
          </w:tcPr>
          <w:p w14:paraId="66DFE34B" w14:textId="77777777" w:rsidR="00416D67" w:rsidRPr="00416D67" w:rsidRDefault="00416D67" w:rsidP="00416D67">
            <w:pPr>
              <w:jc w:val="right"/>
              <w:rPr>
                <w:b/>
                <w:bCs/>
                <w:color w:val="000000"/>
                <w:sz w:val="16"/>
                <w:szCs w:val="16"/>
              </w:rPr>
            </w:pPr>
            <w:r w:rsidRPr="00416D67">
              <w:rPr>
                <w:b/>
                <w:bCs/>
                <w:color w:val="000000"/>
                <w:sz w:val="16"/>
                <w:szCs w:val="16"/>
              </w:rPr>
              <w:t>267.203,76</w:t>
            </w:r>
          </w:p>
        </w:tc>
        <w:tc>
          <w:tcPr>
            <w:tcW w:w="1134" w:type="dxa"/>
            <w:tcBorders>
              <w:top w:val="nil"/>
              <w:left w:val="nil"/>
              <w:bottom w:val="single" w:sz="8" w:space="0" w:color="808080"/>
              <w:right w:val="single" w:sz="8" w:space="0" w:color="808080"/>
            </w:tcBorders>
            <w:vAlign w:val="center"/>
            <w:hideMark/>
          </w:tcPr>
          <w:p w14:paraId="361F9355" w14:textId="77777777" w:rsidR="00416D67" w:rsidRPr="00416D67" w:rsidRDefault="00416D67" w:rsidP="00416D67">
            <w:pPr>
              <w:jc w:val="right"/>
              <w:rPr>
                <w:b/>
                <w:bCs/>
                <w:color w:val="000000"/>
                <w:sz w:val="16"/>
                <w:szCs w:val="16"/>
              </w:rPr>
            </w:pPr>
            <w:r w:rsidRPr="00416D67">
              <w:rPr>
                <w:b/>
                <w:bCs/>
                <w:color w:val="000000"/>
                <w:sz w:val="16"/>
                <w:szCs w:val="16"/>
              </w:rPr>
              <w:t>226.999,71</w:t>
            </w:r>
          </w:p>
        </w:tc>
        <w:tc>
          <w:tcPr>
            <w:tcW w:w="973" w:type="dxa"/>
            <w:tcBorders>
              <w:top w:val="nil"/>
              <w:left w:val="nil"/>
              <w:bottom w:val="single" w:sz="8" w:space="0" w:color="808080"/>
              <w:right w:val="single" w:sz="8" w:space="0" w:color="808080"/>
            </w:tcBorders>
            <w:vAlign w:val="center"/>
            <w:hideMark/>
          </w:tcPr>
          <w:p w14:paraId="7463EA9C" w14:textId="77777777" w:rsidR="00416D67" w:rsidRPr="00416D67" w:rsidRDefault="00416D67" w:rsidP="00416D67">
            <w:pPr>
              <w:jc w:val="right"/>
              <w:rPr>
                <w:b/>
                <w:bCs/>
                <w:color w:val="000000"/>
                <w:sz w:val="16"/>
                <w:szCs w:val="16"/>
              </w:rPr>
            </w:pPr>
            <w:r w:rsidRPr="00416D67">
              <w:rPr>
                <w:b/>
                <w:bCs/>
                <w:color w:val="000000"/>
                <w:sz w:val="16"/>
                <w:szCs w:val="16"/>
              </w:rPr>
              <w:t>84,95%</w:t>
            </w:r>
          </w:p>
        </w:tc>
        <w:tc>
          <w:tcPr>
            <w:tcW w:w="870" w:type="dxa"/>
            <w:tcBorders>
              <w:top w:val="nil"/>
              <w:left w:val="nil"/>
              <w:bottom w:val="single" w:sz="8" w:space="0" w:color="808080"/>
              <w:right w:val="single" w:sz="8" w:space="0" w:color="808080"/>
            </w:tcBorders>
            <w:vAlign w:val="center"/>
            <w:hideMark/>
          </w:tcPr>
          <w:p w14:paraId="382C4E7F" w14:textId="77777777" w:rsidR="00416D67" w:rsidRPr="00416D67" w:rsidRDefault="00416D67" w:rsidP="00416D67">
            <w:pPr>
              <w:jc w:val="right"/>
              <w:rPr>
                <w:b/>
                <w:bCs/>
                <w:color w:val="000000"/>
                <w:sz w:val="16"/>
                <w:szCs w:val="16"/>
              </w:rPr>
            </w:pPr>
            <w:r w:rsidRPr="00416D67">
              <w:rPr>
                <w:b/>
                <w:bCs/>
                <w:color w:val="000000"/>
                <w:sz w:val="16"/>
                <w:szCs w:val="16"/>
              </w:rPr>
              <w:t>317,79%</w:t>
            </w:r>
          </w:p>
        </w:tc>
        <w:tc>
          <w:tcPr>
            <w:tcW w:w="1134" w:type="dxa"/>
            <w:tcBorders>
              <w:top w:val="nil"/>
              <w:left w:val="nil"/>
              <w:bottom w:val="single" w:sz="8" w:space="0" w:color="808080"/>
              <w:right w:val="single" w:sz="8" w:space="0" w:color="808080"/>
            </w:tcBorders>
            <w:vAlign w:val="center"/>
            <w:hideMark/>
          </w:tcPr>
          <w:p w14:paraId="16CC204D" w14:textId="77777777" w:rsidR="00416D67" w:rsidRPr="00416D67" w:rsidRDefault="00416D67" w:rsidP="00416D67">
            <w:pPr>
              <w:jc w:val="right"/>
              <w:rPr>
                <w:b/>
                <w:bCs/>
                <w:color w:val="000000"/>
                <w:sz w:val="16"/>
                <w:szCs w:val="16"/>
              </w:rPr>
            </w:pPr>
            <w:r w:rsidRPr="00416D67">
              <w:rPr>
                <w:b/>
                <w:bCs/>
                <w:color w:val="000000"/>
                <w:sz w:val="16"/>
                <w:szCs w:val="16"/>
              </w:rPr>
              <w:t>0,00%</w:t>
            </w:r>
          </w:p>
        </w:tc>
      </w:tr>
      <w:tr w:rsidR="00416D67" w:rsidRPr="00416D67" w14:paraId="1E96B070" w14:textId="77777777" w:rsidTr="00BB1392">
        <w:trPr>
          <w:trHeight w:val="450"/>
        </w:trPr>
        <w:tc>
          <w:tcPr>
            <w:tcW w:w="680" w:type="dxa"/>
            <w:gridSpan w:val="2"/>
            <w:tcBorders>
              <w:top w:val="nil"/>
              <w:left w:val="single" w:sz="8" w:space="0" w:color="808080"/>
              <w:bottom w:val="single" w:sz="8" w:space="0" w:color="808080"/>
              <w:right w:val="single" w:sz="8" w:space="0" w:color="808080"/>
            </w:tcBorders>
            <w:vAlign w:val="center"/>
            <w:hideMark/>
          </w:tcPr>
          <w:p w14:paraId="081B5CB8" w14:textId="77777777" w:rsidR="00416D67" w:rsidRPr="00416D67" w:rsidRDefault="00416D67" w:rsidP="00416D67">
            <w:pPr>
              <w:rPr>
                <w:color w:val="000000"/>
                <w:sz w:val="16"/>
                <w:szCs w:val="16"/>
              </w:rPr>
            </w:pPr>
            <w:r w:rsidRPr="00416D67">
              <w:rPr>
                <w:color w:val="000000"/>
                <w:sz w:val="16"/>
                <w:szCs w:val="16"/>
              </w:rPr>
              <w:t>51</w:t>
            </w:r>
          </w:p>
        </w:tc>
        <w:tc>
          <w:tcPr>
            <w:tcW w:w="2248" w:type="dxa"/>
            <w:tcBorders>
              <w:top w:val="single" w:sz="8" w:space="0" w:color="808080"/>
              <w:left w:val="nil"/>
              <w:bottom w:val="single" w:sz="8" w:space="0" w:color="808080"/>
              <w:right w:val="single" w:sz="8" w:space="0" w:color="808080"/>
            </w:tcBorders>
            <w:vAlign w:val="center"/>
            <w:hideMark/>
          </w:tcPr>
          <w:p w14:paraId="1CC0A369" w14:textId="77777777" w:rsidR="00416D67" w:rsidRPr="00416D67" w:rsidRDefault="00416D67" w:rsidP="00416D67">
            <w:pPr>
              <w:rPr>
                <w:color w:val="000000"/>
                <w:sz w:val="16"/>
                <w:szCs w:val="16"/>
              </w:rPr>
            </w:pPr>
            <w:r w:rsidRPr="00416D67">
              <w:rPr>
                <w:color w:val="000000"/>
                <w:sz w:val="16"/>
                <w:szCs w:val="16"/>
              </w:rPr>
              <w:t>Izdaci za dane zajmove i depozite</w:t>
            </w:r>
          </w:p>
        </w:tc>
        <w:tc>
          <w:tcPr>
            <w:tcW w:w="1056" w:type="dxa"/>
            <w:tcBorders>
              <w:top w:val="nil"/>
              <w:left w:val="nil"/>
              <w:bottom w:val="single" w:sz="8" w:space="0" w:color="808080"/>
              <w:right w:val="single" w:sz="8" w:space="0" w:color="808080"/>
            </w:tcBorders>
            <w:vAlign w:val="center"/>
            <w:hideMark/>
          </w:tcPr>
          <w:p w14:paraId="2549BF33" w14:textId="77777777" w:rsidR="00416D67" w:rsidRPr="00416D67" w:rsidRDefault="00416D67" w:rsidP="00416D67">
            <w:pPr>
              <w:jc w:val="right"/>
              <w:rPr>
                <w:color w:val="000000"/>
                <w:sz w:val="16"/>
                <w:szCs w:val="16"/>
              </w:rPr>
            </w:pPr>
            <w:r w:rsidRPr="00416D67">
              <w:rPr>
                <w:color w:val="000000"/>
                <w:sz w:val="16"/>
                <w:szCs w:val="16"/>
              </w:rPr>
              <w:t>0,00</w:t>
            </w:r>
          </w:p>
        </w:tc>
        <w:tc>
          <w:tcPr>
            <w:tcW w:w="1134" w:type="dxa"/>
            <w:tcBorders>
              <w:top w:val="nil"/>
              <w:left w:val="nil"/>
              <w:bottom w:val="single" w:sz="8" w:space="0" w:color="808080"/>
              <w:right w:val="single" w:sz="8" w:space="0" w:color="808080"/>
            </w:tcBorders>
            <w:vAlign w:val="center"/>
            <w:hideMark/>
          </w:tcPr>
          <w:p w14:paraId="1938C904" w14:textId="77777777" w:rsidR="00416D67" w:rsidRPr="00416D67" w:rsidRDefault="00416D67" w:rsidP="00416D67">
            <w:pPr>
              <w:jc w:val="right"/>
              <w:rPr>
                <w:color w:val="000000"/>
                <w:sz w:val="16"/>
                <w:szCs w:val="16"/>
              </w:rPr>
            </w:pPr>
            <w:r w:rsidRPr="00416D67">
              <w:rPr>
                <w:color w:val="000000"/>
                <w:sz w:val="16"/>
                <w:szCs w:val="16"/>
              </w:rPr>
              <w:t>86.500,00</w:t>
            </w:r>
          </w:p>
        </w:tc>
        <w:tc>
          <w:tcPr>
            <w:tcW w:w="1134" w:type="dxa"/>
            <w:tcBorders>
              <w:top w:val="nil"/>
              <w:left w:val="nil"/>
              <w:bottom w:val="single" w:sz="8" w:space="0" w:color="808080"/>
              <w:right w:val="single" w:sz="8" w:space="0" w:color="808080"/>
            </w:tcBorders>
            <w:vAlign w:val="center"/>
            <w:hideMark/>
          </w:tcPr>
          <w:p w14:paraId="32846EDA" w14:textId="77777777" w:rsidR="00416D67" w:rsidRPr="00416D67" w:rsidRDefault="00416D67" w:rsidP="00416D67">
            <w:pPr>
              <w:jc w:val="right"/>
              <w:rPr>
                <w:color w:val="000000"/>
                <w:sz w:val="16"/>
                <w:szCs w:val="16"/>
              </w:rPr>
            </w:pPr>
            <w:r w:rsidRPr="00416D67">
              <w:rPr>
                <w:color w:val="000000"/>
                <w:sz w:val="16"/>
                <w:szCs w:val="16"/>
              </w:rPr>
              <w:t>46.295,95</w:t>
            </w:r>
          </w:p>
        </w:tc>
        <w:tc>
          <w:tcPr>
            <w:tcW w:w="973" w:type="dxa"/>
            <w:tcBorders>
              <w:top w:val="nil"/>
              <w:left w:val="nil"/>
              <w:bottom w:val="single" w:sz="8" w:space="0" w:color="808080"/>
              <w:right w:val="single" w:sz="8" w:space="0" w:color="808080"/>
            </w:tcBorders>
            <w:vAlign w:val="center"/>
            <w:hideMark/>
          </w:tcPr>
          <w:p w14:paraId="1D9D7737" w14:textId="77777777" w:rsidR="00416D67" w:rsidRPr="00416D67" w:rsidRDefault="00416D67" w:rsidP="00416D67">
            <w:pPr>
              <w:jc w:val="right"/>
              <w:rPr>
                <w:color w:val="000000"/>
                <w:sz w:val="16"/>
                <w:szCs w:val="16"/>
              </w:rPr>
            </w:pPr>
            <w:r w:rsidRPr="00416D67">
              <w:rPr>
                <w:color w:val="000000"/>
                <w:sz w:val="16"/>
                <w:szCs w:val="16"/>
              </w:rPr>
              <w:t>53,52%</w:t>
            </w:r>
          </w:p>
        </w:tc>
        <w:tc>
          <w:tcPr>
            <w:tcW w:w="870" w:type="dxa"/>
            <w:tcBorders>
              <w:top w:val="nil"/>
              <w:left w:val="nil"/>
              <w:bottom w:val="single" w:sz="8" w:space="0" w:color="808080"/>
              <w:right w:val="single" w:sz="8" w:space="0" w:color="808080"/>
            </w:tcBorders>
            <w:vAlign w:val="center"/>
            <w:hideMark/>
          </w:tcPr>
          <w:p w14:paraId="3CF3408A" w14:textId="77777777" w:rsidR="00416D67" w:rsidRPr="00416D67" w:rsidRDefault="00416D67" w:rsidP="00416D67">
            <w:pPr>
              <w:jc w:val="right"/>
              <w:rPr>
                <w:color w:val="000000"/>
                <w:sz w:val="16"/>
                <w:szCs w:val="16"/>
              </w:rPr>
            </w:pPr>
            <w:r w:rsidRPr="00416D67">
              <w:rPr>
                <w:color w:val="000000"/>
                <w:sz w:val="16"/>
                <w:szCs w:val="16"/>
              </w:rPr>
              <w:t> </w:t>
            </w:r>
          </w:p>
        </w:tc>
        <w:tc>
          <w:tcPr>
            <w:tcW w:w="1134" w:type="dxa"/>
            <w:tcBorders>
              <w:top w:val="nil"/>
              <w:left w:val="nil"/>
              <w:bottom w:val="single" w:sz="8" w:space="0" w:color="808080"/>
              <w:right w:val="single" w:sz="8" w:space="0" w:color="808080"/>
            </w:tcBorders>
            <w:vAlign w:val="center"/>
            <w:hideMark/>
          </w:tcPr>
          <w:p w14:paraId="5AFFB384" w14:textId="77777777" w:rsidR="00416D67" w:rsidRPr="00416D67" w:rsidRDefault="00416D67" w:rsidP="00416D67">
            <w:pPr>
              <w:jc w:val="right"/>
              <w:rPr>
                <w:color w:val="000000"/>
                <w:sz w:val="16"/>
                <w:szCs w:val="16"/>
              </w:rPr>
            </w:pPr>
            <w:r w:rsidRPr="00416D67">
              <w:rPr>
                <w:color w:val="000000"/>
                <w:sz w:val="16"/>
                <w:szCs w:val="16"/>
              </w:rPr>
              <w:t>0,70%</w:t>
            </w:r>
          </w:p>
        </w:tc>
      </w:tr>
      <w:tr w:rsidR="00416D67" w:rsidRPr="00416D67" w14:paraId="66898FDC" w14:textId="77777777" w:rsidTr="00BB1392">
        <w:trPr>
          <w:trHeight w:val="245"/>
        </w:trPr>
        <w:tc>
          <w:tcPr>
            <w:tcW w:w="680" w:type="dxa"/>
            <w:gridSpan w:val="2"/>
            <w:tcBorders>
              <w:top w:val="nil"/>
              <w:left w:val="single" w:sz="8" w:space="0" w:color="808080"/>
              <w:bottom w:val="single" w:sz="8" w:space="0" w:color="808080"/>
              <w:right w:val="single" w:sz="8" w:space="0" w:color="808080"/>
            </w:tcBorders>
            <w:vAlign w:val="center"/>
            <w:hideMark/>
          </w:tcPr>
          <w:p w14:paraId="15FB783B" w14:textId="77777777" w:rsidR="00416D67" w:rsidRPr="00416D67" w:rsidRDefault="00416D67" w:rsidP="00416D67">
            <w:pPr>
              <w:rPr>
                <w:color w:val="000000"/>
                <w:sz w:val="16"/>
                <w:szCs w:val="16"/>
              </w:rPr>
            </w:pPr>
            <w:r w:rsidRPr="00416D67">
              <w:rPr>
                <w:color w:val="000000"/>
                <w:sz w:val="16"/>
                <w:szCs w:val="16"/>
              </w:rPr>
              <w:t>53</w:t>
            </w:r>
          </w:p>
        </w:tc>
        <w:tc>
          <w:tcPr>
            <w:tcW w:w="2248" w:type="dxa"/>
            <w:tcBorders>
              <w:top w:val="single" w:sz="8" w:space="0" w:color="808080"/>
              <w:left w:val="nil"/>
              <w:bottom w:val="single" w:sz="8" w:space="0" w:color="808080"/>
              <w:right w:val="single" w:sz="8" w:space="0" w:color="808080"/>
            </w:tcBorders>
            <w:vAlign w:val="center"/>
            <w:hideMark/>
          </w:tcPr>
          <w:p w14:paraId="6B40241B" w14:textId="77777777" w:rsidR="00416D67" w:rsidRPr="00416D67" w:rsidRDefault="00416D67" w:rsidP="00416D67">
            <w:pPr>
              <w:rPr>
                <w:color w:val="000000"/>
                <w:sz w:val="16"/>
                <w:szCs w:val="16"/>
              </w:rPr>
            </w:pPr>
            <w:r w:rsidRPr="00416D67">
              <w:rPr>
                <w:color w:val="000000"/>
                <w:sz w:val="16"/>
                <w:szCs w:val="16"/>
              </w:rPr>
              <w:t>Izdaci za ulaganja u financijske instrumente dionice i udjele u glavnici</w:t>
            </w:r>
          </w:p>
        </w:tc>
        <w:tc>
          <w:tcPr>
            <w:tcW w:w="1056" w:type="dxa"/>
            <w:tcBorders>
              <w:top w:val="nil"/>
              <w:left w:val="nil"/>
              <w:bottom w:val="single" w:sz="8" w:space="0" w:color="808080"/>
              <w:right w:val="single" w:sz="8" w:space="0" w:color="808080"/>
            </w:tcBorders>
            <w:vAlign w:val="center"/>
            <w:hideMark/>
          </w:tcPr>
          <w:p w14:paraId="16B61440" w14:textId="77777777" w:rsidR="00416D67" w:rsidRPr="00416D67" w:rsidRDefault="00416D67" w:rsidP="00416D67">
            <w:pPr>
              <w:jc w:val="right"/>
              <w:rPr>
                <w:color w:val="000000"/>
                <w:sz w:val="16"/>
                <w:szCs w:val="16"/>
              </w:rPr>
            </w:pPr>
            <w:r w:rsidRPr="00416D67">
              <w:rPr>
                <w:color w:val="000000"/>
                <w:sz w:val="16"/>
                <w:szCs w:val="16"/>
              </w:rPr>
              <w:t>0,00</w:t>
            </w:r>
          </w:p>
        </w:tc>
        <w:tc>
          <w:tcPr>
            <w:tcW w:w="1134" w:type="dxa"/>
            <w:tcBorders>
              <w:top w:val="nil"/>
              <w:left w:val="nil"/>
              <w:bottom w:val="single" w:sz="8" w:space="0" w:color="808080"/>
              <w:right w:val="single" w:sz="8" w:space="0" w:color="808080"/>
            </w:tcBorders>
            <w:vAlign w:val="center"/>
            <w:hideMark/>
          </w:tcPr>
          <w:p w14:paraId="62339937" w14:textId="77777777" w:rsidR="00416D67" w:rsidRPr="00416D67" w:rsidRDefault="00416D67" w:rsidP="00416D67">
            <w:pPr>
              <w:jc w:val="right"/>
              <w:rPr>
                <w:color w:val="000000"/>
                <w:sz w:val="16"/>
                <w:szCs w:val="16"/>
              </w:rPr>
            </w:pPr>
            <w:r w:rsidRPr="00416D67">
              <w:rPr>
                <w:color w:val="000000"/>
                <w:sz w:val="16"/>
                <w:szCs w:val="16"/>
              </w:rPr>
              <w:t>109.274,00</w:t>
            </w:r>
          </w:p>
        </w:tc>
        <w:tc>
          <w:tcPr>
            <w:tcW w:w="1134" w:type="dxa"/>
            <w:tcBorders>
              <w:top w:val="nil"/>
              <w:left w:val="nil"/>
              <w:bottom w:val="single" w:sz="8" w:space="0" w:color="808080"/>
              <w:right w:val="single" w:sz="8" w:space="0" w:color="808080"/>
            </w:tcBorders>
            <w:vAlign w:val="center"/>
            <w:hideMark/>
          </w:tcPr>
          <w:p w14:paraId="7089B522" w14:textId="77777777" w:rsidR="00416D67" w:rsidRPr="00416D67" w:rsidRDefault="00416D67" w:rsidP="00416D67">
            <w:pPr>
              <w:jc w:val="right"/>
              <w:rPr>
                <w:color w:val="000000"/>
                <w:sz w:val="16"/>
                <w:szCs w:val="16"/>
              </w:rPr>
            </w:pPr>
            <w:r w:rsidRPr="00416D67">
              <w:rPr>
                <w:color w:val="000000"/>
                <w:sz w:val="16"/>
                <w:szCs w:val="16"/>
              </w:rPr>
              <w:t>109.274,00</w:t>
            </w:r>
          </w:p>
        </w:tc>
        <w:tc>
          <w:tcPr>
            <w:tcW w:w="973" w:type="dxa"/>
            <w:tcBorders>
              <w:top w:val="nil"/>
              <w:left w:val="nil"/>
              <w:bottom w:val="single" w:sz="8" w:space="0" w:color="808080"/>
              <w:right w:val="single" w:sz="8" w:space="0" w:color="808080"/>
            </w:tcBorders>
            <w:vAlign w:val="center"/>
            <w:hideMark/>
          </w:tcPr>
          <w:p w14:paraId="6DF6D79A" w14:textId="77777777" w:rsidR="00416D67" w:rsidRPr="00416D67" w:rsidRDefault="00416D67" w:rsidP="00416D67">
            <w:pPr>
              <w:jc w:val="right"/>
              <w:rPr>
                <w:color w:val="000000"/>
                <w:sz w:val="16"/>
                <w:szCs w:val="16"/>
              </w:rPr>
            </w:pPr>
            <w:r w:rsidRPr="00416D67">
              <w:rPr>
                <w:color w:val="000000"/>
                <w:sz w:val="16"/>
                <w:szCs w:val="16"/>
              </w:rPr>
              <w:t>100,00%</w:t>
            </w:r>
          </w:p>
        </w:tc>
        <w:tc>
          <w:tcPr>
            <w:tcW w:w="870" w:type="dxa"/>
            <w:tcBorders>
              <w:top w:val="nil"/>
              <w:left w:val="nil"/>
              <w:bottom w:val="single" w:sz="8" w:space="0" w:color="808080"/>
              <w:right w:val="single" w:sz="8" w:space="0" w:color="808080"/>
            </w:tcBorders>
            <w:vAlign w:val="center"/>
            <w:hideMark/>
          </w:tcPr>
          <w:p w14:paraId="31BA31B2" w14:textId="77777777" w:rsidR="00416D67" w:rsidRPr="00416D67" w:rsidRDefault="00416D67" w:rsidP="00416D67">
            <w:pPr>
              <w:jc w:val="right"/>
              <w:rPr>
                <w:color w:val="000000"/>
                <w:sz w:val="16"/>
                <w:szCs w:val="16"/>
              </w:rPr>
            </w:pPr>
            <w:r w:rsidRPr="00416D67">
              <w:rPr>
                <w:color w:val="000000"/>
                <w:sz w:val="16"/>
                <w:szCs w:val="16"/>
              </w:rPr>
              <w:t> </w:t>
            </w:r>
          </w:p>
        </w:tc>
        <w:tc>
          <w:tcPr>
            <w:tcW w:w="1134" w:type="dxa"/>
            <w:tcBorders>
              <w:top w:val="nil"/>
              <w:left w:val="nil"/>
              <w:bottom w:val="single" w:sz="8" w:space="0" w:color="808080"/>
              <w:right w:val="single" w:sz="8" w:space="0" w:color="808080"/>
            </w:tcBorders>
            <w:vAlign w:val="center"/>
            <w:hideMark/>
          </w:tcPr>
          <w:p w14:paraId="4F115227" w14:textId="77777777" w:rsidR="00416D67" w:rsidRPr="00416D67" w:rsidRDefault="00416D67" w:rsidP="00416D67">
            <w:pPr>
              <w:jc w:val="right"/>
              <w:rPr>
                <w:color w:val="000000"/>
                <w:sz w:val="16"/>
                <w:szCs w:val="16"/>
              </w:rPr>
            </w:pPr>
            <w:r w:rsidRPr="00416D67">
              <w:rPr>
                <w:color w:val="000000"/>
                <w:sz w:val="16"/>
                <w:szCs w:val="16"/>
              </w:rPr>
              <w:t>1,66%</w:t>
            </w:r>
          </w:p>
        </w:tc>
      </w:tr>
      <w:tr w:rsidR="00416D67" w:rsidRPr="00416D67" w14:paraId="238A8F6B" w14:textId="77777777" w:rsidTr="00BB1392">
        <w:trPr>
          <w:trHeight w:val="450"/>
        </w:trPr>
        <w:tc>
          <w:tcPr>
            <w:tcW w:w="680" w:type="dxa"/>
            <w:gridSpan w:val="2"/>
            <w:tcBorders>
              <w:top w:val="nil"/>
              <w:left w:val="single" w:sz="8" w:space="0" w:color="808080"/>
              <w:bottom w:val="single" w:sz="8" w:space="0" w:color="808080"/>
              <w:right w:val="single" w:sz="8" w:space="0" w:color="808080"/>
            </w:tcBorders>
            <w:vAlign w:val="center"/>
            <w:hideMark/>
          </w:tcPr>
          <w:p w14:paraId="4660E821" w14:textId="77777777" w:rsidR="00416D67" w:rsidRPr="00416D67" w:rsidRDefault="00416D67" w:rsidP="00416D67">
            <w:pPr>
              <w:rPr>
                <w:color w:val="000000"/>
                <w:sz w:val="16"/>
                <w:szCs w:val="16"/>
              </w:rPr>
            </w:pPr>
            <w:r w:rsidRPr="00416D67">
              <w:rPr>
                <w:color w:val="000000"/>
                <w:sz w:val="16"/>
                <w:szCs w:val="16"/>
              </w:rPr>
              <w:t>54</w:t>
            </w:r>
          </w:p>
        </w:tc>
        <w:tc>
          <w:tcPr>
            <w:tcW w:w="2248" w:type="dxa"/>
            <w:tcBorders>
              <w:top w:val="single" w:sz="8" w:space="0" w:color="808080"/>
              <w:left w:val="nil"/>
              <w:bottom w:val="single" w:sz="8" w:space="0" w:color="808080"/>
              <w:right w:val="single" w:sz="8" w:space="0" w:color="808080"/>
            </w:tcBorders>
            <w:vAlign w:val="center"/>
            <w:hideMark/>
          </w:tcPr>
          <w:p w14:paraId="0EB60179" w14:textId="77777777" w:rsidR="00416D67" w:rsidRPr="00416D67" w:rsidRDefault="00416D67" w:rsidP="00416D67">
            <w:pPr>
              <w:rPr>
                <w:color w:val="000000"/>
                <w:sz w:val="16"/>
                <w:szCs w:val="16"/>
              </w:rPr>
            </w:pPr>
            <w:r w:rsidRPr="00416D67">
              <w:rPr>
                <w:color w:val="000000"/>
                <w:sz w:val="16"/>
                <w:szCs w:val="16"/>
              </w:rPr>
              <w:t xml:space="preserve">Izdaci za otplatu primljenih kredita </w:t>
            </w:r>
          </w:p>
        </w:tc>
        <w:tc>
          <w:tcPr>
            <w:tcW w:w="1056" w:type="dxa"/>
            <w:tcBorders>
              <w:top w:val="nil"/>
              <w:left w:val="nil"/>
              <w:bottom w:val="single" w:sz="8" w:space="0" w:color="808080"/>
              <w:right w:val="single" w:sz="8" w:space="0" w:color="808080"/>
            </w:tcBorders>
            <w:vAlign w:val="center"/>
            <w:hideMark/>
          </w:tcPr>
          <w:p w14:paraId="77633D5F" w14:textId="77777777" w:rsidR="00416D67" w:rsidRPr="00416D67" w:rsidRDefault="00416D67" w:rsidP="00416D67">
            <w:pPr>
              <w:jc w:val="right"/>
              <w:rPr>
                <w:color w:val="000000"/>
                <w:sz w:val="16"/>
                <w:szCs w:val="16"/>
              </w:rPr>
            </w:pPr>
            <w:r w:rsidRPr="00416D67">
              <w:rPr>
                <w:color w:val="000000"/>
                <w:sz w:val="16"/>
                <w:szCs w:val="16"/>
              </w:rPr>
              <w:t>71.429,76</w:t>
            </w:r>
          </w:p>
        </w:tc>
        <w:tc>
          <w:tcPr>
            <w:tcW w:w="1134" w:type="dxa"/>
            <w:tcBorders>
              <w:top w:val="nil"/>
              <w:left w:val="nil"/>
              <w:bottom w:val="single" w:sz="8" w:space="0" w:color="808080"/>
              <w:right w:val="single" w:sz="8" w:space="0" w:color="808080"/>
            </w:tcBorders>
            <w:vAlign w:val="center"/>
            <w:hideMark/>
          </w:tcPr>
          <w:p w14:paraId="35364B1E" w14:textId="77777777" w:rsidR="00416D67" w:rsidRPr="00416D67" w:rsidRDefault="00416D67" w:rsidP="00416D67">
            <w:pPr>
              <w:jc w:val="right"/>
              <w:rPr>
                <w:color w:val="000000"/>
                <w:sz w:val="16"/>
                <w:szCs w:val="16"/>
              </w:rPr>
            </w:pPr>
            <w:r w:rsidRPr="00416D67">
              <w:rPr>
                <w:color w:val="000000"/>
                <w:sz w:val="16"/>
                <w:szCs w:val="16"/>
              </w:rPr>
              <w:t>71.429,76</w:t>
            </w:r>
          </w:p>
        </w:tc>
        <w:tc>
          <w:tcPr>
            <w:tcW w:w="1134" w:type="dxa"/>
            <w:tcBorders>
              <w:top w:val="nil"/>
              <w:left w:val="nil"/>
              <w:bottom w:val="single" w:sz="8" w:space="0" w:color="808080"/>
              <w:right w:val="single" w:sz="8" w:space="0" w:color="808080"/>
            </w:tcBorders>
            <w:vAlign w:val="center"/>
            <w:hideMark/>
          </w:tcPr>
          <w:p w14:paraId="7EEC7D0F" w14:textId="77777777" w:rsidR="00416D67" w:rsidRPr="00416D67" w:rsidRDefault="00416D67" w:rsidP="00416D67">
            <w:pPr>
              <w:jc w:val="right"/>
              <w:rPr>
                <w:color w:val="000000"/>
                <w:sz w:val="16"/>
                <w:szCs w:val="16"/>
              </w:rPr>
            </w:pPr>
            <w:r w:rsidRPr="00416D67">
              <w:rPr>
                <w:color w:val="000000"/>
                <w:sz w:val="16"/>
                <w:szCs w:val="16"/>
              </w:rPr>
              <w:t>71.429,76</w:t>
            </w:r>
          </w:p>
        </w:tc>
        <w:tc>
          <w:tcPr>
            <w:tcW w:w="973" w:type="dxa"/>
            <w:tcBorders>
              <w:top w:val="nil"/>
              <w:left w:val="nil"/>
              <w:bottom w:val="single" w:sz="8" w:space="0" w:color="808080"/>
              <w:right w:val="single" w:sz="8" w:space="0" w:color="808080"/>
            </w:tcBorders>
            <w:vAlign w:val="center"/>
            <w:hideMark/>
          </w:tcPr>
          <w:p w14:paraId="5186AD5F" w14:textId="77777777" w:rsidR="00416D67" w:rsidRPr="00416D67" w:rsidRDefault="00416D67" w:rsidP="00416D67">
            <w:pPr>
              <w:jc w:val="right"/>
              <w:rPr>
                <w:color w:val="000000"/>
                <w:sz w:val="16"/>
                <w:szCs w:val="16"/>
              </w:rPr>
            </w:pPr>
            <w:r w:rsidRPr="00416D67">
              <w:rPr>
                <w:color w:val="000000"/>
                <w:sz w:val="16"/>
                <w:szCs w:val="16"/>
              </w:rPr>
              <w:t>100,00%</w:t>
            </w:r>
          </w:p>
        </w:tc>
        <w:tc>
          <w:tcPr>
            <w:tcW w:w="870" w:type="dxa"/>
            <w:tcBorders>
              <w:top w:val="nil"/>
              <w:left w:val="nil"/>
              <w:bottom w:val="single" w:sz="8" w:space="0" w:color="808080"/>
              <w:right w:val="single" w:sz="8" w:space="0" w:color="808080"/>
            </w:tcBorders>
            <w:vAlign w:val="center"/>
            <w:hideMark/>
          </w:tcPr>
          <w:p w14:paraId="36B5F858" w14:textId="77777777" w:rsidR="00416D67" w:rsidRPr="00416D67" w:rsidRDefault="00416D67" w:rsidP="00416D67">
            <w:pPr>
              <w:jc w:val="right"/>
              <w:rPr>
                <w:color w:val="000000"/>
                <w:sz w:val="16"/>
                <w:szCs w:val="16"/>
              </w:rPr>
            </w:pPr>
            <w:r w:rsidRPr="00416D67">
              <w:rPr>
                <w:color w:val="000000"/>
                <w:sz w:val="16"/>
                <w:szCs w:val="16"/>
              </w:rPr>
              <w:t>100,00%</w:t>
            </w:r>
          </w:p>
        </w:tc>
        <w:tc>
          <w:tcPr>
            <w:tcW w:w="1134" w:type="dxa"/>
            <w:tcBorders>
              <w:top w:val="nil"/>
              <w:left w:val="nil"/>
              <w:bottom w:val="single" w:sz="8" w:space="0" w:color="808080"/>
              <w:right w:val="single" w:sz="8" w:space="0" w:color="808080"/>
            </w:tcBorders>
            <w:vAlign w:val="center"/>
            <w:hideMark/>
          </w:tcPr>
          <w:p w14:paraId="7E0511D8" w14:textId="77777777" w:rsidR="00416D67" w:rsidRPr="00416D67" w:rsidRDefault="00416D67" w:rsidP="00416D67">
            <w:pPr>
              <w:jc w:val="right"/>
              <w:rPr>
                <w:color w:val="000000"/>
                <w:sz w:val="16"/>
                <w:szCs w:val="16"/>
              </w:rPr>
            </w:pPr>
            <w:r w:rsidRPr="00416D67">
              <w:rPr>
                <w:color w:val="000000"/>
                <w:sz w:val="16"/>
                <w:szCs w:val="16"/>
              </w:rPr>
              <w:t>1,08%</w:t>
            </w:r>
          </w:p>
        </w:tc>
      </w:tr>
    </w:tbl>
    <w:p w14:paraId="15ACD0C5" w14:textId="77777777" w:rsidR="00416D67" w:rsidRPr="00416D67" w:rsidRDefault="00416D67" w:rsidP="00416D67">
      <w:pPr>
        <w:rPr>
          <w:b/>
          <w:bCs/>
          <w:color w:val="000000"/>
        </w:rPr>
      </w:pPr>
    </w:p>
    <w:p w14:paraId="21D1C154" w14:textId="77777777" w:rsidR="00416D67" w:rsidRPr="00416D67" w:rsidRDefault="00416D67" w:rsidP="00416D67">
      <w:pPr>
        <w:rPr>
          <w:b/>
          <w:bCs/>
          <w:color w:val="000000"/>
        </w:rPr>
      </w:pPr>
    </w:p>
    <w:p w14:paraId="06F269FE" w14:textId="77777777" w:rsidR="00416D67" w:rsidRPr="00416D67" w:rsidRDefault="00416D67" w:rsidP="00416D67">
      <w:pPr>
        <w:jc w:val="both"/>
      </w:pPr>
      <w:r w:rsidRPr="00416D67">
        <w:rPr>
          <w:b/>
          <w:bCs/>
          <w:color w:val="000000"/>
        </w:rPr>
        <w:t xml:space="preserve">      Rashodi za zaposlene (31)</w:t>
      </w:r>
      <w:r w:rsidRPr="00416D67">
        <w:t xml:space="preserve">  bilježe značajno povećanje  što je posljedica dijelom povećanja materijalnih prava zaposlenika, te povećanje osnovice za obračun plaće</w:t>
      </w:r>
    </w:p>
    <w:p w14:paraId="1CD8EAC6" w14:textId="77777777" w:rsidR="00416D67" w:rsidRPr="00416D67" w:rsidRDefault="00416D67" w:rsidP="00416D67">
      <w:pPr>
        <w:jc w:val="both"/>
      </w:pPr>
      <w:r w:rsidRPr="00416D67">
        <w:t>Povećanje u izvještajnom razdoblju veće je jer je došlo do povećanja osnovice.</w:t>
      </w:r>
    </w:p>
    <w:p w14:paraId="48B37BEE" w14:textId="77777777" w:rsidR="00416D67" w:rsidRPr="00416D67" w:rsidRDefault="00416D67" w:rsidP="00416D67">
      <w:pPr>
        <w:jc w:val="both"/>
      </w:pPr>
      <w:r w:rsidRPr="00416D67">
        <w:t>Osnovica za izračun plaće Općinskog Načelnika u 2025. godini iznosi 947,18 EUR. </w:t>
      </w:r>
    </w:p>
    <w:p w14:paraId="28A636AC" w14:textId="77777777" w:rsidR="00416D67" w:rsidRPr="00416D67" w:rsidRDefault="00416D67" w:rsidP="00416D67">
      <w:pPr>
        <w:jc w:val="both"/>
      </w:pPr>
      <w:r w:rsidRPr="00416D67">
        <w:t>Osnovice za izračun plaća Upravnih odjela Općine u 2025 godini: 01.01-30.09.2025. 726,00 EUR, te od 01.10.2025. na dalje 750,00 EUR.</w:t>
      </w:r>
    </w:p>
    <w:p w14:paraId="0B8C3CD4" w14:textId="77777777" w:rsidR="00416D67" w:rsidRPr="00416D67" w:rsidRDefault="00416D67" w:rsidP="00416D67">
      <w:pPr>
        <w:jc w:val="both"/>
      </w:pPr>
      <w:r w:rsidRPr="00416D67">
        <w:t>Usporedba osnovica prethodnog izvještajnog razdoblja:</w:t>
      </w:r>
    </w:p>
    <w:p w14:paraId="1E064A6A" w14:textId="77777777" w:rsidR="00416D67" w:rsidRPr="00416D67" w:rsidRDefault="00416D67" w:rsidP="00416D67">
      <w:pPr>
        <w:jc w:val="both"/>
      </w:pPr>
      <w:r w:rsidRPr="00416D67">
        <w:t>Pregled osnovica za izračun plaća Općinskog Načelnika 2024 godina 01.01.2024-31.07.2024. 457,894 EUR/ od 01.08.2024 nadalje 947,18 EUR (povećanje od 48,34%).</w:t>
      </w:r>
    </w:p>
    <w:p w14:paraId="72617D3A" w14:textId="77777777" w:rsidR="00416D67" w:rsidRPr="00416D67" w:rsidRDefault="00416D67" w:rsidP="00416D67">
      <w:pPr>
        <w:jc w:val="both"/>
      </w:pPr>
      <w:r w:rsidRPr="00416D67">
        <w:t>Osnovica za izračun plaća Upravnih odjela Općine 01.10.2025-31.12.2025. 726,00 EUR</w:t>
      </w:r>
    </w:p>
    <w:p w14:paraId="210E072B" w14:textId="77777777" w:rsidR="00416D67" w:rsidRPr="00416D67" w:rsidRDefault="00416D67" w:rsidP="00416D67">
      <w:pPr>
        <w:jc w:val="both"/>
      </w:pPr>
    </w:p>
    <w:p w14:paraId="3235C215" w14:textId="77777777" w:rsidR="00416D67" w:rsidRPr="00416D67" w:rsidRDefault="00416D67" w:rsidP="00416D67">
      <w:pPr>
        <w:jc w:val="both"/>
      </w:pPr>
      <w:r w:rsidRPr="00416D67">
        <w:t>Osnovica za izračun plaća Proračunskog korisnika od 01.10.2025 - na dalje 990,00 EUR</w:t>
      </w:r>
    </w:p>
    <w:p w14:paraId="536361B7" w14:textId="77777777" w:rsidR="00416D67" w:rsidRPr="00416D67" w:rsidRDefault="00416D67" w:rsidP="00416D67">
      <w:pPr>
        <w:jc w:val="both"/>
        <w:rPr>
          <w:b/>
          <w:bCs/>
          <w:color w:val="000000"/>
        </w:rPr>
      </w:pPr>
    </w:p>
    <w:p w14:paraId="26A88B44" w14:textId="77777777" w:rsidR="00416D67" w:rsidRPr="00416D67" w:rsidRDefault="00416D67" w:rsidP="00416D67">
      <w:pPr>
        <w:jc w:val="both"/>
      </w:pPr>
      <w:r w:rsidRPr="00416D67">
        <w:rPr>
          <w:b/>
          <w:bCs/>
          <w:color w:val="000000"/>
        </w:rPr>
        <w:t xml:space="preserve">     Materijalni rashodi (32) </w:t>
      </w:r>
      <w:r w:rsidRPr="00416D67">
        <w:t xml:space="preserve">Unutar pojedinih rashoda bilježi se povećanje ili smanjenje ostvarenja u odnosu na prethodnu godinu. Značajnije povećanje odnosi se na povećane rashode </w:t>
      </w:r>
      <w:r w:rsidRPr="00416D67">
        <w:lastRenderedPageBreak/>
        <w:t>za usluge tekućeg i investicijskog održavanja, intelektualne I osobne  usluge, komunalne usluge, materijal i energiju, te rashode za usluge.</w:t>
      </w:r>
    </w:p>
    <w:p w14:paraId="2AF364C1" w14:textId="77777777" w:rsidR="00416D67" w:rsidRPr="00416D67" w:rsidRDefault="00416D67" w:rsidP="00416D67">
      <w:r w:rsidRPr="00416D67">
        <w:t xml:space="preserve">      </w:t>
      </w:r>
      <w:proofErr w:type="spellStart"/>
      <w:r w:rsidRPr="00416D67">
        <w:t>Rahodi</w:t>
      </w:r>
      <w:proofErr w:type="spellEnd"/>
      <w:r w:rsidRPr="00416D67">
        <w:t xml:space="preserve"> za materijal i sirovinu  (3222) obuhvaćaju rashode na nabavu prehrambenih namirnica, i materijala za didaktiku. Povećanje ostvarenja rezultat je povećanja cijena prehrambenih i ostalih artikala.</w:t>
      </w:r>
    </w:p>
    <w:p w14:paraId="566D0AAA" w14:textId="77777777" w:rsidR="00416D67" w:rsidRPr="00416D67" w:rsidRDefault="00416D67" w:rsidP="00416D67">
      <w:r w:rsidRPr="00416D67">
        <w:t xml:space="preserve">       Rashodi za usluge  (323) obuhvaćaju usluge tekućeg  i investicijskog održavanja (8.809,56 EUR od čega je najznačajnija usluga održavanja prostora </w:t>
      </w:r>
      <w:proofErr w:type="spellStart"/>
      <w:r w:rsidRPr="00416D67">
        <w:t>vrtića,i</w:t>
      </w:r>
      <w:proofErr w:type="spellEnd"/>
      <w:r w:rsidRPr="00416D67">
        <w:t xml:space="preserve"> postrojenja i opreme), usluge promidžbe i informiranja (3.081,25 EUR od čega je najznačajniji trošak tiskanja brošure radi projekta "vrtić zdravlja" ) komunalne usluge (2.509,77 EUR gdje najveće povećanje bilježi usluga iznošenja i odvoza smeća jer od rujna komunalno poduzeće fakturira DV uslugu odvoza kada počinje i naplata odvoza otpada plastike i papira); zdravstvene usluge (8.860,41 EUR bilježe povećanje jer su u izvještajnom razdoblju ostvareni sistematski pregledi zaposlenika koji prethodne godine nisu realizirani), ostale usluge (30.078,48 EUR najvećim dijelom odnose se na uslugu pranja i čišćenja i na usluge za obilježavanje programa božićno darivanje predškolske djece)</w:t>
      </w:r>
    </w:p>
    <w:p w14:paraId="303F11B2" w14:textId="77777777" w:rsidR="00416D67" w:rsidRPr="00416D67" w:rsidRDefault="00416D67" w:rsidP="00416D67">
      <w:r w:rsidRPr="00416D67">
        <w:t xml:space="preserve">      Komunalne usluge (3234) rasle su zbog povećanja jediničnih cijena u sklopu Programa održavanja komunalne infrastrukture, ali povećanje bilježi i  usluga iznošenja i odvoza smeća jer od rujna komunalno poduzeće fakturira DV uslugu odvoza kada počinje i naplata odvoza otpada plastike i papir.</w:t>
      </w:r>
    </w:p>
    <w:p w14:paraId="7E96AFC1" w14:textId="77777777" w:rsidR="00416D67" w:rsidRPr="00416D67" w:rsidRDefault="00416D67" w:rsidP="00416D67">
      <w:r w:rsidRPr="00416D67">
        <w:t xml:space="preserve">     Povećanje naknada u najvećoj mjeri odnosi se na rad izbornog povjerenstva , biračke odbore za održane </w:t>
      </w:r>
      <w:proofErr w:type="spellStart"/>
      <w:r w:rsidRPr="00416D67">
        <w:t>loklane</w:t>
      </w:r>
      <w:proofErr w:type="spellEnd"/>
      <w:r w:rsidRPr="00416D67">
        <w:t xml:space="preserve"> izbore. Ukupno je za tu namjenu utrošeno 45.881,23 EUR</w:t>
      </w:r>
    </w:p>
    <w:p w14:paraId="75E17400" w14:textId="77777777" w:rsidR="00416D67" w:rsidRPr="00416D67" w:rsidRDefault="00416D67" w:rsidP="00416D67">
      <w:r w:rsidRPr="00416D67">
        <w:t xml:space="preserve">    Financijski rashodi su ostvareni u većem iznosu jer je u izvještajnom razdoblju bilo povrata komunalnih doprinosa u većem iznosu od prethodne godine, izvršena je isplata za jedan parnični postupak iz 2023. godine.</w:t>
      </w:r>
    </w:p>
    <w:p w14:paraId="652C0BA0" w14:textId="77777777" w:rsidR="00416D67" w:rsidRPr="00416D67" w:rsidRDefault="00416D67" w:rsidP="00416D67"/>
    <w:p w14:paraId="65C6DB0E" w14:textId="77777777" w:rsidR="00416D67" w:rsidRPr="00416D67" w:rsidRDefault="00416D67" w:rsidP="00416D67"/>
    <w:p w14:paraId="18CE9170" w14:textId="77777777" w:rsidR="00416D67" w:rsidRPr="00416D67" w:rsidRDefault="00416D67" w:rsidP="00416D67">
      <w:pPr>
        <w:jc w:val="both"/>
      </w:pPr>
    </w:p>
    <w:p w14:paraId="47AE3800" w14:textId="77777777" w:rsidR="00416D67" w:rsidRPr="00416D67" w:rsidRDefault="00416D67" w:rsidP="00416D67">
      <w:pPr>
        <w:rPr>
          <w:b/>
          <w:bCs/>
          <w:color w:val="000000"/>
        </w:rPr>
      </w:pPr>
    </w:p>
    <w:p w14:paraId="01A72854" w14:textId="77777777" w:rsidR="00416D67" w:rsidRPr="00416D67" w:rsidRDefault="00416D67" w:rsidP="00416D67">
      <w:pPr>
        <w:rPr>
          <w:b/>
          <w:bCs/>
          <w:color w:val="000000"/>
        </w:rPr>
      </w:pPr>
    </w:p>
    <w:p w14:paraId="04C2C735" w14:textId="77777777" w:rsidR="00416D67" w:rsidRPr="00416D67" w:rsidRDefault="00416D67" w:rsidP="00416D67">
      <w:pPr>
        <w:rPr>
          <w:b/>
          <w:bCs/>
          <w:color w:val="000000"/>
        </w:rPr>
      </w:pPr>
    </w:p>
    <w:p w14:paraId="3F60E192" w14:textId="77777777" w:rsidR="00416D67" w:rsidRPr="00416D67" w:rsidRDefault="00416D67" w:rsidP="00416D67">
      <w:pPr>
        <w:rPr>
          <w:b/>
          <w:bCs/>
          <w:color w:val="000000"/>
        </w:rPr>
      </w:pPr>
    </w:p>
    <w:p w14:paraId="02BA6E8D" w14:textId="77777777" w:rsidR="00416D67" w:rsidRPr="00416D67" w:rsidRDefault="00416D67" w:rsidP="00416D67">
      <w:pPr>
        <w:rPr>
          <w:b/>
          <w:bCs/>
          <w:color w:val="000000"/>
        </w:rPr>
      </w:pPr>
    </w:p>
    <w:p w14:paraId="452FB68B" w14:textId="77777777" w:rsidR="00416D67" w:rsidRPr="00416D67" w:rsidRDefault="00416D67" w:rsidP="00416D67">
      <w:pPr>
        <w:rPr>
          <w:b/>
          <w:bCs/>
          <w:color w:val="000000"/>
        </w:rPr>
      </w:pPr>
    </w:p>
    <w:p w14:paraId="527AC97D" w14:textId="77777777" w:rsidR="00416D67" w:rsidRPr="00416D67" w:rsidRDefault="00416D67" w:rsidP="00416D67">
      <w:pPr>
        <w:rPr>
          <w:b/>
          <w:bCs/>
          <w:color w:val="000000"/>
        </w:rPr>
      </w:pPr>
    </w:p>
    <w:p w14:paraId="4B90ACD5" w14:textId="77777777" w:rsidR="00416D67" w:rsidRPr="00416D67" w:rsidRDefault="00416D67" w:rsidP="00416D67">
      <w:pPr>
        <w:rPr>
          <w:b/>
          <w:bCs/>
          <w:color w:val="000000"/>
        </w:rPr>
      </w:pPr>
    </w:p>
    <w:p w14:paraId="08433ADA" w14:textId="77777777" w:rsidR="00416D67" w:rsidRPr="00416D67" w:rsidRDefault="00416D67" w:rsidP="00416D67">
      <w:pPr>
        <w:rPr>
          <w:b/>
          <w:bCs/>
          <w:color w:val="000000"/>
        </w:rPr>
      </w:pPr>
    </w:p>
    <w:p w14:paraId="16357E03" w14:textId="77777777" w:rsidR="00416D67" w:rsidRPr="00416D67" w:rsidRDefault="00416D67" w:rsidP="00416D67">
      <w:pPr>
        <w:rPr>
          <w:b/>
          <w:bCs/>
          <w:color w:val="000000"/>
        </w:rPr>
      </w:pPr>
    </w:p>
    <w:p w14:paraId="1D2FF123" w14:textId="77777777" w:rsidR="00416D67" w:rsidRPr="00416D67" w:rsidRDefault="00416D67" w:rsidP="00416D67">
      <w:pPr>
        <w:rPr>
          <w:b/>
          <w:bCs/>
          <w:color w:val="000000"/>
        </w:rPr>
      </w:pPr>
    </w:p>
    <w:p w14:paraId="5342A075" w14:textId="77777777" w:rsidR="00416D67" w:rsidRPr="00416D67" w:rsidRDefault="00416D67" w:rsidP="00416D67">
      <w:pPr>
        <w:rPr>
          <w:b/>
          <w:bCs/>
          <w:color w:val="000000"/>
        </w:rPr>
      </w:pPr>
    </w:p>
    <w:p w14:paraId="3E12930D" w14:textId="77777777" w:rsidR="00416D67" w:rsidRPr="00416D67" w:rsidRDefault="00416D67" w:rsidP="00416D67">
      <w:pPr>
        <w:rPr>
          <w:b/>
          <w:bCs/>
          <w:color w:val="000000"/>
        </w:rPr>
      </w:pPr>
    </w:p>
    <w:p w14:paraId="69A03ECC" w14:textId="77777777" w:rsidR="00416D67" w:rsidRPr="00416D67" w:rsidRDefault="00416D67" w:rsidP="00416D67">
      <w:pPr>
        <w:rPr>
          <w:b/>
          <w:bCs/>
          <w:color w:val="000000"/>
        </w:rPr>
      </w:pPr>
    </w:p>
    <w:p w14:paraId="43961996" w14:textId="77777777" w:rsidR="00416D67" w:rsidRPr="00416D67" w:rsidRDefault="00416D67" w:rsidP="00416D67">
      <w:pPr>
        <w:rPr>
          <w:b/>
          <w:bCs/>
          <w:color w:val="000000"/>
        </w:rPr>
      </w:pPr>
    </w:p>
    <w:p w14:paraId="70606488" w14:textId="77777777" w:rsidR="00416D67" w:rsidRPr="00416D67" w:rsidRDefault="00416D67" w:rsidP="00416D67">
      <w:pPr>
        <w:rPr>
          <w:b/>
          <w:bCs/>
          <w:color w:val="000000"/>
        </w:rPr>
      </w:pPr>
    </w:p>
    <w:p w14:paraId="3CFDBBD4" w14:textId="77777777" w:rsidR="00416D67" w:rsidRPr="00416D67" w:rsidRDefault="00416D67" w:rsidP="00416D67">
      <w:pPr>
        <w:rPr>
          <w:b/>
          <w:bCs/>
          <w:color w:val="000000"/>
        </w:rPr>
      </w:pPr>
    </w:p>
    <w:p w14:paraId="6D1B88C2" w14:textId="77777777" w:rsidR="00416D67" w:rsidRPr="00416D67" w:rsidRDefault="00416D67" w:rsidP="00416D67">
      <w:pPr>
        <w:rPr>
          <w:b/>
          <w:bCs/>
          <w:color w:val="000000"/>
        </w:rPr>
      </w:pPr>
    </w:p>
    <w:p w14:paraId="545A6506" w14:textId="77777777" w:rsidR="00416D67" w:rsidRPr="00416D67" w:rsidRDefault="00416D67" w:rsidP="00416D67">
      <w:pPr>
        <w:rPr>
          <w:b/>
          <w:color w:val="000000"/>
        </w:rPr>
      </w:pPr>
      <w:r w:rsidRPr="00416D67">
        <w:rPr>
          <w:b/>
          <w:bCs/>
          <w:color w:val="000000"/>
        </w:rPr>
        <w:t>Tablica 6. Ostvarenje rashoda/izdataka Proračuna u 2025. godini prema organizacijskoj klasifikaciji s usporednim</w:t>
      </w:r>
      <w:r w:rsidRPr="00416D67">
        <w:rPr>
          <w:b/>
          <w:color w:val="000000"/>
        </w:rPr>
        <w:t xml:space="preserve"> </w:t>
      </w:r>
      <w:r w:rsidRPr="00416D67">
        <w:rPr>
          <w:b/>
          <w:bCs/>
          <w:color w:val="000000"/>
        </w:rPr>
        <w:t>pokazateljima ostvarenja rashoda/izdataka u  2024. godini</w:t>
      </w:r>
    </w:p>
    <w:p w14:paraId="2AE27C69" w14:textId="77777777" w:rsidR="00416D67" w:rsidRPr="00416D67" w:rsidRDefault="00416D67" w:rsidP="00416D67">
      <w:pPr>
        <w:ind w:firstLine="708"/>
        <w:jc w:val="both"/>
      </w:pPr>
    </w:p>
    <w:tbl>
      <w:tblPr>
        <w:tblW w:w="10117" w:type="dxa"/>
        <w:tblInd w:w="-176" w:type="dxa"/>
        <w:tblLook w:val="04A0" w:firstRow="1" w:lastRow="0" w:firstColumn="1" w:lastColumn="0" w:noHBand="0" w:noVBand="1"/>
      </w:tblPr>
      <w:tblGrid>
        <w:gridCol w:w="710"/>
        <w:gridCol w:w="708"/>
        <w:gridCol w:w="2432"/>
        <w:gridCol w:w="1080"/>
        <w:gridCol w:w="1080"/>
        <w:gridCol w:w="1080"/>
        <w:gridCol w:w="1080"/>
        <w:gridCol w:w="960"/>
        <w:gridCol w:w="987"/>
      </w:tblGrid>
      <w:tr w:rsidR="00416D67" w:rsidRPr="00416D67" w14:paraId="560791C8" w14:textId="77777777" w:rsidTr="00BB1392">
        <w:trPr>
          <w:trHeight w:val="1530"/>
        </w:trPr>
        <w:tc>
          <w:tcPr>
            <w:tcW w:w="3850" w:type="dxa"/>
            <w:gridSpan w:val="3"/>
            <w:vMerge w:val="restart"/>
            <w:tcBorders>
              <w:top w:val="single" w:sz="8" w:space="0" w:color="A6A6A6"/>
              <w:left w:val="single" w:sz="8" w:space="0" w:color="A6A6A6"/>
              <w:bottom w:val="single" w:sz="8" w:space="0" w:color="A6A6A6"/>
              <w:right w:val="single" w:sz="8" w:space="0" w:color="A6A6A6"/>
            </w:tcBorders>
            <w:shd w:val="clear" w:color="000000" w:fill="F2F2F2"/>
            <w:noWrap/>
            <w:vAlign w:val="center"/>
            <w:hideMark/>
          </w:tcPr>
          <w:p w14:paraId="4DCB8AD5" w14:textId="77777777" w:rsidR="00416D67" w:rsidRPr="00416D67" w:rsidRDefault="00416D67" w:rsidP="00416D67">
            <w:pPr>
              <w:jc w:val="center"/>
              <w:rPr>
                <w:color w:val="000000"/>
                <w:sz w:val="14"/>
                <w:szCs w:val="14"/>
              </w:rPr>
            </w:pPr>
            <w:r w:rsidRPr="00416D67">
              <w:rPr>
                <w:color w:val="000000"/>
                <w:sz w:val="14"/>
                <w:szCs w:val="14"/>
              </w:rPr>
              <w:lastRenderedPageBreak/>
              <w:t>OPIS  ORGANIZACIJSKE KLASIFIKACIJE</w:t>
            </w:r>
          </w:p>
        </w:tc>
        <w:tc>
          <w:tcPr>
            <w:tcW w:w="1080" w:type="dxa"/>
            <w:vMerge w:val="restart"/>
            <w:tcBorders>
              <w:top w:val="single" w:sz="8" w:space="0" w:color="A6A6A6"/>
              <w:left w:val="single" w:sz="8" w:space="0" w:color="A6A6A6"/>
              <w:bottom w:val="single" w:sz="8" w:space="0" w:color="A6A6A6"/>
              <w:right w:val="single" w:sz="8" w:space="0" w:color="A6A6A6"/>
            </w:tcBorders>
            <w:shd w:val="clear" w:color="000000" w:fill="F2F2F2"/>
            <w:vAlign w:val="center"/>
            <w:hideMark/>
          </w:tcPr>
          <w:p w14:paraId="1499DA2F" w14:textId="77777777" w:rsidR="00416D67" w:rsidRPr="00416D67" w:rsidRDefault="00416D67" w:rsidP="00416D67">
            <w:pPr>
              <w:jc w:val="center"/>
              <w:rPr>
                <w:color w:val="000000"/>
                <w:sz w:val="14"/>
                <w:szCs w:val="14"/>
              </w:rPr>
            </w:pPr>
            <w:r w:rsidRPr="00416D67">
              <w:rPr>
                <w:color w:val="000000"/>
                <w:sz w:val="14"/>
                <w:szCs w:val="14"/>
              </w:rPr>
              <w:t>IZVRŠENJE PRORAČUNA 2024. GODINA</w:t>
            </w:r>
          </w:p>
        </w:tc>
        <w:tc>
          <w:tcPr>
            <w:tcW w:w="1080" w:type="dxa"/>
            <w:vMerge w:val="restart"/>
            <w:tcBorders>
              <w:top w:val="single" w:sz="8" w:space="0" w:color="A6A6A6"/>
              <w:left w:val="single" w:sz="8" w:space="0" w:color="A6A6A6"/>
              <w:bottom w:val="single" w:sz="8" w:space="0" w:color="A6A6A6"/>
              <w:right w:val="single" w:sz="8" w:space="0" w:color="A6A6A6"/>
            </w:tcBorders>
            <w:shd w:val="clear" w:color="000000" w:fill="F2F2F2"/>
            <w:vAlign w:val="center"/>
            <w:hideMark/>
          </w:tcPr>
          <w:p w14:paraId="6D53F784" w14:textId="77777777" w:rsidR="00416D67" w:rsidRPr="00416D67" w:rsidRDefault="00416D67" w:rsidP="00416D67">
            <w:pPr>
              <w:jc w:val="center"/>
              <w:rPr>
                <w:color w:val="000000"/>
                <w:sz w:val="14"/>
                <w:szCs w:val="14"/>
              </w:rPr>
            </w:pPr>
            <w:r w:rsidRPr="00416D67">
              <w:rPr>
                <w:color w:val="000000"/>
                <w:sz w:val="14"/>
                <w:szCs w:val="14"/>
              </w:rPr>
              <w:t>IZVORNI PLAN PRORAČUNA 2025. GODINA</w:t>
            </w:r>
          </w:p>
        </w:tc>
        <w:tc>
          <w:tcPr>
            <w:tcW w:w="1080" w:type="dxa"/>
            <w:vMerge w:val="restart"/>
            <w:tcBorders>
              <w:top w:val="single" w:sz="8" w:space="0" w:color="A6A6A6"/>
              <w:left w:val="single" w:sz="8" w:space="0" w:color="A6A6A6"/>
              <w:bottom w:val="single" w:sz="8" w:space="0" w:color="A6A6A6"/>
              <w:right w:val="single" w:sz="8" w:space="0" w:color="A6A6A6"/>
            </w:tcBorders>
            <w:shd w:val="clear" w:color="000000" w:fill="F2F2F2"/>
            <w:vAlign w:val="center"/>
            <w:hideMark/>
          </w:tcPr>
          <w:p w14:paraId="494B76DE" w14:textId="77777777" w:rsidR="00416D67" w:rsidRPr="00416D67" w:rsidRDefault="00416D67" w:rsidP="00416D67">
            <w:pPr>
              <w:jc w:val="center"/>
              <w:rPr>
                <w:color w:val="000000"/>
                <w:sz w:val="14"/>
                <w:szCs w:val="14"/>
              </w:rPr>
            </w:pPr>
            <w:r w:rsidRPr="00416D67">
              <w:rPr>
                <w:color w:val="000000"/>
                <w:sz w:val="14"/>
                <w:szCs w:val="14"/>
              </w:rPr>
              <w:t>TEKUĆI PLAN PRORAČUNA 2025. GODINA</w:t>
            </w:r>
          </w:p>
        </w:tc>
        <w:tc>
          <w:tcPr>
            <w:tcW w:w="1080" w:type="dxa"/>
            <w:vMerge w:val="restart"/>
            <w:tcBorders>
              <w:top w:val="single" w:sz="8" w:space="0" w:color="A6A6A6"/>
              <w:left w:val="single" w:sz="8" w:space="0" w:color="A6A6A6"/>
              <w:bottom w:val="single" w:sz="8" w:space="0" w:color="A6A6A6"/>
              <w:right w:val="single" w:sz="8" w:space="0" w:color="A6A6A6"/>
            </w:tcBorders>
            <w:shd w:val="clear" w:color="000000" w:fill="F2F2F2"/>
            <w:vAlign w:val="center"/>
            <w:hideMark/>
          </w:tcPr>
          <w:p w14:paraId="6F1BFC7C" w14:textId="77777777" w:rsidR="00416D67" w:rsidRPr="00416D67" w:rsidRDefault="00416D67" w:rsidP="00416D67">
            <w:pPr>
              <w:jc w:val="center"/>
              <w:rPr>
                <w:color w:val="000000"/>
                <w:sz w:val="14"/>
                <w:szCs w:val="14"/>
              </w:rPr>
            </w:pPr>
            <w:r w:rsidRPr="00416D67">
              <w:rPr>
                <w:color w:val="000000"/>
                <w:sz w:val="14"/>
                <w:szCs w:val="14"/>
              </w:rPr>
              <w:t>IZVRŠENJE PRORAČUNA 2025. GODINA</w:t>
            </w:r>
          </w:p>
        </w:tc>
        <w:tc>
          <w:tcPr>
            <w:tcW w:w="960" w:type="dxa"/>
            <w:vMerge w:val="restart"/>
            <w:tcBorders>
              <w:top w:val="single" w:sz="8" w:space="0" w:color="A6A6A6"/>
              <w:left w:val="single" w:sz="8" w:space="0" w:color="A6A6A6"/>
              <w:bottom w:val="single" w:sz="8" w:space="0" w:color="A6A6A6"/>
              <w:right w:val="single" w:sz="8" w:space="0" w:color="A6A6A6"/>
            </w:tcBorders>
            <w:shd w:val="clear" w:color="000000" w:fill="F2F2F2"/>
            <w:vAlign w:val="center"/>
            <w:hideMark/>
          </w:tcPr>
          <w:p w14:paraId="1FB21916" w14:textId="77777777" w:rsidR="00416D67" w:rsidRPr="00416D67" w:rsidRDefault="00416D67" w:rsidP="00416D67">
            <w:pPr>
              <w:jc w:val="center"/>
              <w:rPr>
                <w:color w:val="000000"/>
                <w:sz w:val="14"/>
                <w:szCs w:val="14"/>
              </w:rPr>
            </w:pPr>
            <w:r w:rsidRPr="00416D67">
              <w:rPr>
                <w:color w:val="000000"/>
                <w:sz w:val="14"/>
                <w:szCs w:val="14"/>
              </w:rPr>
              <w:t>INDEKS  2025/2024.</w:t>
            </w:r>
          </w:p>
        </w:tc>
        <w:tc>
          <w:tcPr>
            <w:tcW w:w="987" w:type="dxa"/>
            <w:vMerge w:val="restart"/>
            <w:tcBorders>
              <w:top w:val="single" w:sz="8" w:space="0" w:color="A6A6A6"/>
              <w:left w:val="single" w:sz="8" w:space="0" w:color="A6A6A6"/>
              <w:bottom w:val="single" w:sz="8" w:space="0" w:color="A6A6A6"/>
              <w:right w:val="single" w:sz="8" w:space="0" w:color="A6A6A6"/>
            </w:tcBorders>
            <w:shd w:val="clear" w:color="000000" w:fill="F2F2F2"/>
            <w:vAlign w:val="center"/>
            <w:hideMark/>
          </w:tcPr>
          <w:p w14:paraId="0E79142C" w14:textId="77777777" w:rsidR="00416D67" w:rsidRPr="00416D67" w:rsidRDefault="00416D67" w:rsidP="00416D67">
            <w:pPr>
              <w:jc w:val="center"/>
              <w:rPr>
                <w:color w:val="000000"/>
                <w:sz w:val="14"/>
                <w:szCs w:val="14"/>
              </w:rPr>
            </w:pPr>
            <w:r w:rsidRPr="00416D67">
              <w:rPr>
                <w:color w:val="000000"/>
                <w:sz w:val="14"/>
                <w:szCs w:val="14"/>
              </w:rPr>
              <w:t>INDEKS OSTV/PLAN 2025.</w:t>
            </w:r>
          </w:p>
        </w:tc>
      </w:tr>
      <w:tr w:rsidR="00416D67" w:rsidRPr="00416D67" w14:paraId="7563CB41" w14:textId="77777777" w:rsidTr="00BB1392">
        <w:trPr>
          <w:trHeight w:val="458"/>
        </w:trPr>
        <w:tc>
          <w:tcPr>
            <w:tcW w:w="3850" w:type="dxa"/>
            <w:gridSpan w:val="3"/>
            <w:vMerge/>
            <w:tcBorders>
              <w:top w:val="single" w:sz="8" w:space="0" w:color="A6A6A6"/>
              <w:left w:val="single" w:sz="8" w:space="0" w:color="A6A6A6"/>
              <w:bottom w:val="single" w:sz="8" w:space="0" w:color="A6A6A6"/>
              <w:right w:val="single" w:sz="8" w:space="0" w:color="A6A6A6"/>
            </w:tcBorders>
            <w:vAlign w:val="center"/>
            <w:hideMark/>
          </w:tcPr>
          <w:p w14:paraId="7B708F87" w14:textId="77777777" w:rsidR="00416D67" w:rsidRPr="00416D67" w:rsidRDefault="00416D67" w:rsidP="00416D67">
            <w:pPr>
              <w:rPr>
                <w:color w:val="000000"/>
                <w:sz w:val="14"/>
                <w:szCs w:val="14"/>
              </w:rPr>
            </w:pPr>
          </w:p>
        </w:tc>
        <w:tc>
          <w:tcPr>
            <w:tcW w:w="1080" w:type="dxa"/>
            <w:vMerge/>
            <w:tcBorders>
              <w:top w:val="single" w:sz="8" w:space="0" w:color="A6A6A6"/>
              <w:left w:val="single" w:sz="8" w:space="0" w:color="A6A6A6"/>
              <w:bottom w:val="single" w:sz="8" w:space="0" w:color="A6A6A6"/>
              <w:right w:val="single" w:sz="8" w:space="0" w:color="A6A6A6"/>
            </w:tcBorders>
            <w:vAlign w:val="center"/>
            <w:hideMark/>
          </w:tcPr>
          <w:p w14:paraId="283F2122" w14:textId="77777777" w:rsidR="00416D67" w:rsidRPr="00416D67" w:rsidRDefault="00416D67" w:rsidP="00416D67">
            <w:pPr>
              <w:rPr>
                <w:color w:val="000000"/>
                <w:sz w:val="14"/>
                <w:szCs w:val="14"/>
              </w:rPr>
            </w:pPr>
          </w:p>
        </w:tc>
        <w:tc>
          <w:tcPr>
            <w:tcW w:w="1080" w:type="dxa"/>
            <w:vMerge/>
            <w:tcBorders>
              <w:top w:val="single" w:sz="8" w:space="0" w:color="A6A6A6"/>
              <w:left w:val="single" w:sz="8" w:space="0" w:color="A6A6A6"/>
              <w:bottom w:val="single" w:sz="8" w:space="0" w:color="A6A6A6"/>
              <w:right w:val="single" w:sz="8" w:space="0" w:color="A6A6A6"/>
            </w:tcBorders>
            <w:vAlign w:val="center"/>
            <w:hideMark/>
          </w:tcPr>
          <w:p w14:paraId="18E6EF31" w14:textId="77777777" w:rsidR="00416D67" w:rsidRPr="00416D67" w:rsidRDefault="00416D67" w:rsidP="00416D67">
            <w:pPr>
              <w:rPr>
                <w:color w:val="000000"/>
                <w:sz w:val="14"/>
                <w:szCs w:val="14"/>
              </w:rPr>
            </w:pPr>
          </w:p>
        </w:tc>
        <w:tc>
          <w:tcPr>
            <w:tcW w:w="1080" w:type="dxa"/>
            <w:vMerge/>
            <w:tcBorders>
              <w:top w:val="single" w:sz="8" w:space="0" w:color="A6A6A6"/>
              <w:left w:val="single" w:sz="8" w:space="0" w:color="A6A6A6"/>
              <w:bottom w:val="single" w:sz="8" w:space="0" w:color="A6A6A6"/>
              <w:right w:val="single" w:sz="8" w:space="0" w:color="A6A6A6"/>
            </w:tcBorders>
            <w:vAlign w:val="center"/>
            <w:hideMark/>
          </w:tcPr>
          <w:p w14:paraId="6E72FC78" w14:textId="77777777" w:rsidR="00416D67" w:rsidRPr="00416D67" w:rsidRDefault="00416D67" w:rsidP="00416D67">
            <w:pPr>
              <w:rPr>
                <w:color w:val="000000"/>
                <w:sz w:val="14"/>
                <w:szCs w:val="14"/>
              </w:rPr>
            </w:pPr>
          </w:p>
        </w:tc>
        <w:tc>
          <w:tcPr>
            <w:tcW w:w="1080" w:type="dxa"/>
            <w:vMerge/>
            <w:tcBorders>
              <w:top w:val="single" w:sz="8" w:space="0" w:color="A6A6A6"/>
              <w:left w:val="single" w:sz="8" w:space="0" w:color="A6A6A6"/>
              <w:bottom w:val="single" w:sz="8" w:space="0" w:color="A6A6A6"/>
              <w:right w:val="single" w:sz="8" w:space="0" w:color="A6A6A6"/>
            </w:tcBorders>
            <w:vAlign w:val="center"/>
            <w:hideMark/>
          </w:tcPr>
          <w:p w14:paraId="4C4C8759" w14:textId="77777777" w:rsidR="00416D67" w:rsidRPr="00416D67" w:rsidRDefault="00416D67" w:rsidP="00416D67">
            <w:pPr>
              <w:rPr>
                <w:color w:val="000000"/>
                <w:sz w:val="14"/>
                <w:szCs w:val="14"/>
              </w:rPr>
            </w:pPr>
          </w:p>
        </w:tc>
        <w:tc>
          <w:tcPr>
            <w:tcW w:w="960" w:type="dxa"/>
            <w:vMerge/>
            <w:tcBorders>
              <w:top w:val="single" w:sz="8" w:space="0" w:color="A6A6A6"/>
              <w:left w:val="single" w:sz="8" w:space="0" w:color="A6A6A6"/>
              <w:bottom w:val="single" w:sz="8" w:space="0" w:color="A6A6A6"/>
              <w:right w:val="single" w:sz="8" w:space="0" w:color="A6A6A6"/>
            </w:tcBorders>
            <w:vAlign w:val="center"/>
            <w:hideMark/>
          </w:tcPr>
          <w:p w14:paraId="2EF12FA2" w14:textId="77777777" w:rsidR="00416D67" w:rsidRPr="00416D67" w:rsidRDefault="00416D67" w:rsidP="00416D67">
            <w:pPr>
              <w:rPr>
                <w:color w:val="000000"/>
                <w:sz w:val="14"/>
                <w:szCs w:val="14"/>
              </w:rPr>
            </w:pPr>
          </w:p>
        </w:tc>
        <w:tc>
          <w:tcPr>
            <w:tcW w:w="987" w:type="dxa"/>
            <w:vMerge/>
            <w:tcBorders>
              <w:top w:val="single" w:sz="8" w:space="0" w:color="A6A6A6"/>
              <w:left w:val="single" w:sz="8" w:space="0" w:color="A6A6A6"/>
              <w:bottom w:val="single" w:sz="8" w:space="0" w:color="A6A6A6"/>
              <w:right w:val="single" w:sz="8" w:space="0" w:color="A6A6A6"/>
            </w:tcBorders>
            <w:vAlign w:val="center"/>
            <w:hideMark/>
          </w:tcPr>
          <w:p w14:paraId="75BD2C92" w14:textId="77777777" w:rsidR="00416D67" w:rsidRPr="00416D67" w:rsidRDefault="00416D67" w:rsidP="00416D67">
            <w:pPr>
              <w:rPr>
                <w:color w:val="000000"/>
                <w:sz w:val="14"/>
                <w:szCs w:val="14"/>
              </w:rPr>
            </w:pPr>
          </w:p>
        </w:tc>
      </w:tr>
      <w:tr w:rsidR="00416D67" w:rsidRPr="00416D67" w14:paraId="60203603" w14:textId="77777777" w:rsidTr="00BB1392">
        <w:trPr>
          <w:trHeight w:val="330"/>
        </w:trPr>
        <w:tc>
          <w:tcPr>
            <w:tcW w:w="3850" w:type="dxa"/>
            <w:gridSpan w:val="3"/>
            <w:vMerge/>
            <w:tcBorders>
              <w:top w:val="single" w:sz="8" w:space="0" w:color="A6A6A6"/>
              <w:left w:val="single" w:sz="8" w:space="0" w:color="A6A6A6"/>
              <w:bottom w:val="single" w:sz="8" w:space="0" w:color="A6A6A6"/>
              <w:right w:val="single" w:sz="8" w:space="0" w:color="A6A6A6"/>
            </w:tcBorders>
            <w:vAlign w:val="center"/>
            <w:hideMark/>
          </w:tcPr>
          <w:p w14:paraId="10798450" w14:textId="77777777" w:rsidR="00416D67" w:rsidRPr="00416D67" w:rsidRDefault="00416D67" w:rsidP="00416D67">
            <w:pPr>
              <w:rPr>
                <w:color w:val="000000"/>
                <w:sz w:val="14"/>
                <w:szCs w:val="14"/>
              </w:rPr>
            </w:pPr>
          </w:p>
        </w:tc>
        <w:tc>
          <w:tcPr>
            <w:tcW w:w="1080" w:type="dxa"/>
            <w:tcBorders>
              <w:top w:val="nil"/>
              <w:left w:val="nil"/>
              <w:bottom w:val="single" w:sz="8" w:space="0" w:color="A6A6A6"/>
              <w:right w:val="single" w:sz="8" w:space="0" w:color="A6A6A6"/>
            </w:tcBorders>
            <w:shd w:val="clear" w:color="000000" w:fill="F2F2F2"/>
            <w:noWrap/>
            <w:vAlign w:val="center"/>
            <w:hideMark/>
          </w:tcPr>
          <w:p w14:paraId="20D5A2BE" w14:textId="77777777" w:rsidR="00416D67" w:rsidRPr="00416D67" w:rsidRDefault="00416D67" w:rsidP="00416D67">
            <w:pPr>
              <w:jc w:val="center"/>
              <w:rPr>
                <w:i/>
                <w:iCs/>
                <w:color w:val="000000"/>
                <w:sz w:val="14"/>
                <w:szCs w:val="14"/>
              </w:rPr>
            </w:pPr>
            <w:r w:rsidRPr="00416D67">
              <w:rPr>
                <w:i/>
                <w:iCs/>
                <w:color w:val="000000"/>
                <w:sz w:val="14"/>
                <w:szCs w:val="14"/>
              </w:rPr>
              <w:t>1</w:t>
            </w:r>
          </w:p>
        </w:tc>
        <w:tc>
          <w:tcPr>
            <w:tcW w:w="1080" w:type="dxa"/>
            <w:tcBorders>
              <w:top w:val="nil"/>
              <w:left w:val="nil"/>
              <w:bottom w:val="single" w:sz="8" w:space="0" w:color="A6A6A6"/>
              <w:right w:val="single" w:sz="8" w:space="0" w:color="A6A6A6"/>
            </w:tcBorders>
            <w:shd w:val="clear" w:color="000000" w:fill="F2F2F2"/>
            <w:noWrap/>
            <w:vAlign w:val="center"/>
            <w:hideMark/>
          </w:tcPr>
          <w:p w14:paraId="3ED116E9" w14:textId="77777777" w:rsidR="00416D67" w:rsidRPr="00416D67" w:rsidRDefault="00416D67" w:rsidP="00416D67">
            <w:pPr>
              <w:jc w:val="center"/>
              <w:rPr>
                <w:i/>
                <w:iCs/>
                <w:color w:val="000000"/>
                <w:sz w:val="14"/>
                <w:szCs w:val="14"/>
              </w:rPr>
            </w:pPr>
            <w:r w:rsidRPr="00416D67">
              <w:rPr>
                <w:i/>
                <w:iCs/>
                <w:color w:val="000000"/>
                <w:sz w:val="14"/>
                <w:szCs w:val="14"/>
              </w:rPr>
              <w:t>2</w:t>
            </w:r>
          </w:p>
        </w:tc>
        <w:tc>
          <w:tcPr>
            <w:tcW w:w="1080" w:type="dxa"/>
            <w:tcBorders>
              <w:top w:val="nil"/>
              <w:left w:val="nil"/>
              <w:bottom w:val="single" w:sz="8" w:space="0" w:color="A6A6A6"/>
              <w:right w:val="single" w:sz="8" w:space="0" w:color="A6A6A6"/>
            </w:tcBorders>
            <w:shd w:val="clear" w:color="000000" w:fill="F2F2F2"/>
            <w:noWrap/>
            <w:vAlign w:val="center"/>
            <w:hideMark/>
          </w:tcPr>
          <w:p w14:paraId="7668B1D9" w14:textId="77777777" w:rsidR="00416D67" w:rsidRPr="00416D67" w:rsidRDefault="00416D67" w:rsidP="00416D67">
            <w:pPr>
              <w:jc w:val="center"/>
              <w:rPr>
                <w:i/>
                <w:iCs/>
                <w:color w:val="000000"/>
                <w:sz w:val="14"/>
                <w:szCs w:val="14"/>
              </w:rPr>
            </w:pPr>
            <w:r w:rsidRPr="00416D67">
              <w:rPr>
                <w:i/>
                <w:iCs/>
                <w:color w:val="000000"/>
                <w:sz w:val="14"/>
                <w:szCs w:val="14"/>
              </w:rPr>
              <w:t>3</w:t>
            </w:r>
          </w:p>
        </w:tc>
        <w:tc>
          <w:tcPr>
            <w:tcW w:w="1080" w:type="dxa"/>
            <w:tcBorders>
              <w:top w:val="nil"/>
              <w:left w:val="nil"/>
              <w:bottom w:val="single" w:sz="8" w:space="0" w:color="A6A6A6"/>
              <w:right w:val="single" w:sz="8" w:space="0" w:color="A6A6A6"/>
            </w:tcBorders>
            <w:shd w:val="clear" w:color="000000" w:fill="F2F2F2"/>
            <w:noWrap/>
            <w:vAlign w:val="center"/>
            <w:hideMark/>
          </w:tcPr>
          <w:p w14:paraId="297BBD6E" w14:textId="77777777" w:rsidR="00416D67" w:rsidRPr="00416D67" w:rsidRDefault="00416D67" w:rsidP="00416D67">
            <w:pPr>
              <w:jc w:val="center"/>
              <w:rPr>
                <w:i/>
                <w:iCs/>
                <w:color w:val="000000"/>
                <w:sz w:val="14"/>
                <w:szCs w:val="14"/>
              </w:rPr>
            </w:pPr>
            <w:r w:rsidRPr="00416D67">
              <w:rPr>
                <w:i/>
                <w:iCs/>
                <w:color w:val="000000"/>
                <w:sz w:val="14"/>
                <w:szCs w:val="14"/>
              </w:rPr>
              <w:t>4</w:t>
            </w:r>
          </w:p>
        </w:tc>
        <w:tc>
          <w:tcPr>
            <w:tcW w:w="960" w:type="dxa"/>
            <w:tcBorders>
              <w:top w:val="nil"/>
              <w:left w:val="nil"/>
              <w:bottom w:val="single" w:sz="8" w:space="0" w:color="A6A6A6"/>
              <w:right w:val="single" w:sz="8" w:space="0" w:color="A6A6A6"/>
            </w:tcBorders>
            <w:shd w:val="clear" w:color="000000" w:fill="F2F2F2"/>
            <w:noWrap/>
            <w:vAlign w:val="center"/>
            <w:hideMark/>
          </w:tcPr>
          <w:p w14:paraId="0B1EF882" w14:textId="77777777" w:rsidR="00416D67" w:rsidRPr="00416D67" w:rsidRDefault="00416D67" w:rsidP="00416D67">
            <w:pPr>
              <w:jc w:val="center"/>
              <w:rPr>
                <w:i/>
                <w:iCs/>
                <w:color w:val="000000"/>
                <w:sz w:val="14"/>
                <w:szCs w:val="14"/>
              </w:rPr>
            </w:pPr>
            <w:r w:rsidRPr="00416D67">
              <w:rPr>
                <w:i/>
                <w:iCs/>
                <w:color w:val="000000"/>
                <w:sz w:val="14"/>
                <w:szCs w:val="14"/>
              </w:rPr>
              <w:t>5</w:t>
            </w:r>
          </w:p>
        </w:tc>
        <w:tc>
          <w:tcPr>
            <w:tcW w:w="987" w:type="dxa"/>
            <w:tcBorders>
              <w:top w:val="nil"/>
              <w:left w:val="nil"/>
              <w:bottom w:val="single" w:sz="8" w:space="0" w:color="A6A6A6"/>
              <w:right w:val="single" w:sz="8" w:space="0" w:color="A6A6A6"/>
            </w:tcBorders>
            <w:shd w:val="clear" w:color="000000" w:fill="F2F2F2"/>
            <w:noWrap/>
            <w:vAlign w:val="center"/>
            <w:hideMark/>
          </w:tcPr>
          <w:p w14:paraId="3E305B02" w14:textId="77777777" w:rsidR="00416D67" w:rsidRPr="00416D67" w:rsidRDefault="00416D67" w:rsidP="00416D67">
            <w:pPr>
              <w:jc w:val="center"/>
              <w:rPr>
                <w:i/>
                <w:iCs/>
                <w:color w:val="000000"/>
                <w:sz w:val="14"/>
                <w:szCs w:val="14"/>
              </w:rPr>
            </w:pPr>
            <w:r w:rsidRPr="00416D67">
              <w:rPr>
                <w:i/>
                <w:iCs/>
                <w:color w:val="000000"/>
                <w:sz w:val="14"/>
                <w:szCs w:val="14"/>
              </w:rPr>
              <w:t>6</w:t>
            </w:r>
          </w:p>
        </w:tc>
      </w:tr>
      <w:tr w:rsidR="00416D67" w:rsidRPr="00416D67" w14:paraId="56DB4F08" w14:textId="77777777" w:rsidTr="00BB1392">
        <w:trPr>
          <w:trHeight w:val="495"/>
        </w:trPr>
        <w:tc>
          <w:tcPr>
            <w:tcW w:w="1418" w:type="dxa"/>
            <w:gridSpan w:val="2"/>
            <w:tcBorders>
              <w:top w:val="single" w:sz="8" w:space="0" w:color="A6A6A6"/>
              <w:left w:val="single" w:sz="8" w:space="0" w:color="A6A6A6"/>
              <w:bottom w:val="single" w:sz="8" w:space="0" w:color="A6A6A6"/>
              <w:right w:val="single" w:sz="8" w:space="0" w:color="A6A6A6"/>
            </w:tcBorders>
            <w:shd w:val="clear" w:color="000000" w:fill="F2F2F2"/>
            <w:noWrap/>
            <w:vAlign w:val="center"/>
            <w:hideMark/>
          </w:tcPr>
          <w:p w14:paraId="4EC50C92" w14:textId="77777777" w:rsidR="00416D67" w:rsidRPr="00416D67" w:rsidRDefault="00416D67" w:rsidP="00416D67">
            <w:pPr>
              <w:rPr>
                <w:b/>
                <w:bCs/>
                <w:color w:val="000000"/>
                <w:sz w:val="14"/>
                <w:szCs w:val="14"/>
              </w:rPr>
            </w:pPr>
            <w:r w:rsidRPr="00416D67">
              <w:rPr>
                <w:b/>
                <w:bCs/>
                <w:color w:val="000000"/>
                <w:sz w:val="14"/>
                <w:szCs w:val="14"/>
              </w:rPr>
              <w:t> </w:t>
            </w:r>
          </w:p>
        </w:tc>
        <w:tc>
          <w:tcPr>
            <w:tcW w:w="2432" w:type="dxa"/>
            <w:tcBorders>
              <w:top w:val="nil"/>
              <w:left w:val="nil"/>
              <w:bottom w:val="single" w:sz="8" w:space="0" w:color="A6A6A6"/>
              <w:right w:val="single" w:sz="8" w:space="0" w:color="A6A6A6"/>
            </w:tcBorders>
            <w:shd w:val="clear" w:color="000000" w:fill="F2F2F2"/>
            <w:vAlign w:val="center"/>
            <w:hideMark/>
          </w:tcPr>
          <w:p w14:paraId="78802410" w14:textId="77777777" w:rsidR="00416D67" w:rsidRPr="00416D67" w:rsidRDefault="00416D67" w:rsidP="00416D67">
            <w:pPr>
              <w:rPr>
                <w:b/>
                <w:bCs/>
                <w:color w:val="000000"/>
                <w:sz w:val="14"/>
                <w:szCs w:val="14"/>
              </w:rPr>
            </w:pPr>
            <w:r w:rsidRPr="00416D67">
              <w:rPr>
                <w:b/>
                <w:bCs/>
                <w:color w:val="000000"/>
                <w:sz w:val="14"/>
                <w:szCs w:val="14"/>
              </w:rPr>
              <w:t>UKUPNO RASHODI I IZDATCI</w:t>
            </w:r>
          </w:p>
        </w:tc>
        <w:tc>
          <w:tcPr>
            <w:tcW w:w="1080" w:type="dxa"/>
            <w:tcBorders>
              <w:top w:val="nil"/>
              <w:left w:val="nil"/>
              <w:bottom w:val="single" w:sz="8" w:space="0" w:color="A6A6A6"/>
              <w:right w:val="single" w:sz="8" w:space="0" w:color="A6A6A6"/>
            </w:tcBorders>
            <w:shd w:val="clear" w:color="000000" w:fill="F2F2F2"/>
            <w:noWrap/>
            <w:vAlign w:val="center"/>
            <w:hideMark/>
          </w:tcPr>
          <w:p w14:paraId="66F470A6" w14:textId="77777777" w:rsidR="00416D67" w:rsidRPr="00416D67" w:rsidRDefault="00416D67" w:rsidP="00416D67">
            <w:pPr>
              <w:jc w:val="right"/>
              <w:rPr>
                <w:b/>
                <w:bCs/>
                <w:color w:val="000000"/>
                <w:sz w:val="14"/>
                <w:szCs w:val="14"/>
              </w:rPr>
            </w:pPr>
            <w:r w:rsidRPr="00416D67">
              <w:rPr>
                <w:b/>
                <w:bCs/>
                <w:color w:val="000000"/>
                <w:sz w:val="14"/>
                <w:szCs w:val="14"/>
              </w:rPr>
              <w:t>5.321.693,86</w:t>
            </w:r>
          </w:p>
        </w:tc>
        <w:tc>
          <w:tcPr>
            <w:tcW w:w="1080" w:type="dxa"/>
            <w:tcBorders>
              <w:top w:val="nil"/>
              <w:left w:val="nil"/>
              <w:bottom w:val="single" w:sz="8" w:space="0" w:color="A6A6A6"/>
              <w:right w:val="single" w:sz="8" w:space="0" w:color="A6A6A6"/>
            </w:tcBorders>
            <w:shd w:val="clear" w:color="000000" w:fill="F2F2F2"/>
            <w:noWrap/>
            <w:vAlign w:val="center"/>
            <w:hideMark/>
          </w:tcPr>
          <w:p w14:paraId="4A926D71" w14:textId="77777777" w:rsidR="00416D67" w:rsidRPr="00416D67" w:rsidRDefault="00416D67" w:rsidP="00416D67">
            <w:pPr>
              <w:jc w:val="right"/>
              <w:rPr>
                <w:b/>
                <w:bCs/>
                <w:color w:val="000000"/>
                <w:sz w:val="14"/>
                <w:szCs w:val="14"/>
              </w:rPr>
            </w:pPr>
            <w:r w:rsidRPr="00416D67">
              <w:rPr>
                <w:b/>
                <w:bCs/>
                <w:color w:val="000000"/>
                <w:sz w:val="14"/>
                <w:szCs w:val="14"/>
              </w:rPr>
              <w:t>9.163.800,00</w:t>
            </w:r>
          </w:p>
        </w:tc>
        <w:tc>
          <w:tcPr>
            <w:tcW w:w="1080" w:type="dxa"/>
            <w:tcBorders>
              <w:top w:val="nil"/>
              <w:left w:val="nil"/>
              <w:bottom w:val="single" w:sz="8" w:space="0" w:color="A6A6A6"/>
              <w:right w:val="single" w:sz="8" w:space="0" w:color="A6A6A6"/>
            </w:tcBorders>
            <w:shd w:val="clear" w:color="000000" w:fill="F2F2F2"/>
            <w:noWrap/>
            <w:vAlign w:val="center"/>
            <w:hideMark/>
          </w:tcPr>
          <w:p w14:paraId="6E7D596C" w14:textId="77777777" w:rsidR="00416D67" w:rsidRPr="00416D67" w:rsidRDefault="00416D67" w:rsidP="00416D67">
            <w:pPr>
              <w:jc w:val="right"/>
              <w:rPr>
                <w:b/>
                <w:bCs/>
                <w:color w:val="000000"/>
                <w:sz w:val="14"/>
                <w:szCs w:val="14"/>
              </w:rPr>
            </w:pPr>
            <w:r w:rsidRPr="00416D67">
              <w:rPr>
                <w:b/>
                <w:bCs/>
                <w:color w:val="000000"/>
                <w:sz w:val="14"/>
                <w:szCs w:val="14"/>
              </w:rPr>
              <w:t>9.163.800,00</w:t>
            </w:r>
          </w:p>
        </w:tc>
        <w:tc>
          <w:tcPr>
            <w:tcW w:w="1080" w:type="dxa"/>
            <w:tcBorders>
              <w:top w:val="nil"/>
              <w:left w:val="nil"/>
              <w:bottom w:val="single" w:sz="8" w:space="0" w:color="A6A6A6"/>
              <w:right w:val="single" w:sz="8" w:space="0" w:color="A6A6A6"/>
            </w:tcBorders>
            <w:shd w:val="clear" w:color="000000" w:fill="F2F2F2"/>
            <w:noWrap/>
            <w:vAlign w:val="center"/>
            <w:hideMark/>
          </w:tcPr>
          <w:p w14:paraId="59DC681D" w14:textId="77777777" w:rsidR="00416D67" w:rsidRPr="00416D67" w:rsidRDefault="00416D67" w:rsidP="00416D67">
            <w:pPr>
              <w:jc w:val="right"/>
              <w:rPr>
                <w:b/>
                <w:bCs/>
                <w:color w:val="000000"/>
                <w:sz w:val="14"/>
                <w:szCs w:val="14"/>
              </w:rPr>
            </w:pPr>
            <w:r w:rsidRPr="00416D67">
              <w:rPr>
                <w:b/>
                <w:bCs/>
                <w:color w:val="000000"/>
                <w:sz w:val="14"/>
                <w:szCs w:val="14"/>
              </w:rPr>
              <w:t>6.587.292,79</w:t>
            </w:r>
          </w:p>
        </w:tc>
        <w:tc>
          <w:tcPr>
            <w:tcW w:w="960" w:type="dxa"/>
            <w:tcBorders>
              <w:top w:val="nil"/>
              <w:left w:val="nil"/>
              <w:bottom w:val="single" w:sz="8" w:space="0" w:color="A6A6A6"/>
              <w:right w:val="single" w:sz="8" w:space="0" w:color="A6A6A6"/>
            </w:tcBorders>
            <w:shd w:val="clear" w:color="000000" w:fill="F2F2F2"/>
            <w:noWrap/>
            <w:vAlign w:val="center"/>
            <w:hideMark/>
          </w:tcPr>
          <w:p w14:paraId="7792FF51" w14:textId="77777777" w:rsidR="00416D67" w:rsidRPr="00416D67" w:rsidRDefault="00416D67" w:rsidP="00416D67">
            <w:pPr>
              <w:jc w:val="right"/>
              <w:rPr>
                <w:b/>
                <w:bCs/>
                <w:color w:val="000000"/>
                <w:sz w:val="14"/>
                <w:szCs w:val="14"/>
              </w:rPr>
            </w:pPr>
            <w:r w:rsidRPr="00416D67">
              <w:rPr>
                <w:b/>
                <w:bCs/>
                <w:color w:val="000000"/>
                <w:sz w:val="14"/>
                <w:szCs w:val="14"/>
              </w:rPr>
              <w:t>123,78%</w:t>
            </w:r>
          </w:p>
        </w:tc>
        <w:tc>
          <w:tcPr>
            <w:tcW w:w="987" w:type="dxa"/>
            <w:tcBorders>
              <w:top w:val="nil"/>
              <w:left w:val="nil"/>
              <w:bottom w:val="single" w:sz="8" w:space="0" w:color="A6A6A6"/>
              <w:right w:val="single" w:sz="8" w:space="0" w:color="A6A6A6"/>
            </w:tcBorders>
            <w:shd w:val="clear" w:color="000000" w:fill="F2F2F2"/>
            <w:noWrap/>
            <w:vAlign w:val="center"/>
            <w:hideMark/>
          </w:tcPr>
          <w:p w14:paraId="5D59BE03" w14:textId="77777777" w:rsidR="00416D67" w:rsidRPr="00416D67" w:rsidRDefault="00416D67" w:rsidP="00416D67">
            <w:pPr>
              <w:jc w:val="right"/>
              <w:rPr>
                <w:b/>
                <w:bCs/>
                <w:color w:val="000000"/>
                <w:sz w:val="14"/>
                <w:szCs w:val="14"/>
              </w:rPr>
            </w:pPr>
            <w:r w:rsidRPr="00416D67">
              <w:rPr>
                <w:b/>
                <w:bCs/>
                <w:color w:val="000000"/>
                <w:sz w:val="14"/>
                <w:szCs w:val="14"/>
              </w:rPr>
              <w:t>71,88%</w:t>
            </w:r>
          </w:p>
        </w:tc>
      </w:tr>
      <w:tr w:rsidR="00416D67" w:rsidRPr="00416D67" w14:paraId="187E7457" w14:textId="77777777" w:rsidTr="00BB1392">
        <w:trPr>
          <w:trHeight w:val="492"/>
        </w:trPr>
        <w:tc>
          <w:tcPr>
            <w:tcW w:w="710" w:type="dxa"/>
            <w:tcBorders>
              <w:top w:val="nil"/>
              <w:left w:val="single" w:sz="8" w:space="0" w:color="A6A6A6"/>
              <w:bottom w:val="single" w:sz="8" w:space="0" w:color="A6A6A6"/>
              <w:right w:val="single" w:sz="8" w:space="0" w:color="A6A6A6"/>
            </w:tcBorders>
            <w:shd w:val="clear" w:color="000000" w:fill="BFBFBF"/>
            <w:noWrap/>
            <w:vAlign w:val="center"/>
            <w:hideMark/>
          </w:tcPr>
          <w:p w14:paraId="3673CCDC" w14:textId="77777777" w:rsidR="00416D67" w:rsidRPr="00416D67" w:rsidRDefault="00416D67" w:rsidP="00416D67">
            <w:pPr>
              <w:rPr>
                <w:b/>
                <w:bCs/>
                <w:color w:val="000000"/>
                <w:sz w:val="14"/>
                <w:szCs w:val="14"/>
              </w:rPr>
            </w:pPr>
            <w:r w:rsidRPr="00416D67">
              <w:rPr>
                <w:b/>
                <w:bCs/>
                <w:color w:val="000000"/>
                <w:sz w:val="14"/>
                <w:szCs w:val="14"/>
              </w:rPr>
              <w:t>Razdjel</w:t>
            </w:r>
          </w:p>
        </w:tc>
        <w:tc>
          <w:tcPr>
            <w:tcW w:w="708" w:type="dxa"/>
            <w:tcBorders>
              <w:top w:val="nil"/>
              <w:left w:val="nil"/>
              <w:bottom w:val="single" w:sz="8" w:space="0" w:color="A6A6A6"/>
              <w:right w:val="single" w:sz="8" w:space="0" w:color="A6A6A6"/>
            </w:tcBorders>
            <w:shd w:val="clear" w:color="000000" w:fill="BFBFBF"/>
            <w:noWrap/>
            <w:vAlign w:val="center"/>
            <w:hideMark/>
          </w:tcPr>
          <w:p w14:paraId="1386DD6E" w14:textId="77777777" w:rsidR="00416D67" w:rsidRPr="00416D67" w:rsidRDefault="00416D67" w:rsidP="00416D67">
            <w:pPr>
              <w:rPr>
                <w:b/>
                <w:bCs/>
                <w:color w:val="000000"/>
                <w:sz w:val="14"/>
                <w:szCs w:val="14"/>
              </w:rPr>
            </w:pPr>
            <w:r w:rsidRPr="00416D67">
              <w:rPr>
                <w:b/>
                <w:bCs/>
                <w:color w:val="000000"/>
                <w:sz w:val="14"/>
                <w:szCs w:val="14"/>
              </w:rPr>
              <w:t>1</w:t>
            </w:r>
          </w:p>
        </w:tc>
        <w:tc>
          <w:tcPr>
            <w:tcW w:w="2432" w:type="dxa"/>
            <w:tcBorders>
              <w:top w:val="nil"/>
              <w:left w:val="nil"/>
              <w:bottom w:val="single" w:sz="8" w:space="0" w:color="A6A6A6"/>
              <w:right w:val="single" w:sz="8" w:space="0" w:color="A6A6A6"/>
            </w:tcBorders>
            <w:shd w:val="clear" w:color="000000" w:fill="BFBFBF"/>
            <w:vAlign w:val="center"/>
            <w:hideMark/>
          </w:tcPr>
          <w:p w14:paraId="37E97FB5" w14:textId="77777777" w:rsidR="00416D67" w:rsidRPr="00416D67" w:rsidRDefault="00416D67" w:rsidP="00416D67">
            <w:pPr>
              <w:rPr>
                <w:b/>
                <w:bCs/>
                <w:color w:val="000000"/>
                <w:sz w:val="14"/>
                <w:szCs w:val="14"/>
              </w:rPr>
            </w:pPr>
            <w:r w:rsidRPr="00416D67">
              <w:rPr>
                <w:b/>
                <w:bCs/>
                <w:color w:val="000000"/>
                <w:sz w:val="14"/>
                <w:szCs w:val="14"/>
              </w:rPr>
              <w:t>PREDSTAVNIČKO TIJELO, IZVRŠNO TIJELO I MJESNA SAMOUPRAVA</w:t>
            </w:r>
          </w:p>
        </w:tc>
        <w:tc>
          <w:tcPr>
            <w:tcW w:w="1080" w:type="dxa"/>
            <w:tcBorders>
              <w:top w:val="nil"/>
              <w:left w:val="nil"/>
              <w:bottom w:val="single" w:sz="8" w:space="0" w:color="A6A6A6"/>
              <w:right w:val="single" w:sz="8" w:space="0" w:color="A6A6A6"/>
            </w:tcBorders>
            <w:shd w:val="clear" w:color="000000" w:fill="BFBFBF"/>
            <w:noWrap/>
            <w:vAlign w:val="center"/>
            <w:hideMark/>
          </w:tcPr>
          <w:p w14:paraId="13D505D1" w14:textId="77777777" w:rsidR="00416D67" w:rsidRPr="00416D67" w:rsidRDefault="00416D67" w:rsidP="00416D67">
            <w:pPr>
              <w:jc w:val="right"/>
              <w:rPr>
                <w:b/>
                <w:bCs/>
                <w:color w:val="000000"/>
                <w:sz w:val="14"/>
                <w:szCs w:val="14"/>
              </w:rPr>
            </w:pPr>
            <w:r w:rsidRPr="00416D67">
              <w:rPr>
                <w:b/>
                <w:bCs/>
                <w:color w:val="000000"/>
                <w:sz w:val="14"/>
                <w:szCs w:val="14"/>
              </w:rPr>
              <w:t>104.058,33</w:t>
            </w:r>
          </w:p>
        </w:tc>
        <w:tc>
          <w:tcPr>
            <w:tcW w:w="1080" w:type="dxa"/>
            <w:tcBorders>
              <w:top w:val="nil"/>
              <w:left w:val="nil"/>
              <w:bottom w:val="single" w:sz="8" w:space="0" w:color="A6A6A6"/>
              <w:right w:val="single" w:sz="8" w:space="0" w:color="A6A6A6"/>
            </w:tcBorders>
            <w:shd w:val="clear" w:color="000000" w:fill="BFBFBF"/>
            <w:noWrap/>
            <w:vAlign w:val="center"/>
            <w:hideMark/>
          </w:tcPr>
          <w:p w14:paraId="6E4CEC34" w14:textId="77777777" w:rsidR="00416D67" w:rsidRPr="00416D67" w:rsidRDefault="00416D67" w:rsidP="00416D67">
            <w:pPr>
              <w:jc w:val="right"/>
              <w:rPr>
                <w:b/>
                <w:bCs/>
                <w:color w:val="000000"/>
                <w:sz w:val="14"/>
                <w:szCs w:val="14"/>
              </w:rPr>
            </w:pPr>
            <w:r w:rsidRPr="00416D67">
              <w:rPr>
                <w:b/>
                <w:bCs/>
                <w:color w:val="000000"/>
                <w:sz w:val="14"/>
                <w:szCs w:val="14"/>
              </w:rPr>
              <w:t>186.336,40</w:t>
            </w:r>
          </w:p>
        </w:tc>
        <w:tc>
          <w:tcPr>
            <w:tcW w:w="1080" w:type="dxa"/>
            <w:tcBorders>
              <w:top w:val="nil"/>
              <w:left w:val="nil"/>
              <w:bottom w:val="single" w:sz="8" w:space="0" w:color="A6A6A6"/>
              <w:right w:val="single" w:sz="8" w:space="0" w:color="A6A6A6"/>
            </w:tcBorders>
            <w:shd w:val="clear" w:color="000000" w:fill="BFBFBF"/>
            <w:noWrap/>
            <w:vAlign w:val="center"/>
            <w:hideMark/>
          </w:tcPr>
          <w:p w14:paraId="180E7975" w14:textId="77777777" w:rsidR="00416D67" w:rsidRPr="00416D67" w:rsidRDefault="00416D67" w:rsidP="00416D67">
            <w:pPr>
              <w:jc w:val="right"/>
              <w:rPr>
                <w:b/>
                <w:bCs/>
                <w:color w:val="000000"/>
                <w:sz w:val="14"/>
                <w:szCs w:val="14"/>
              </w:rPr>
            </w:pPr>
            <w:r w:rsidRPr="00416D67">
              <w:rPr>
                <w:b/>
                <w:bCs/>
                <w:color w:val="000000"/>
                <w:sz w:val="14"/>
                <w:szCs w:val="14"/>
              </w:rPr>
              <w:t>186.336,40</w:t>
            </w:r>
          </w:p>
        </w:tc>
        <w:tc>
          <w:tcPr>
            <w:tcW w:w="1080" w:type="dxa"/>
            <w:tcBorders>
              <w:top w:val="nil"/>
              <w:left w:val="nil"/>
              <w:bottom w:val="single" w:sz="8" w:space="0" w:color="A6A6A6"/>
              <w:right w:val="single" w:sz="8" w:space="0" w:color="A6A6A6"/>
            </w:tcBorders>
            <w:shd w:val="clear" w:color="000000" w:fill="BFBFBF"/>
            <w:noWrap/>
            <w:vAlign w:val="center"/>
            <w:hideMark/>
          </w:tcPr>
          <w:p w14:paraId="7E564D00" w14:textId="77777777" w:rsidR="00416D67" w:rsidRPr="00416D67" w:rsidRDefault="00416D67" w:rsidP="00416D67">
            <w:pPr>
              <w:jc w:val="right"/>
              <w:rPr>
                <w:b/>
                <w:bCs/>
                <w:color w:val="000000"/>
                <w:sz w:val="14"/>
                <w:szCs w:val="14"/>
              </w:rPr>
            </w:pPr>
            <w:r w:rsidRPr="00416D67">
              <w:rPr>
                <w:b/>
                <w:bCs/>
                <w:color w:val="000000"/>
                <w:sz w:val="14"/>
                <w:szCs w:val="14"/>
              </w:rPr>
              <w:t>168.457,28</w:t>
            </w:r>
          </w:p>
        </w:tc>
        <w:tc>
          <w:tcPr>
            <w:tcW w:w="960" w:type="dxa"/>
            <w:tcBorders>
              <w:top w:val="nil"/>
              <w:left w:val="nil"/>
              <w:bottom w:val="single" w:sz="8" w:space="0" w:color="A6A6A6"/>
              <w:right w:val="single" w:sz="8" w:space="0" w:color="A6A6A6"/>
            </w:tcBorders>
            <w:shd w:val="clear" w:color="000000" w:fill="BFBFBF"/>
            <w:noWrap/>
            <w:vAlign w:val="center"/>
            <w:hideMark/>
          </w:tcPr>
          <w:p w14:paraId="4FD4EE7D" w14:textId="77777777" w:rsidR="00416D67" w:rsidRPr="00416D67" w:rsidRDefault="00416D67" w:rsidP="00416D67">
            <w:pPr>
              <w:jc w:val="right"/>
              <w:rPr>
                <w:b/>
                <w:bCs/>
                <w:color w:val="000000"/>
                <w:sz w:val="14"/>
                <w:szCs w:val="14"/>
              </w:rPr>
            </w:pPr>
            <w:r w:rsidRPr="00416D67">
              <w:rPr>
                <w:b/>
                <w:bCs/>
                <w:color w:val="000000"/>
                <w:sz w:val="14"/>
                <w:szCs w:val="14"/>
              </w:rPr>
              <w:t>161,89%</w:t>
            </w:r>
          </w:p>
        </w:tc>
        <w:tc>
          <w:tcPr>
            <w:tcW w:w="987" w:type="dxa"/>
            <w:tcBorders>
              <w:top w:val="nil"/>
              <w:left w:val="nil"/>
              <w:bottom w:val="single" w:sz="8" w:space="0" w:color="A6A6A6"/>
              <w:right w:val="single" w:sz="8" w:space="0" w:color="A6A6A6"/>
            </w:tcBorders>
            <w:shd w:val="clear" w:color="000000" w:fill="BFBFBF"/>
            <w:noWrap/>
            <w:vAlign w:val="center"/>
            <w:hideMark/>
          </w:tcPr>
          <w:p w14:paraId="36CE040F" w14:textId="77777777" w:rsidR="00416D67" w:rsidRPr="00416D67" w:rsidRDefault="00416D67" w:rsidP="00416D67">
            <w:pPr>
              <w:jc w:val="right"/>
              <w:rPr>
                <w:b/>
                <w:bCs/>
                <w:color w:val="000000"/>
                <w:sz w:val="14"/>
                <w:szCs w:val="14"/>
              </w:rPr>
            </w:pPr>
            <w:r w:rsidRPr="00416D67">
              <w:rPr>
                <w:b/>
                <w:bCs/>
                <w:color w:val="000000"/>
                <w:sz w:val="14"/>
                <w:szCs w:val="14"/>
              </w:rPr>
              <w:t>90,40%</w:t>
            </w:r>
          </w:p>
        </w:tc>
      </w:tr>
      <w:tr w:rsidR="00416D67" w:rsidRPr="00416D67" w14:paraId="54CDB525" w14:textId="77777777" w:rsidTr="00BB1392">
        <w:trPr>
          <w:trHeight w:val="533"/>
        </w:trPr>
        <w:tc>
          <w:tcPr>
            <w:tcW w:w="710" w:type="dxa"/>
            <w:tcBorders>
              <w:top w:val="nil"/>
              <w:left w:val="single" w:sz="8" w:space="0" w:color="A6A6A6"/>
              <w:bottom w:val="single" w:sz="8" w:space="0" w:color="A6A6A6"/>
              <w:right w:val="single" w:sz="8" w:space="0" w:color="A6A6A6"/>
            </w:tcBorders>
            <w:noWrap/>
            <w:vAlign w:val="center"/>
            <w:hideMark/>
          </w:tcPr>
          <w:p w14:paraId="4641EC9F" w14:textId="77777777" w:rsidR="00416D67" w:rsidRPr="00416D67" w:rsidRDefault="00416D67" w:rsidP="00416D67">
            <w:pPr>
              <w:rPr>
                <w:color w:val="000000"/>
                <w:sz w:val="14"/>
                <w:szCs w:val="14"/>
              </w:rPr>
            </w:pPr>
            <w:r w:rsidRPr="00416D67">
              <w:rPr>
                <w:color w:val="000000"/>
                <w:sz w:val="14"/>
                <w:szCs w:val="14"/>
              </w:rPr>
              <w:t>Glava</w:t>
            </w:r>
          </w:p>
        </w:tc>
        <w:tc>
          <w:tcPr>
            <w:tcW w:w="708" w:type="dxa"/>
            <w:tcBorders>
              <w:top w:val="nil"/>
              <w:left w:val="nil"/>
              <w:bottom w:val="single" w:sz="8" w:space="0" w:color="A6A6A6"/>
              <w:right w:val="single" w:sz="8" w:space="0" w:color="A6A6A6"/>
            </w:tcBorders>
            <w:noWrap/>
            <w:vAlign w:val="center"/>
            <w:hideMark/>
          </w:tcPr>
          <w:p w14:paraId="6A1F6062" w14:textId="77777777" w:rsidR="00416D67" w:rsidRPr="00416D67" w:rsidRDefault="00416D67" w:rsidP="00416D67">
            <w:pPr>
              <w:rPr>
                <w:color w:val="000000"/>
                <w:sz w:val="14"/>
                <w:szCs w:val="14"/>
              </w:rPr>
            </w:pPr>
            <w:r w:rsidRPr="00416D67">
              <w:rPr>
                <w:color w:val="000000"/>
                <w:sz w:val="14"/>
                <w:szCs w:val="14"/>
              </w:rPr>
              <w:t>01 101</w:t>
            </w:r>
          </w:p>
        </w:tc>
        <w:tc>
          <w:tcPr>
            <w:tcW w:w="2432" w:type="dxa"/>
            <w:tcBorders>
              <w:top w:val="nil"/>
              <w:left w:val="nil"/>
              <w:bottom w:val="single" w:sz="8" w:space="0" w:color="A6A6A6"/>
              <w:right w:val="single" w:sz="8" w:space="0" w:color="A6A6A6"/>
            </w:tcBorders>
            <w:vAlign w:val="center"/>
            <w:hideMark/>
          </w:tcPr>
          <w:p w14:paraId="50C17A86" w14:textId="77777777" w:rsidR="00416D67" w:rsidRPr="00416D67" w:rsidRDefault="00416D67" w:rsidP="00416D67">
            <w:pPr>
              <w:rPr>
                <w:color w:val="000000"/>
                <w:sz w:val="14"/>
                <w:szCs w:val="14"/>
              </w:rPr>
            </w:pPr>
            <w:r w:rsidRPr="00416D67">
              <w:rPr>
                <w:color w:val="000000"/>
                <w:sz w:val="14"/>
                <w:szCs w:val="14"/>
              </w:rPr>
              <w:t>OPĆINSKO VIJEĆE I MJESNA SAMOUPRAVA</w:t>
            </w:r>
          </w:p>
        </w:tc>
        <w:tc>
          <w:tcPr>
            <w:tcW w:w="1080" w:type="dxa"/>
            <w:tcBorders>
              <w:top w:val="nil"/>
              <w:left w:val="nil"/>
              <w:bottom w:val="single" w:sz="8" w:space="0" w:color="A6A6A6"/>
              <w:right w:val="single" w:sz="8" w:space="0" w:color="A6A6A6"/>
            </w:tcBorders>
            <w:noWrap/>
            <w:vAlign w:val="center"/>
            <w:hideMark/>
          </w:tcPr>
          <w:p w14:paraId="2986483D" w14:textId="77777777" w:rsidR="00416D67" w:rsidRPr="00416D67" w:rsidRDefault="00416D67" w:rsidP="00416D67">
            <w:pPr>
              <w:jc w:val="right"/>
              <w:rPr>
                <w:color w:val="000000"/>
                <w:sz w:val="14"/>
                <w:szCs w:val="14"/>
              </w:rPr>
            </w:pPr>
            <w:r w:rsidRPr="00416D67">
              <w:rPr>
                <w:color w:val="000000"/>
                <w:sz w:val="14"/>
                <w:szCs w:val="14"/>
              </w:rPr>
              <w:t>41.742,39</w:t>
            </w:r>
          </w:p>
        </w:tc>
        <w:tc>
          <w:tcPr>
            <w:tcW w:w="1080" w:type="dxa"/>
            <w:tcBorders>
              <w:top w:val="nil"/>
              <w:left w:val="nil"/>
              <w:bottom w:val="single" w:sz="8" w:space="0" w:color="A6A6A6"/>
              <w:right w:val="single" w:sz="8" w:space="0" w:color="A6A6A6"/>
            </w:tcBorders>
            <w:noWrap/>
            <w:vAlign w:val="center"/>
            <w:hideMark/>
          </w:tcPr>
          <w:p w14:paraId="1F8E12AC" w14:textId="77777777" w:rsidR="00416D67" w:rsidRPr="00416D67" w:rsidRDefault="00416D67" w:rsidP="00416D67">
            <w:pPr>
              <w:jc w:val="right"/>
              <w:rPr>
                <w:color w:val="000000"/>
                <w:sz w:val="14"/>
                <w:szCs w:val="14"/>
              </w:rPr>
            </w:pPr>
            <w:r w:rsidRPr="00416D67">
              <w:rPr>
                <w:color w:val="000000"/>
                <w:sz w:val="14"/>
                <w:szCs w:val="14"/>
              </w:rPr>
              <w:t>102.460,00</w:t>
            </w:r>
          </w:p>
        </w:tc>
        <w:tc>
          <w:tcPr>
            <w:tcW w:w="1080" w:type="dxa"/>
            <w:tcBorders>
              <w:top w:val="nil"/>
              <w:left w:val="nil"/>
              <w:bottom w:val="single" w:sz="8" w:space="0" w:color="A6A6A6"/>
              <w:right w:val="single" w:sz="8" w:space="0" w:color="A6A6A6"/>
            </w:tcBorders>
            <w:noWrap/>
            <w:vAlign w:val="center"/>
            <w:hideMark/>
          </w:tcPr>
          <w:p w14:paraId="286F010A" w14:textId="77777777" w:rsidR="00416D67" w:rsidRPr="00416D67" w:rsidRDefault="00416D67" w:rsidP="00416D67">
            <w:pPr>
              <w:jc w:val="right"/>
              <w:rPr>
                <w:color w:val="000000"/>
                <w:sz w:val="14"/>
                <w:szCs w:val="14"/>
              </w:rPr>
            </w:pPr>
            <w:r w:rsidRPr="00416D67">
              <w:rPr>
                <w:color w:val="000000"/>
                <w:sz w:val="14"/>
                <w:szCs w:val="14"/>
              </w:rPr>
              <w:t>102.460,00</w:t>
            </w:r>
          </w:p>
        </w:tc>
        <w:tc>
          <w:tcPr>
            <w:tcW w:w="1080" w:type="dxa"/>
            <w:tcBorders>
              <w:top w:val="nil"/>
              <w:left w:val="nil"/>
              <w:bottom w:val="single" w:sz="8" w:space="0" w:color="A6A6A6"/>
              <w:right w:val="single" w:sz="8" w:space="0" w:color="A6A6A6"/>
            </w:tcBorders>
            <w:noWrap/>
            <w:vAlign w:val="center"/>
            <w:hideMark/>
          </w:tcPr>
          <w:p w14:paraId="4587AB15" w14:textId="77777777" w:rsidR="00416D67" w:rsidRPr="00416D67" w:rsidRDefault="00416D67" w:rsidP="00416D67">
            <w:pPr>
              <w:jc w:val="right"/>
              <w:rPr>
                <w:color w:val="000000"/>
                <w:sz w:val="14"/>
                <w:szCs w:val="14"/>
              </w:rPr>
            </w:pPr>
            <w:r w:rsidRPr="00416D67">
              <w:rPr>
                <w:color w:val="000000"/>
                <w:sz w:val="14"/>
                <w:szCs w:val="14"/>
              </w:rPr>
              <w:t>88.295,54</w:t>
            </w:r>
          </w:p>
        </w:tc>
        <w:tc>
          <w:tcPr>
            <w:tcW w:w="960" w:type="dxa"/>
            <w:tcBorders>
              <w:top w:val="nil"/>
              <w:left w:val="nil"/>
              <w:bottom w:val="single" w:sz="8" w:space="0" w:color="A6A6A6"/>
              <w:right w:val="single" w:sz="8" w:space="0" w:color="A6A6A6"/>
            </w:tcBorders>
            <w:noWrap/>
            <w:vAlign w:val="center"/>
            <w:hideMark/>
          </w:tcPr>
          <w:p w14:paraId="00BB254A" w14:textId="77777777" w:rsidR="00416D67" w:rsidRPr="00416D67" w:rsidRDefault="00416D67" w:rsidP="00416D67">
            <w:pPr>
              <w:jc w:val="right"/>
              <w:rPr>
                <w:color w:val="000000"/>
                <w:sz w:val="14"/>
                <w:szCs w:val="14"/>
              </w:rPr>
            </w:pPr>
            <w:r w:rsidRPr="00416D67">
              <w:rPr>
                <w:color w:val="000000"/>
                <w:sz w:val="14"/>
                <w:szCs w:val="14"/>
              </w:rPr>
              <w:t>211,52%</w:t>
            </w:r>
          </w:p>
        </w:tc>
        <w:tc>
          <w:tcPr>
            <w:tcW w:w="987" w:type="dxa"/>
            <w:tcBorders>
              <w:top w:val="nil"/>
              <w:left w:val="nil"/>
              <w:bottom w:val="single" w:sz="8" w:space="0" w:color="A6A6A6"/>
              <w:right w:val="single" w:sz="8" w:space="0" w:color="A6A6A6"/>
            </w:tcBorders>
            <w:noWrap/>
            <w:vAlign w:val="center"/>
            <w:hideMark/>
          </w:tcPr>
          <w:p w14:paraId="26924780" w14:textId="77777777" w:rsidR="00416D67" w:rsidRPr="00416D67" w:rsidRDefault="00416D67" w:rsidP="00416D67">
            <w:pPr>
              <w:jc w:val="right"/>
              <w:rPr>
                <w:color w:val="000000"/>
                <w:sz w:val="14"/>
                <w:szCs w:val="14"/>
              </w:rPr>
            </w:pPr>
            <w:r w:rsidRPr="00416D67">
              <w:rPr>
                <w:color w:val="000000"/>
                <w:sz w:val="14"/>
                <w:szCs w:val="14"/>
              </w:rPr>
              <w:t>86,18%</w:t>
            </w:r>
          </w:p>
        </w:tc>
      </w:tr>
      <w:tr w:rsidR="00416D67" w:rsidRPr="00416D67" w14:paraId="773CF218" w14:textId="77777777" w:rsidTr="00BB1392">
        <w:trPr>
          <w:trHeight w:val="413"/>
        </w:trPr>
        <w:tc>
          <w:tcPr>
            <w:tcW w:w="710" w:type="dxa"/>
            <w:tcBorders>
              <w:top w:val="nil"/>
              <w:left w:val="single" w:sz="8" w:space="0" w:color="A6A6A6"/>
              <w:bottom w:val="single" w:sz="8" w:space="0" w:color="A6A6A6"/>
              <w:right w:val="single" w:sz="8" w:space="0" w:color="A6A6A6"/>
            </w:tcBorders>
            <w:noWrap/>
            <w:vAlign w:val="center"/>
            <w:hideMark/>
          </w:tcPr>
          <w:p w14:paraId="72AB21E5" w14:textId="77777777" w:rsidR="00416D67" w:rsidRPr="00416D67" w:rsidRDefault="00416D67" w:rsidP="00416D67">
            <w:pPr>
              <w:rPr>
                <w:color w:val="000000"/>
                <w:sz w:val="14"/>
                <w:szCs w:val="14"/>
              </w:rPr>
            </w:pPr>
            <w:r w:rsidRPr="00416D67">
              <w:rPr>
                <w:color w:val="000000"/>
                <w:sz w:val="14"/>
                <w:szCs w:val="14"/>
              </w:rPr>
              <w:t>Glava</w:t>
            </w:r>
          </w:p>
        </w:tc>
        <w:tc>
          <w:tcPr>
            <w:tcW w:w="708" w:type="dxa"/>
            <w:tcBorders>
              <w:top w:val="nil"/>
              <w:left w:val="nil"/>
              <w:bottom w:val="single" w:sz="8" w:space="0" w:color="A6A6A6"/>
              <w:right w:val="single" w:sz="8" w:space="0" w:color="A6A6A6"/>
            </w:tcBorders>
            <w:noWrap/>
            <w:vAlign w:val="center"/>
            <w:hideMark/>
          </w:tcPr>
          <w:p w14:paraId="2A40416F" w14:textId="77777777" w:rsidR="00416D67" w:rsidRPr="00416D67" w:rsidRDefault="00416D67" w:rsidP="00416D67">
            <w:pPr>
              <w:rPr>
                <w:color w:val="000000"/>
                <w:sz w:val="14"/>
                <w:szCs w:val="14"/>
              </w:rPr>
            </w:pPr>
            <w:r w:rsidRPr="00416D67">
              <w:rPr>
                <w:color w:val="000000"/>
                <w:sz w:val="14"/>
                <w:szCs w:val="14"/>
              </w:rPr>
              <w:t>01 102</w:t>
            </w:r>
          </w:p>
        </w:tc>
        <w:tc>
          <w:tcPr>
            <w:tcW w:w="2432" w:type="dxa"/>
            <w:tcBorders>
              <w:top w:val="nil"/>
              <w:left w:val="nil"/>
              <w:bottom w:val="single" w:sz="8" w:space="0" w:color="A6A6A6"/>
              <w:right w:val="single" w:sz="8" w:space="0" w:color="A6A6A6"/>
            </w:tcBorders>
            <w:noWrap/>
            <w:vAlign w:val="center"/>
            <w:hideMark/>
          </w:tcPr>
          <w:p w14:paraId="7E1B00E2" w14:textId="77777777" w:rsidR="00416D67" w:rsidRPr="00416D67" w:rsidRDefault="00416D67" w:rsidP="00416D67">
            <w:pPr>
              <w:rPr>
                <w:color w:val="000000"/>
                <w:sz w:val="14"/>
                <w:szCs w:val="14"/>
              </w:rPr>
            </w:pPr>
            <w:r w:rsidRPr="00416D67">
              <w:rPr>
                <w:color w:val="000000"/>
                <w:sz w:val="14"/>
                <w:szCs w:val="14"/>
              </w:rPr>
              <w:t>OPĆINSKI NAČELNIK</w:t>
            </w:r>
          </w:p>
        </w:tc>
        <w:tc>
          <w:tcPr>
            <w:tcW w:w="1080" w:type="dxa"/>
            <w:tcBorders>
              <w:top w:val="nil"/>
              <w:left w:val="nil"/>
              <w:bottom w:val="single" w:sz="8" w:space="0" w:color="A6A6A6"/>
              <w:right w:val="single" w:sz="8" w:space="0" w:color="A6A6A6"/>
            </w:tcBorders>
            <w:noWrap/>
            <w:vAlign w:val="center"/>
            <w:hideMark/>
          </w:tcPr>
          <w:p w14:paraId="6CFDDBD4" w14:textId="77777777" w:rsidR="00416D67" w:rsidRPr="00416D67" w:rsidRDefault="00416D67" w:rsidP="00416D67">
            <w:pPr>
              <w:jc w:val="right"/>
              <w:rPr>
                <w:color w:val="000000"/>
                <w:sz w:val="14"/>
                <w:szCs w:val="14"/>
              </w:rPr>
            </w:pPr>
            <w:r w:rsidRPr="00416D67">
              <w:rPr>
                <w:color w:val="000000"/>
                <w:sz w:val="14"/>
                <w:szCs w:val="14"/>
              </w:rPr>
              <w:t>62.315,94</w:t>
            </w:r>
          </w:p>
        </w:tc>
        <w:tc>
          <w:tcPr>
            <w:tcW w:w="1080" w:type="dxa"/>
            <w:tcBorders>
              <w:top w:val="nil"/>
              <w:left w:val="nil"/>
              <w:bottom w:val="single" w:sz="8" w:space="0" w:color="A6A6A6"/>
              <w:right w:val="single" w:sz="8" w:space="0" w:color="A6A6A6"/>
            </w:tcBorders>
            <w:noWrap/>
            <w:vAlign w:val="center"/>
            <w:hideMark/>
          </w:tcPr>
          <w:p w14:paraId="61E74C6C" w14:textId="77777777" w:rsidR="00416D67" w:rsidRPr="00416D67" w:rsidRDefault="00416D67" w:rsidP="00416D67">
            <w:pPr>
              <w:jc w:val="right"/>
              <w:rPr>
                <w:color w:val="000000"/>
                <w:sz w:val="14"/>
                <w:szCs w:val="14"/>
              </w:rPr>
            </w:pPr>
            <w:r w:rsidRPr="00416D67">
              <w:rPr>
                <w:color w:val="000000"/>
                <w:sz w:val="14"/>
                <w:szCs w:val="14"/>
              </w:rPr>
              <w:t>83.876,40</w:t>
            </w:r>
          </w:p>
        </w:tc>
        <w:tc>
          <w:tcPr>
            <w:tcW w:w="1080" w:type="dxa"/>
            <w:tcBorders>
              <w:top w:val="nil"/>
              <w:left w:val="nil"/>
              <w:bottom w:val="single" w:sz="8" w:space="0" w:color="A6A6A6"/>
              <w:right w:val="single" w:sz="8" w:space="0" w:color="A6A6A6"/>
            </w:tcBorders>
            <w:noWrap/>
            <w:vAlign w:val="center"/>
            <w:hideMark/>
          </w:tcPr>
          <w:p w14:paraId="016BC78B" w14:textId="77777777" w:rsidR="00416D67" w:rsidRPr="00416D67" w:rsidRDefault="00416D67" w:rsidP="00416D67">
            <w:pPr>
              <w:jc w:val="right"/>
              <w:rPr>
                <w:color w:val="000000"/>
                <w:sz w:val="14"/>
                <w:szCs w:val="14"/>
              </w:rPr>
            </w:pPr>
            <w:r w:rsidRPr="00416D67">
              <w:rPr>
                <w:color w:val="000000"/>
                <w:sz w:val="14"/>
                <w:szCs w:val="14"/>
              </w:rPr>
              <w:t>83.876,40</w:t>
            </w:r>
          </w:p>
        </w:tc>
        <w:tc>
          <w:tcPr>
            <w:tcW w:w="1080" w:type="dxa"/>
            <w:tcBorders>
              <w:top w:val="nil"/>
              <w:left w:val="nil"/>
              <w:bottom w:val="single" w:sz="8" w:space="0" w:color="A6A6A6"/>
              <w:right w:val="single" w:sz="8" w:space="0" w:color="A6A6A6"/>
            </w:tcBorders>
            <w:noWrap/>
            <w:vAlign w:val="center"/>
            <w:hideMark/>
          </w:tcPr>
          <w:p w14:paraId="1ED2E016" w14:textId="77777777" w:rsidR="00416D67" w:rsidRPr="00416D67" w:rsidRDefault="00416D67" w:rsidP="00416D67">
            <w:pPr>
              <w:jc w:val="right"/>
              <w:rPr>
                <w:color w:val="000000"/>
                <w:sz w:val="14"/>
                <w:szCs w:val="14"/>
              </w:rPr>
            </w:pPr>
            <w:r w:rsidRPr="00416D67">
              <w:rPr>
                <w:color w:val="000000"/>
                <w:sz w:val="14"/>
                <w:szCs w:val="14"/>
              </w:rPr>
              <w:t>80.161,74</w:t>
            </w:r>
          </w:p>
        </w:tc>
        <w:tc>
          <w:tcPr>
            <w:tcW w:w="960" w:type="dxa"/>
            <w:tcBorders>
              <w:top w:val="nil"/>
              <w:left w:val="nil"/>
              <w:bottom w:val="single" w:sz="8" w:space="0" w:color="A6A6A6"/>
              <w:right w:val="single" w:sz="8" w:space="0" w:color="A6A6A6"/>
            </w:tcBorders>
            <w:noWrap/>
            <w:vAlign w:val="center"/>
            <w:hideMark/>
          </w:tcPr>
          <w:p w14:paraId="1AEB7580" w14:textId="77777777" w:rsidR="00416D67" w:rsidRPr="00416D67" w:rsidRDefault="00416D67" w:rsidP="00416D67">
            <w:pPr>
              <w:jc w:val="right"/>
              <w:rPr>
                <w:color w:val="000000"/>
                <w:sz w:val="14"/>
                <w:szCs w:val="14"/>
              </w:rPr>
            </w:pPr>
            <w:r w:rsidRPr="00416D67">
              <w:rPr>
                <w:color w:val="000000"/>
                <w:sz w:val="14"/>
                <w:szCs w:val="14"/>
              </w:rPr>
              <w:t>128,64%</w:t>
            </w:r>
          </w:p>
        </w:tc>
        <w:tc>
          <w:tcPr>
            <w:tcW w:w="987" w:type="dxa"/>
            <w:tcBorders>
              <w:top w:val="nil"/>
              <w:left w:val="nil"/>
              <w:bottom w:val="single" w:sz="8" w:space="0" w:color="A6A6A6"/>
              <w:right w:val="single" w:sz="8" w:space="0" w:color="A6A6A6"/>
            </w:tcBorders>
            <w:noWrap/>
            <w:vAlign w:val="center"/>
            <w:hideMark/>
          </w:tcPr>
          <w:p w14:paraId="560775BF" w14:textId="77777777" w:rsidR="00416D67" w:rsidRPr="00416D67" w:rsidRDefault="00416D67" w:rsidP="00416D67">
            <w:pPr>
              <w:jc w:val="right"/>
              <w:rPr>
                <w:color w:val="000000"/>
                <w:sz w:val="14"/>
                <w:szCs w:val="14"/>
              </w:rPr>
            </w:pPr>
            <w:r w:rsidRPr="00416D67">
              <w:rPr>
                <w:color w:val="000000"/>
                <w:sz w:val="14"/>
                <w:szCs w:val="14"/>
              </w:rPr>
              <w:t>95,57%</w:t>
            </w:r>
          </w:p>
        </w:tc>
      </w:tr>
      <w:tr w:rsidR="00416D67" w:rsidRPr="00416D67" w14:paraId="2E55549F" w14:textId="77777777" w:rsidTr="00BB1392">
        <w:trPr>
          <w:trHeight w:val="533"/>
        </w:trPr>
        <w:tc>
          <w:tcPr>
            <w:tcW w:w="710" w:type="dxa"/>
            <w:tcBorders>
              <w:top w:val="nil"/>
              <w:left w:val="single" w:sz="8" w:space="0" w:color="A6A6A6"/>
              <w:bottom w:val="single" w:sz="8" w:space="0" w:color="A6A6A6"/>
              <w:right w:val="single" w:sz="8" w:space="0" w:color="A6A6A6"/>
            </w:tcBorders>
            <w:shd w:val="clear" w:color="000000" w:fill="BFBFBF"/>
            <w:noWrap/>
            <w:vAlign w:val="center"/>
            <w:hideMark/>
          </w:tcPr>
          <w:p w14:paraId="782072CF" w14:textId="77777777" w:rsidR="00416D67" w:rsidRPr="00416D67" w:rsidRDefault="00416D67" w:rsidP="00416D67">
            <w:pPr>
              <w:rPr>
                <w:b/>
                <w:bCs/>
                <w:color w:val="000000"/>
                <w:sz w:val="14"/>
                <w:szCs w:val="14"/>
              </w:rPr>
            </w:pPr>
            <w:r w:rsidRPr="00416D67">
              <w:rPr>
                <w:b/>
                <w:bCs/>
                <w:color w:val="000000"/>
                <w:sz w:val="14"/>
                <w:szCs w:val="14"/>
              </w:rPr>
              <w:t>Razdjel</w:t>
            </w:r>
          </w:p>
        </w:tc>
        <w:tc>
          <w:tcPr>
            <w:tcW w:w="708" w:type="dxa"/>
            <w:tcBorders>
              <w:top w:val="nil"/>
              <w:left w:val="nil"/>
              <w:bottom w:val="single" w:sz="8" w:space="0" w:color="A6A6A6"/>
              <w:right w:val="single" w:sz="8" w:space="0" w:color="A6A6A6"/>
            </w:tcBorders>
            <w:shd w:val="clear" w:color="000000" w:fill="BFBFBF"/>
            <w:noWrap/>
            <w:vAlign w:val="center"/>
            <w:hideMark/>
          </w:tcPr>
          <w:p w14:paraId="0FE16537" w14:textId="77777777" w:rsidR="00416D67" w:rsidRPr="00416D67" w:rsidRDefault="00416D67" w:rsidP="00416D67">
            <w:pPr>
              <w:rPr>
                <w:b/>
                <w:bCs/>
                <w:color w:val="000000"/>
                <w:sz w:val="14"/>
                <w:szCs w:val="14"/>
              </w:rPr>
            </w:pPr>
            <w:r w:rsidRPr="00416D67">
              <w:rPr>
                <w:b/>
                <w:bCs/>
                <w:color w:val="000000"/>
                <w:sz w:val="14"/>
                <w:szCs w:val="14"/>
              </w:rPr>
              <w:t>3</w:t>
            </w:r>
          </w:p>
        </w:tc>
        <w:tc>
          <w:tcPr>
            <w:tcW w:w="2432" w:type="dxa"/>
            <w:tcBorders>
              <w:top w:val="nil"/>
              <w:left w:val="nil"/>
              <w:bottom w:val="single" w:sz="8" w:space="0" w:color="A6A6A6"/>
              <w:right w:val="single" w:sz="8" w:space="0" w:color="A6A6A6"/>
            </w:tcBorders>
            <w:shd w:val="clear" w:color="000000" w:fill="BFBFBF"/>
            <w:vAlign w:val="center"/>
            <w:hideMark/>
          </w:tcPr>
          <w:p w14:paraId="54F4A5C1" w14:textId="77777777" w:rsidR="00416D67" w:rsidRPr="00416D67" w:rsidRDefault="00416D67" w:rsidP="00416D67">
            <w:pPr>
              <w:rPr>
                <w:b/>
                <w:bCs/>
                <w:color w:val="000000"/>
                <w:sz w:val="14"/>
                <w:szCs w:val="14"/>
              </w:rPr>
            </w:pPr>
            <w:r w:rsidRPr="00416D67">
              <w:rPr>
                <w:b/>
                <w:bCs/>
                <w:color w:val="000000"/>
                <w:sz w:val="14"/>
                <w:szCs w:val="14"/>
              </w:rPr>
              <w:t>UPRAVNI ODJEL ZA DRUŠTVENE DJELATNOSTI, GOSPODARSTVO, FINANCIJE I JAVNU NABAVU</w:t>
            </w:r>
          </w:p>
        </w:tc>
        <w:tc>
          <w:tcPr>
            <w:tcW w:w="1080" w:type="dxa"/>
            <w:tcBorders>
              <w:top w:val="nil"/>
              <w:left w:val="nil"/>
              <w:bottom w:val="single" w:sz="8" w:space="0" w:color="A6A6A6"/>
              <w:right w:val="single" w:sz="8" w:space="0" w:color="A6A6A6"/>
            </w:tcBorders>
            <w:shd w:val="clear" w:color="000000" w:fill="BFBFBF"/>
            <w:noWrap/>
            <w:vAlign w:val="center"/>
            <w:hideMark/>
          </w:tcPr>
          <w:p w14:paraId="4887AE7C" w14:textId="77777777" w:rsidR="00416D67" w:rsidRPr="00416D67" w:rsidRDefault="00416D67" w:rsidP="00416D67">
            <w:pPr>
              <w:jc w:val="right"/>
              <w:rPr>
                <w:b/>
                <w:bCs/>
                <w:color w:val="000000"/>
                <w:sz w:val="14"/>
                <w:szCs w:val="14"/>
              </w:rPr>
            </w:pPr>
            <w:r w:rsidRPr="00416D67">
              <w:rPr>
                <w:b/>
                <w:bCs/>
                <w:color w:val="000000"/>
                <w:sz w:val="14"/>
                <w:szCs w:val="14"/>
              </w:rPr>
              <w:t>2.860.726,29</w:t>
            </w:r>
          </w:p>
        </w:tc>
        <w:tc>
          <w:tcPr>
            <w:tcW w:w="1080" w:type="dxa"/>
            <w:tcBorders>
              <w:top w:val="nil"/>
              <w:left w:val="nil"/>
              <w:bottom w:val="single" w:sz="8" w:space="0" w:color="A6A6A6"/>
              <w:right w:val="single" w:sz="8" w:space="0" w:color="A6A6A6"/>
            </w:tcBorders>
            <w:shd w:val="clear" w:color="000000" w:fill="BFBFBF"/>
            <w:noWrap/>
            <w:vAlign w:val="center"/>
            <w:hideMark/>
          </w:tcPr>
          <w:p w14:paraId="183DAEEE" w14:textId="77777777" w:rsidR="00416D67" w:rsidRPr="00416D67" w:rsidRDefault="00416D67" w:rsidP="00416D67">
            <w:pPr>
              <w:jc w:val="right"/>
              <w:rPr>
                <w:b/>
                <w:bCs/>
                <w:color w:val="000000"/>
                <w:sz w:val="14"/>
                <w:szCs w:val="14"/>
              </w:rPr>
            </w:pPr>
            <w:r w:rsidRPr="00416D67">
              <w:rPr>
                <w:b/>
                <w:bCs/>
                <w:color w:val="000000"/>
                <w:sz w:val="14"/>
                <w:szCs w:val="14"/>
              </w:rPr>
              <w:t>6.342.450,90</w:t>
            </w:r>
          </w:p>
        </w:tc>
        <w:tc>
          <w:tcPr>
            <w:tcW w:w="1080" w:type="dxa"/>
            <w:tcBorders>
              <w:top w:val="nil"/>
              <w:left w:val="nil"/>
              <w:bottom w:val="single" w:sz="8" w:space="0" w:color="A6A6A6"/>
              <w:right w:val="single" w:sz="8" w:space="0" w:color="A6A6A6"/>
            </w:tcBorders>
            <w:shd w:val="clear" w:color="000000" w:fill="BFBFBF"/>
            <w:noWrap/>
            <w:vAlign w:val="center"/>
            <w:hideMark/>
          </w:tcPr>
          <w:p w14:paraId="116C98CF" w14:textId="77777777" w:rsidR="00416D67" w:rsidRPr="00416D67" w:rsidRDefault="00416D67" w:rsidP="00416D67">
            <w:pPr>
              <w:jc w:val="right"/>
              <w:rPr>
                <w:b/>
                <w:bCs/>
                <w:color w:val="000000"/>
                <w:sz w:val="14"/>
                <w:szCs w:val="14"/>
              </w:rPr>
            </w:pPr>
            <w:r w:rsidRPr="00416D67">
              <w:rPr>
                <w:b/>
                <w:bCs/>
                <w:color w:val="000000"/>
                <w:sz w:val="14"/>
                <w:szCs w:val="14"/>
              </w:rPr>
              <w:t>6.296.925,90</w:t>
            </w:r>
          </w:p>
        </w:tc>
        <w:tc>
          <w:tcPr>
            <w:tcW w:w="1080" w:type="dxa"/>
            <w:tcBorders>
              <w:top w:val="nil"/>
              <w:left w:val="nil"/>
              <w:bottom w:val="single" w:sz="8" w:space="0" w:color="A6A6A6"/>
              <w:right w:val="single" w:sz="8" w:space="0" w:color="A6A6A6"/>
            </w:tcBorders>
            <w:shd w:val="clear" w:color="000000" w:fill="BFBFBF"/>
            <w:noWrap/>
            <w:vAlign w:val="center"/>
            <w:hideMark/>
          </w:tcPr>
          <w:p w14:paraId="0E2F0775" w14:textId="77777777" w:rsidR="00416D67" w:rsidRPr="00416D67" w:rsidRDefault="00416D67" w:rsidP="00416D67">
            <w:pPr>
              <w:jc w:val="right"/>
              <w:rPr>
                <w:b/>
                <w:bCs/>
                <w:color w:val="000000"/>
                <w:sz w:val="14"/>
                <w:szCs w:val="14"/>
              </w:rPr>
            </w:pPr>
            <w:r w:rsidRPr="00416D67">
              <w:rPr>
                <w:b/>
                <w:bCs/>
                <w:color w:val="000000"/>
                <w:sz w:val="14"/>
                <w:szCs w:val="14"/>
              </w:rPr>
              <w:t>4.179.268,00</w:t>
            </w:r>
          </w:p>
        </w:tc>
        <w:tc>
          <w:tcPr>
            <w:tcW w:w="960" w:type="dxa"/>
            <w:tcBorders>
              <w:top w:val="nil"/>
              <w:left w:val="nil"/>
              <w:bottom w:val="single" w:sz="8" w:space="0" w:color="A6A6A6"/>
              <w:right w:val="single" w:sz="8" w:space="0" w:color="A6A6A6"/>
            </w:tcBorders>
            <w:shd w:val="clear" w:color="000000" w:fill="BFBFBF"/>
            <w:noWrap/>
            <w:vAlign w:val="center"/>
            <w:hideMark/>
          </w:tcPr>
          <w:p w14:paraId="3D3DC734" w14:textId="77777777" w:rsidR="00416D67" w:rsidRPr="00416D67" w:rsidRDefault="00416D67" w:rsidP="00416D67">
            <w:pPr>
              <w:jc w:val="right"/>
              <w:rPr>
                <w:b/>
                <w:bCs/>
                <w:color w:val="000000"/>
                <w:sz w:val="14"/>
                <w:szCs w:val="14"/>
              </w:rPr>
            </w:pPr>
            <w:r w:rsidRPr="00416D67">
              <w:rPr>
                <w:b/>
                <w:bCs/>
                <w:color w:val="000000"/>
                <w:sz w:val="14"/>
                <w:szCs w:val="14"/>
              </w:rPr>
              <w:t>146,09%</w:t>
            </w:r>
          </w:p>
        </w:tc>
        <w:tc>
          <w:tcPr>
            <w:tcW w:w="987" w:type="dxa"/>
            <w:tcBorders>
              <w:top w:val="nil"/>
              <w:left w:val="nil"/>
              <w:bottom w:val="single" w:sz="8" w:space="0" w:color="A6A6A6"/>
              <w:right w:val="single" w:sz="8" w:space="0" w:color="A6A6A6"/>
            </w:tcBorders>
            <w:shd w:val="clear" w:color="000000" w:fill="BFBFBF"/>
            <w:noWrap/>
            <w:vAlign w:val="center"/>
            <w:hideMark/>
          </w:tcPr>
          <w:p w14:paraId="060FFC79" w14:textId="77777777" w:rsidR="00416D67" w:rsidRPr="00416D67" w:rsidRDefault="00416D67" w:rsidP="00416D67">
            <w:pPr>
              <w:jc w:val="right"/>
              <w:rPr>
                <w:b/>
                <w:bCs/>
                <w:color w:val="000000"/>
                <w:sz w:val="14"/>
                <w:szCs w:val="14"/>
              </w:rPr>
            </w:pPr>
            <w:r w:rsidRPr="00416D67">
              <w:rPr>
                <w:b/>
                <w:bCs/>
                <w:color w:val="000000"/>
                <w:sz w:val="14"/>
                <w:szCs w:val="14"/>
              </w:rPr>
              <w:t>66,37%</w:t>
            </w:r>
          </w:p>
        </w:tc>
      </w:tr>
      <w:tr w:rsidR="00416D67" w:rsidRPr="00416D67" w14:paraId="2645E6E7" w14:textId="77777777" w:rsidTr="00BB1392">
        <w:trPr>
          <w:trHeight w:val="868"/>
        </w:trPr>
        <w:tc>
          <w:tcPr>
            <w:tcW w:w="710" w:type="dxa"/>
            <w:tcBorders>
              <w:top w:val="nil"/>
              <w:left w:val="single" w:sz="8" w:space="0" w:color="A6A6A6"/>
              <w:bottom w:val="single" w:sz="8" w:space="0" w:color="A6A6A6"/>
              <w:right w:val="single" w:sz="8" w:space="0" w:color="A6A6A6"/>
            </w:tcBorders>
            <w:noWrap/>
            <w:vAlign w:val="center"/>
            <w:hideMark/>
          </w:tcPr>
          <w:p w14:paraId="1A9C271D" w14:textId="77777777" w:rsidR="00416D67" w:rsidRPr="00416D67" w:rsidRDefault="00416D67" w:rsidP="00416D67">
            <w:pPr>
              <w:rPr>
                <w:color w:val="000000"/>
                <w:sz w:val="14"/>
                <w:szCs w:val="14"/>
              </w:rPr>
            </w:pPr>
            <w:r w:rsidRPr="00416D67">
              <w:rPr>
                <w:color w:val="000000"/>
                <w:sz w:val="14"/>
                <w:szCs w:val="14"/>
              </w:rPr>
              <w:t>Glava</w:t>
            </w:r>
          </w:p>
        </w:tc>
        <w:tc>
          <w:tcPr>
            <w:tcW w:w="708" w:type="dxa"/>
            <w:tcBorders>
              <w:top w:val="nil"/>
              <w:left w:val="nil"/>
              <w:bottom w:val="single" w:sz="8" w:space="0" w:color="A6A6A6"/>
              <w:right w:val="single" w:sz="8" w:space="0" w:color="A6A6A6"/>
            </w:tcBorders>
            <w:noWrap/>
            <w:vAlign w:val="center"/>
            <w:hideMark/>
          </w:tcPr>
          <w:p w14:paraId="739544B8" w14:textId="77777777" w:rsidR="00416D67" w:rsidRPr="00416D67" w:rsidRDefault="00416D67" w:rsidP="00416D67">
            <w:pPr>
              <w:rPr>
                <w:color w:val="000000"/>
                <w:sz w:val="14"/>
                <w:szCs w:val="14"/>
              </w:rPr>
            </w:pPr>
            <w:r w:rsidRPr="00416D67">
              <w:rPr>
                <w:color w:val="000000"/>
                <w:sz w:val="14"/>
                <w:szCs w:val="14"/>
              </w:rPr>
              <w:t>003 01</w:t>
            </w:r>
          </w:p>
        </w:tc>
        <w:tc>
          <w:tcPr>
            <w:tcW w:w="2432" w:type="dxa"/>
            <w:tcBorders>
              <w:top w:val="nil"/>
              <w:left w:val="nil"/>
              <w:bottom w:val="single" w:sz="8" w:space="0" w:color="A6A6A6"/>
              <w:right w:val="single" w:sz="8" w:space="0" w:color="A6A6A6"/>
            </w:tcBorders>
            <w:vAlign w:val="center"/>
            <w:hideMark/>
          </w:tcPr>
          <w:p w14:paraId="407A4818" w14:textId="77777777" w:rsidR="00416D67" w:rsidRPr="00416D67" w:rsidRDefault="00416D67" w:rsidP="00416D67">
            <w:pPr>
              <w:rPr>
                <w:color w:val="000000"/>
                <w:sz w:val="14"/>
                <w:szCs w:val="14"/>
              </w:rPr>
            </w:pPr>
            <w:r w:rsidRPr="00416D67">
              <w:rPr>
                <w:color w:val="000000"/>
                <w:sz w:val="14"/>
                <w:szCs w:val="14"/>
              </w:rPr>
              <w:t>UPRAVNI ODJEL ZA DRUŠTVENE DJELATNOSTI, GOSPODARSTVO, FINANCIJE I JAVNU NABAVU</w:t>
            </w:r>
          </w:p>
        </w:tc>
        <w:tc>
          <w:tcPr>
            <w:tcW w:w="1080" w:type="dxa"/>
            <w:tcBorders>
              <w:top w:val="nil"/>
              <w:left w:val="nil"/>
              <w:bottom w:val="single" w:sz="8" w:space="0" w:color="A6A6A6"/>
              <w:right w:val="single" w:sz="8" w:space="0" w:color="A6A6A6"/>
            </w:tcBorders>
            <w:noWrap/>
            <w:vAlign w:val="center"/>
            <w:hideMark/>
          </w:tcPr>
          <w:p w14:paraId="2E2CA74C" w14:textId="77777777" w:rsidR="00416D67" w:rsidRPr="00416D67" w:rsidRDefault="00416D67" w:rsidP="00416D67">
            <w:pPr>
              <w:jc w:val="right"/>
              <w:rPr>
                <w:color w:val="000000"/>
                <w:sz w:val="14"/>
                <w:szCs w:val="14"/>
              </w:rPr>
            </w:pPr>
            <w:r w:rsidRPr="00416D67">
              <w:rPr>
                <w:color w:val="000000"/>
                <w:sz w:val="14"/>
                <w:szCs w:val="14"/>
              </w:rPr>
              <w:t>2.217.375,61</w:t>
            </w:r>
          </w:p>
        </w:tc>
        <w:tc>
          <w:tcPr>
            <w:tcW w:w="1080" w:type="dxa"/>
            <w:tcBorders>
              <w:top w:val="nil"/>
              <w:left w:val="nil"/>
              <w:bottom w:val="single" w:sz="8" w:space="0" w:color="A6A6A6"/>
              <w:right w:val="single" w:sz="8" w:space="0" w:color="A6A6A6"/>
            </w:tcBorders>
            <w:noWrap/>
            <w:vAlign w:val="center"/>
            <w:hideMark/>
          </w:tcPr>
          <w:p w14:paraId="021ADBA4" w14:textId="77777777" w:rsidR="00416D67" w:rsidRPr="00416D67" w:rsidRDefault="00416D67" w:rsidP="00416D67">
            <w:pPr>
              <w:jc w:val="right"/>
              <w:rPr>
                <w:color w:val="000000"/>
                <w:sz w:val="14"/>
                <w:szCs w:val="14"/>
              </w:rPr>
            </w:pPr>
            <w:r w:rsidRPr="00416D67">
              <w:rPr>
                <w:color w:val="000000"/>
                <w:sz w:val="14"/>
                <w:szCs w:val="14"/>
              </w:rPr>
              <w:t>5.423.150,90</w:t>
            </w:r>
          </w:p>
        </w:tc>
        <w:tc>
          <w:tcPr>
            <w:tcW w:w="1080" w:type="dxa"/>
            <w:tcBorders>
              <w:top w:val="nil"/>
              <w:left w:val="nil"/>
              <w:bottom w:val="single" w:sz="8" w:space="0" w:color="A6A6A6"/>
              <w:right w:val="single" w:sz="8" w:space="0" w:color="A6A6A6"/>
            </w:tcBorders>
            <w:noWrap/>
            <w:vAlign w:val="center"/>
            <w:hideMark/>
          </w:tcPr>
          <w:p w14:paraId="5B68CB90" w14:textId="77777777" w:rsidR="00416D67" w:rsidRPr="00416D67" w:rsidRDefault="00416D67" w:rsidP="00416D67">
            <w:pPr>
              <w:jc w:val="right"/>
              <w:rPr>
                <w:color w:val="000000"/>
                <w:sz w:val="14"/>
                <w:szCs w:val="14"/>
              </w:rPr>
            </w:pPr>
            <w:r w:rsidRPr="00416D67">
              <w:rPr>
                <w:color w:val="000000"/>
                <w:sz w:val="14"/>
                <w:szCs w:val="14"/>
              </w:rPr>
              <w:t>5.377.625,90</w:t>
            </w:r>
          </w:p>
        </w:tc>
        <w:tc>
          <w:tcPr>
            <w:tcW w:w="1080" w:type="dxa"/>
            <w:tcBorders>
              <w:top w:val="nil"/>
              <w:left w:val="nil"/>
              <w:bottom w:val="single" w:sz="8" w:space="0" w:color="A6A6A6"/>
              <w:right w:val="single" w:sz="8" w:space="0" w:color="A6A6A6"/>
            </w:tcBorders>
            <w:noWrap/>
            <w:vAlign w:val="center"/>
            <w:hideMark/>
          </w:tcPr>
          <w:p w14:paraId="5E563ADD" w14:textId="77777777" w:rsidR="00416D67" w:rsidRPr="00416D67" w:rsidRDefault="00416D67" w:rsidP="00416D67">
            <w:pPr>
              <w:jc w:val="right"/>
              <w:rPr>
                <w:color w:val="000000"/>
                <w:sz w:val="14"/>
                <w:szCs w:val="14"/>
              </w:rPr>
            </w:pPr>
            <w:r w:rsidRPr="00416D67">
              <w:rPr>
                <w:color w:val="000000"/>
                <w:sz w:val="14"/>
                <w:szCs w:val="14"/>
              </w:rPr>
              <w:t>3.318.988,00</w:t>
            </w:r>
          </w:p>
        </w:tc>
        <w:tc>
          <w:tcPr>
            <w:tcW w:w="960" w:type="dxa"/>
            <w:tcBorders>
              <w:top w:val="nil"/>
              <w:left w:val="nil"/>
              <w:bottom w:val="single" w:sz="8" w:space="0" w:color="A6A6A6"/>
              <w:right w:val="single" w:sz="8" w:space="0" w:color="A6A6A6"/>
            </w:tcBorders>
            <w:noWrap/>
            <w:vAlign w:val="center"/>
            <w:hideMark/>
          </w:tcPr>
          <w:p w14:paraId="2D1D222D" w14:textId="77777777" w:rsidR="00416D67" w:rsidRPr="00416D67" w:rsidRDefault="00416D67" w:rsidP="00416D67">
            <w:pPr>
              <w:jc w:val="right"/>
              <w:rPr>
                <w:color w:val="000000"/>
                <w:sz w:val="14"/>
                <w:szCs w:val="14"/>
              </w:rPr>
            </w:pPr>
            <w:r w:rsidRPr="00416D67">
              <w:rPr>
                <w:color w:val="000000"/>
                <w:sz w:val="14"/>
                <w:szCs w:val="14"/>
              </w:rPr>
              <w:t>149,68%</w:t>
            </w:r>
          </w:p>
        </w:tc>
        <w:tc>
          <w:tcPr>
            <w:tcW w:w="987" w:type="dxa"/>
            <w:tcBorders>
              <w:top w:val="nil"/>
              <w:left w:val="nil"/>
              <w:bottom w:val="single" w:sz="8" w:space="0" w:color="A6A6A6"/>
              <w:right w:val="single" w:sz="8" w:space="0" w:color="A6A6A6"/>
            </w:tcBorders>
            <w:noWrap/>
            <w:vAlign w:val="center"/>
            <w:hideMark/>
          </w:tcPr>
          <w:p w14:paraId="51B4F5C8" w14:textId="77777777" w:rsidR="00416D67" w:rsidRPr="00416D67" w:rsidRDefault="00416D67" w:rsidP="00416D67">
            <w:pPr>
              <w:jc w:val="right"/>
              <w:rPr>
                <w:color w:val="000000"/>
                <w:sz w:val="14"/>
                <w:szCs w:val="14"/>
              </w:rPr>
            </w:pPr>
            <w:r w:rsidRPr="00416D67">
              <w:rPr>
                <w:color w:val="000000"/>
                <w:sz w:val="14"/>
                <w:szCs w:val="14"/>
              </w:rPr>
              <w:t>61,72%</w:t>
            </w:r>
          </w:p>
        </w:tc>
      </w:tr>
      <w:tr w:rsidR="00416D67" w:rsidRPr="00416D67" w14:paraId="5C63A397" w14:textId="77777777" w:rsidTr="00BB1392">
        <w:trPr>
          <w:trHeight w:val="540"/>
        </w:trPr>
        <w:tc>
          <w:tcPr>
            <w:tcW w:w="710" w:type="dxa"/>
            <w:tcBorders>
              <w:top w:val="nil"/>
              <w:left w:val="single" w:sz="8" w:space="0" w:color="A6A6A6"/>
              <w:bottom w:val="single" w:sz="8" w:space="0" w:color="A6A6A6"/>
              <w:right w:val="single" w:sz="8" w:space="0" w:color="A6A6A6"/>
            </w:tcBorders>
            <w:vAlign w:val="center"/>
            <w:hideMark/>
          </w:tcPr>
          <w:p w14:paraId="62B7FF50" w14:textId="77777777" w:rsidR="00416D67" w:rsidRPr="00416D67" w:rsidRDefault="00416D67" w:rsidP="00416D67">
            <w:pPr>
              <w:rPr>
                <w:color w:val="000000"/>
                <w:sz w:val="14"/>
                <w:szCs w:val="14"/>
              </w:rPr>
            </w:pPr>
            <w:r w:rsidRPr="00416D67">
              <w:rPr>
                <w:color w:val="000000"/>
                <w:sz w:val="14"/>
                <w:szCs w:val="14"/>
              </w:rPr>
              <w:t xml:space="preserve">Glava </w:t>
            </w:r>
          </w:p>
        </w:tc>
        <w:tc>
          <w:tcPr>
            <w:tcW w:w="708" w:type="dxa"/>
            <w:tcBorders>
              <w:top w:val="nil"/>
              <w:left w:val="nil"/>
              <w:bottom w:val="single" w:sz="8" w:space="0" w:color="A6A6A6"/>
              <w:right w:val="single" w:sz="8" w:space="0" w:color="A6A6A6"/>
            </w:tcBorders>
            <w:noWrap/>
            <w:vAlign w:val="center"/>
            <w:hideMark/>
          </w:tcPr>
          <w:p w14:paraId="47CA8045" w14:textId="77777777" w:rsidR="00416D67" w:rsidRPr="00416D67" w:rsidRDefault="00416D67" w:rsidP="00416D67">
            <w:pPr>
              <w:rPr>
                <w:color w:val="000000"/>
                <w:sz w:val="14"/>
                <w:szCs w:val="14"/>
              </w:rPr>
            </w:pPr>
            <w:r w:rsidRPr="00416D67">
              <w:rPr>
                <w:color w:val="000000"/>
                <w:sz w:val="14"/>
                <w:szCs w:val="14"/>
              </w:rPr>
              <w:t xml:space="preserve">003 02 </w:t>
            </w:r>
          </w:p>
        </w:tc>
        <w:tc>
          <w:tcPr>
            <w:tcW w:w="2432" w:type="dxa"/>
            <w:tcBorders>
              <w:top w:val="nil"/>
              <w:left w:val="nil"/>
              <w:bottom w:val="single" w:sz="8" w:space="0" w:color="A6A6A6"/>
              <w:right w:val="single" w:sz="8" w:space="0" w:color="A6A6A6"/>
            </w:tcBorders>
            <w:vAlign w:val="center"/>
            <w:hideMark/>
          </w:tcPr>
          <w:p w14:paraId="3EA7B999" w14:textId="77777777" w:rsidR="00416D67" w:rsidRPr="00416D67" w:rsidRDefault="00416D67" w:rsidP="00416D67">
            <w:pPr>
              <w:rPr>
                <w:color w:val="000000"/>
                <w:sz w:val="14"/>
                <w:szCs w:val="14"/>
              </w:rPr>
            </w:pPr>
            <w:r w:rsidRPr="00416D67">
              <w:rPr>
                <w:color w:val="000000"/>
                <w:sz w:val="14"/>
                <w:szCs w:val="14"/>
              </w:rPr>
              <w:t>35597 PRORAČUNSKI KORISNIK DJEČJI VRTIĆ VRTULJAK MARČANA</w:t>
            </w:r>
          </w:p>
        </w:tc>
        <w:tc>
          <w:tcPr>
            <w:tcW w:w="1080" w:type="dxa"/>
            <w:tcBorders>
              <w:top w:val="nil"/>
              <w:left w:val="nil"/>
              <w:bottom w:val="single" w:sz="8" w:space="0" w:color="A6A6A6"/>
              <w:right w:val="single" w:sz="8" w:space="0" w:color="A6A6A6"/>
            </w:tcBorders>
            <w:noWrap/>
            <w:vAlign w:val="center"/>
            <w:hideMark/>
          </w:tcPr>
          <w:p w14:paraId="4387F6F4" w14:textId="77777777" w:rsidR="00416D67" w:rsidRPr="00416D67" w:rsidRDefault="00416D67" w:rsidP="00416D67">
            <w:pPr>
              <w:jc w:val="right"/>
              <w:rPr>
                <w:color w:val="000000"/>
                <w:sz w:val="14"/>
                <w:szCs w:val="14"/>
              </w:rPr>
            </w:pPr>
            <w:r w:rsidRPr="00416D67">
              <w:rPr>
                <w:color w:val="000000"/>
                <w:sz w:val="14"/>
                <w:szCs w:val="14"/>
              </w:rPr>
              <w:t>643.350,68</w:t>
            </w:r>
          </w:p>
        </w:tc>
        <w:tc>
          <w:tcPr>
            <w:tcW w:w="1080" w:type="dxa"/>
            <w:tcBorders>
              <w:top w:val="nil"/>
              <w:left w:val="nil"/>
              <w:bottom w:val="single" w:sz="8" w:space="0" w:color="A6A6A6"/>
              <w:right w:val="single" w:sz="8" w:space="0" w:color="A6A6A6"/>
            </w:tcBorders>
            <w:noWrap/>
            <w:vAlign w:val="center"/>
            <w:hideMark/>
          </w:tcPr>
          <w:p w14:paraId="5219B659" w14:textId="77777777" w:rsidR="00416D67" w:rsidRPr="00416D67" w:rsidRDefault="00416D67" w:rsidP="00416D67">
            <w:pPr>
              <w:jc w:val="right"/>
              <w:rPr>
                <w:color w:val="000000"/>
                <w:sz w:val="14"/>
                <w:szCs w:val="14"/>
              </w:rPr>
            </w:pPr>
            <w:r w:rsidRPr="00416D67">
              <w:rPr>
                <w:color w:val="000000"/>
                <w:sz w:val="14"/>
                <w:szCs w:val="14"/>
              </w:rPr>
              <w:t>919.300,00</w:t>
            </w:r>
          </w:p>
        </w:tc>
        <w:tc>
          <w:tcPr>
            <w:tcW w:w="1080" w:type="dxa"/>
            <w:tcBorders>
              <w:top w:val="nil"/>
              <w:left w:val="nil"/>
              <w:bottom w:val="single" w:sz="8" w:space="0" w:color="A6A6A6"/>
              <w:right w:val="single" w:sz="8" w:space="0" w:color="A6A6A6"/>
            </w:tcBorders>
            <w:noWrap/>
            <w:vAlign w:val="center"/>
            <w:hideMark/>
          </w:tcPr>
          <w:p w14:paraId="3F7547A7" w14:textId="77777777" w:rsidR="00416D67" w:rsidRPr="00416D67" w:rsidRDefault="00416D67" w:rsidP="00416D67">
            <w:pPr>
              <w:jc w:val="right"/>
              <w:rPr>
                <w:color w:val="000000"/>
                <w:sz w:val="14"/>
                <w:szCs w:val="14"/>
              </w:rPr>
            </w:pPr>
            <w:r w:rsidRPr="00416D67">
              <w:rPr>
                <w:color w:val="000000"/>
                <w:sz w:val="14"/>
                <w:szCs w:val="14"/>
              </w:rPr>
              <w:t>919.300,00</w:t>
            </w:r>
          </w:p>
        </w:tc>
        <w:tc>
          <w:tcPr>
            <w:tcW w:w="1080" w:type="dxa"/>
            <w:tcBorders>
              <w:top w:val="nil"/>
              <w:left w:val="nil"/>
              <w:bottom w:val="single" w:sz="8" w:space="0" w:color="A6A6A6"/>
              <w:right w:val="single" w:sz="8" w:space="0" w:color="A6A6A6"/>
            </w:tcBorders>
            <w:noWrap/>
            <w:vAlign w:val="center"/>
            <w:hideMark/>
          </w:tcPr>
          <w:p w14:paraId="114AAAE9" w14:textId="77777777" w:rsidR="00416D67" w:rsidRPr="00416D67" w:rsidRDefault="00416D67" w:rsidP="00416D67">
            <w:pPr>
              <w:jc w:val="right"/>
              <w:rPr>
                <w:color w:val="000000"/>
                <w:sz w:val="14"/>
                <w:szCs w:val="14"/>
              </w:rPr>
            </w:pPr>
            <w:r w:rsidRPr="00416D67">
              <w:rPr>
                <w:color w:val="000000"/>
                <w:sz w:val="14"/>
                <w:szCs w:val="14"/>
              </w:rPr>
              <w:t>860.280,00</w:t>
            </w:r>
          </w:p>
        </w:tc>
        <w:tc>
          <w:tcPr>
            <w:tcW w:w="960" w:type="dxa"/>
            <w:tcBorders>
              <w:top w:val="nil"/>
              <w:left w:val="nil"/>
              <w:bottom w:val="single" w:sz="8" w:space="0" w:color="A6A6A6"/>
              <w:right w:val="single" w:sz="8" w:space="0" w:color="A6A6A6"/>
            </w:tcBorders>
            <w:noWrap/>
            <w:vAlign w:val="center"/>
            <w:hideMark/>
          </w:tcPr>
          <w:p w14:paraId="788B6CEE" w14:textId="77777777" w:rsidR="00416D67" w:rsidRPr="00416D67" w:rsidRDefault="00416D67" w:rsidP="00416D67">
            <w:pPr>
              <w:jc w:val="right"/>
              <w:rPr>
                <w:color w:val="000000"/>
                <w:sz w:val="14"/>
                <w:szCs w:val="14"/>
              </w:rPr>
            </w:pPr>
            <w:r w:rsidRPr="00416D67">
              <w:rPr>
                <w:color w:val="000000"/>
                <w:sz w:val="14"/>
                <w:szCs w:val="14"/>
              </w:rPr>
              <w:t>133,72%</w:t>
            </w:r>
          </w:p>
        </w:tc>
        <w:tc>
          <w:tcPr>
            <w:tcW w:w="987" w:type="dxa"/>
            <w:tcBorders>
              <w:top w:val="nil"/>
              <w:left w:val="nil"/>
              <w:bottom w:val="single" w:sz="8" w:space="0" w:color="A6A6A6"/>
              <w:right w:val="single" w:sz="8" w:space="0" w:color="A6A6A6"/>
            </w:tcBorders>
            <w:noWrap/>
            <w:vAlign w:val="center"/>
            <w:hideMark/>
          </w:tcPr>
          <w:p w14:paraId="17DEE0D2" w14:textId="77777777" w:rsidR="00416D67" w:rsidRPr="00416D67" w:rsidRDefault="00416D67" w:rsidP="00416D67">
            <w:pPr>
              <w:jc w:val="right"/>
              <w:rPr>
                <w:color w:val="000000"/>
                <w:sz w:val="14"/>
                <w:szCs w:val="14"/>
              </w:rPr>
            </w:pPr>
            <w:r w:rsidRPr="00416D67">
              <w:rPr>
                <w:color w:val="000000"/>
                <w:sz w:val="14"/>
                <w:szCs w:val="14"/>
              </w:rPr>
              <w:t>93,58%</w:t>
            </w:r>
          </w:p>
        </w:tc>
      </w:tr>
      <w:tr w:rsidR="00416D67" w:rsidRPr="00416D67" w14:paraId="4F6FA768" w14:textId="77777777" w:rsidTr="00BB1392">
        <w:trPr>
          <w:trHeight w:val="974"/>
        </w:trPr>
        <w:tc>
          <w:tcPr>
            <w:tcW w:w="710" w:type="dxa"/>
            <w:tcBorders>
              <w:top w:val="nil"/>
              <w:left w:val="single" w:sz="8" w:space="0" w:color="A6A6A6"/>
              <w:bottom w:val="single" w:sz="8" w:space="0" w:color="A6A6A6"/>
              <w:right w:val="single" w:sz="8" w:space="0" w:color="A6A6A6"/>
            </w:tcBorders>
            <w:shd w:val="clear" w:color="000000" w:fill="BFBFBF"/>
            <w:noWrap/>
            <w:vAlign w:val="center"/>
            <w:hideMark/>
          </w:tcPr>
          <w:p w14:paraId="7587C6BF" w14:textId="77777777" w:rsidR="00416D67" w:rsidRPr="00416D67" w:rsidRDefault="00416D67" w:rsidP="00416D67">
            <w:pPr>
              <w:rPr>
                <w:b/>
                <w:bCs/>
                <w:color w:val="000000"/>
                <w:sz w:val="14"/>
                <w:szCs w:val="14"/>
              </w:rPr>
            </w:pPr>
            <w:r w:rsidRPr="00416D67">
              <w:rPr>
                <w:b/>
                <w:bCs/>
                <w:color w:val="000000"/>
                <w:sz w:val="14"/>
                <w:szCs w:val="14"/>
              </w:rPr>
              <w:t>Razdjel</w:t>
            </w:r>
          </w:p>
        </w:tc>
        <w:tc>
          <w:tcPr>
            <w:tcW w:w="708" w:type="dxa"/>
            <w:tcBorders>
              <w:top w:val="nil"/>
              <w:left w:val="nil"/>
              <w:bottom w:val="single" w:sz="8" w:space="0" w:color="A6A6A6"/>
              <w:right w:val="single" w:sz="8" w:space="0" w:color="A6A6A6"/>
            </w:tcBorders>
            <w:shd w:val="clear" w:color="000000" w:fill="BFBFBF"/>
            <w:noWrap/>
            <w:vAlign w:val="center"/>
            <w:hideMark/>
          </w:tcPr>
          <w:p w14:paraId="74E086FE" w14:textId="77777777" w:rsidR="00416D67" w:rsidRPr="00416D67" w:rsidRDefault="00416D67" w:rsidP="00416D67">
            <w:pPr>
              <w:rPr>
                <w:b/>
                <w:bCs/>
                <w:color w:val="000000"/>
                <w:sz w:val="14"/>
                <w:szCs w:val="14"/>
              </w:rPr>
            </w:pPr>
            <w:r w:rsidRPr="00416D67">
              <w:rPr>
                <w:b/>
                <w:bCs/>
                <w:color w:val="000000"/>
                <w:sz w:val="14"/>
                <w:szCs w:val="14"/>
              </w:rPr>
              <w:t>4</w:t>
            </w:r>
          </w:p>
        </w:tc>
        <w:tc>
          <w:tcPr>
            <w:tcW w:w="2432" w:type="dxa"/>
            <w:tcBorders>
              <w:top w:val="nil"/>
              <w:left w:val="nil"/>
              <w:bottom w:val="single" w:sz="8" w:space="0" w:color="A6A6A6"/>
              <w:right w:val="single" w:sz="8" w:space="0" w:color="A6A6A6"/>
            </w:tcBorders>
            <w:shd w:val="clear" w:color="000000" w:fill="BFBFBF"/>
            <w:vAlign w:val="center"/>
            <w:hideMark/>
          </w:tcPr>
          <w:p w14:paraId="64A7B6FB" w14:textId="77777777" w:rsidR="00416D67" w:rsidRPr="00416D67" w:rsidRDefault="00416D67" w:rsidP="00416D67">
            <w:pPr>
              <w:rPr>
                <w:b/>
                <w:bCs/>
                <w:color w:val="000000"/>
                <w:sz w:val="14"/>
                <w:szCs w:val="14"/>
              </w:rPr>
            </w:pPr>
            <w:r w:rsidRPr="00416D67">
              <w:rPr>
                <w:b/>
                <w:bCs/>
                <w:color w:val="000000"/>
                <w:sz w:val="14"/>
                <w:szCs w:val="14"/>
              </w:rPr>
              <w:t>UPRAVNI ODJEL ZA PROSTORNO PLANIRANJE, ZAŠTITU OKOLIŠA, KOMUNALNO GOSPODARSTVO I IZGRADNJU</w:t>
            </w:r>
          </w:p>
        </w:tc>
        <w:tc>
          <w:tcPr>
            <w:tcW w:w="1080" w:type="dxa"/>
            <w:tcBorders>
              <w:top w:val="nil"/>
              <w:left w:val="nil"/>
              <w:bottom w:val="single" w:sz="8" w:space="0" w:color="A6A6A6"/>
              <w:right w:val="single" w:sz="8" w:space="0" w:color="A6A6A6"/>
            </w:tcBorders>
            <w:shd w:val="clear" w:color="000000" w:fill="BFBFBF"/>
            <w:noWrap/>
            <w:vAlign w:val="center"/>
            <w:hideMark/>
          </w:tcPr>
          <w:p w14:paraId="1123AD01" w14:textId="77777777" w:rsidR="00416D67" w:rsidRPr="00416D67" w:rsidRDefault="00416D67" w:rsidP="00416D67">
            <w:pPr>
              <w:jc w:val="right"/>
              <w:rPr>
                <w:b/>
                <w:bCs/>
                <w:color w:val="000000"/>
                <w:sz w:val="14"/>
                <w:szCs w:val="14"/>
              </w:rPr>
            </w:pPr>
            <w:r w:rsidRPr="00416D67">
              <w:rPr>
                <w:b/>
                <w:bCs/>
                <w:color w:val="000000"/>
                <w:sz w:val="14"/>
                <w:szCs w:val="14"/>
              </w:rPr>
              <w:t>2.356.909,24</w:t>
            </w:r>
          </w:p>
        </w:tc>
        <w:tc>
          <w:tcPr>
            <w:tcW w:w="1080" w:type="dxa"/>
            <w:tcBorders>
              <w:top w:val="nil"/>
              <w:left w:val="nil"/>
              <w:bottom w:val="single" w:sz="8" w:space="0" w:color="A6A6A6"/>
              <w:right w:val="single" w:sz="8" w:space="0" w:color="A6A6A6"/>
            </w:tcBorders>
            <w:shd w:val="clear" w:color="000000" w:fill="BFBFBF"/>
            <w:noWrap/>
            <w:vAlign w:val="center"/>
            <w:hideMark/>
          </w:tcPr>
          <w:p w14:paraId="20B0AF78" w14:textId="77777777" w:rsidR="00416D67" w:rsidRPr="00416D67" w:rsidRDefault="00416D67" w:rsidP="00416D67">
            <w:pPr>
              <w:jc w:val="right"/>
              <w:rPr>
                <w:b/>
                <w:bCs/>
                <w:color w:val="000000"/>
                <w:sz w:val="14"/>
                <w:szCs w:val="14"/>
              </w:rPr>
            </w:pPr>
            <w:r w:rsidRPr="00416D67">
              <w:rPr>
                <w:b/>
                <w:bCs/>
                <w:color w:val="000000"/>
                <w:sz w:val="14"/>
                <w:szCs w:val="14"/>
              </w:rPr>
              <w:t>2.635.012,70</w:t>
            </w:r>
          </w:p>
        </w:tc>
        <w:tc>
          <w:tcPr>
            <w:tcW w:w="1080" w:type="dxa"/>
            <w:tcBorders>
              <w:top w:val="nil"/>
              <w:left w:val="nil"/>
              <w:bottom w:val="single" w:sz="8" w:space="0" w:color="A6A6A6"/>
              <w:right w:val="single" w:sz="8" w:space="0" w:color="A6A6A6"/>
            </w:tcBorders>
            <w:shd w:val="clear" w:color="000000" w:fill="BFBFBF"/>
            <w:noWrap/>
            <w:vAlign w:val="center"/>
            <w:hideMark/>
          </w:tcPr>
          <w:p w14:paraId="35485999" w14:textId="77777777" w:rsidR="00416D67" w:rsidRPr="00416D67" w:rsidRDefault="00416D67" w:rsidP="00416D67">
            <w:pPr>
              <w:jc w:val="right"/>
              <w:rPr>
                <w:b/>
                <w:bCs/>
                <w:color w:val="000000"/>
                <w:sz w:val="14"/>
                <w:szCs w:val="14"/>
              </w:rPr>
            </w:pPr>
            <w:r w:rsidRPr="00416D67">
              <w:rPr>
                <w:b/>
                <w:bCs/>
                <w:color w:val="000000"/>
                <w:sz w:val="14"/>
                <w:szCs w:val="14"/>
              </w:rPr>
              <w:t>2.680.537,70</w:t>
            </w:r>
          </w:p>
        </w:tc>
        <w:tc>
          <w:tcPr>
            <w:tcW w:w="1080" w:type="dxa"/>
            <w:tcBorders>
              <w:top w:val="nil"/>
              <w:left w:val="nil"/>
              <w:bottom w:val="single" w:sz="8" w:space="0" w:color="A6A6A6"/>
              <w:right w:val="single" w:sz="8" w:space="0" w:color="A6A6A6"/>
            </w:tcBorders>
            <w:shd w:val="clear" w:color="000000" w:fill="BFBFBF"/>
            <w:noWrap/>
            <w:vAlign w:val="center"/>
            <w:hideMark/>
          </w:tcPr>
          <w:p w14:paraId="33A2159B" w14:textId="77777777" w:rsidR="00416D67" w:rsidRPr="00416D67" w:rsidRDefault="00416D67" w:rsidP="00416D67">
            <w:pPr>
              <w:jc w:val="right"/>
              <w:rPr>
                <w:b/>
                <w:bCs/>
                <w:color w:val="000000"/>
                <w:sz w:val="14"/>
                <w:szCs w:val="14"/>
              </w:rPr>
            </w:pPr>
            <w:r w:rsidRPr="00416D67">
              <w:rPr>
                <w:b/>
                <w:bCs/>
                <w:color w:val="000000"/>
                <w:sz w:val="14"/>
                <w:szCs w:val="14"/>
              </w:rPr>
              <w:t>2.239.567,51</w:t>
            </w:r>
          </w:p>
        </w:tc>
        <w:tc>
          <w:tcPr>
            <w:tcW w:w="960" w:type="dxa"/>
            <w:tcBorders>
              <w:top w:val="nil"/>
              <w:left w:val="nil"/>
              <w:bottom w:val="single" w:sz="8" w:space="0" w:color="A6A6A6"/>
              <w:right w:val="single" w:sz="8" w:space="0" w:color="A6A6A6"/>
            </w:tcBorders>
            <w:shd w:val="clear" w:color="000000" w:fill="BFBFBF"/>
            <w:noWrap/>
            <w:vAlign w:val="center"/>
            <w:hideMark/>
          </w:tcPr>
          <w:p w14:paraId="6C2398AC" w14:textId="77777777" w:rsidR="00416D67" w:rsidRPr="00416D67" w:rsidRDefault="00416D67" w:rsidP="00416D67">
            <w:pPr>
              <w:jc w:val="right"/>
              <w:rPr>
                <w:b/>
                <w:bCs/>
                <w:color w:val="000000"/>
                <w:sz w:val="14"/>
                <w:szCs w:val="14"/>
              </w:rPr>
            </w:pPr>
            <w:r w:rsidRPr="00416D67">
              <w:rPr>
                <w:b/>
                <w:bCs/>
                <w:color w:val="000000"/>
                <w:sz w:val="14"/>
                <w:szCs w:val="14"/>
              </w:rPr>
              <w:t>95,02%</w:t>
            </w:r>
          </w:p>
        </w:tc>
        <w:tc>
          <w:tcPr>
            <w:tcW w:w="987" w:type="dxa"/>
            <w:tcBorders>
              <w:top w:val="nil"/>
              <w:left w:val="nil"/>
              <w:bottom w:val="single" w:sz="8" w:space="0" w:color="A6A6A6"/>
              <w:right w:val="single" w:sz="8" w:space="0" w:color="A6A6A6"/>
            </w:tcBorders>
            <w:shd w:val="clear" w:color="000000" w:fill="BFBFBF"/>
            <w:noWrap/>
            <w:vAlign w:val="center"/>
            <w:hideMark/>
          </w:tcPr>
          <w:p w14:paraId="2CA4F59F" w14:textId="77777777" w:rsidR="00416D67" w:rsidRPr="00416D67" w:rsidRDefault="00416D67" w:rsidP="00416D67">
            <w:pPr>
              <w:jc w:val="right"/>
              <w:rPr>
                <w:b/>
                <w:bCs/>
                <w:color w:val="000000"/>
                <w:sz w:val="14"/>
                <w:szCs w:val="14"/>
              </w:rPr>
            </w:pPr>
            <w:r w:rsidRPr="00416D67">
              <w:rPr>
                <w:b/>
                <w:bCs/>
                <w:color w:val="000000"/>
                <w:sz w:val="14"/>
                <w:szCs w:val="14"/>
              </w:rPr>
              <w:t>83,55%</w:t>
            </w:r>
          </w:p>
        </w:tc>
      </w:tr>
      <w:tr w:rsidR="00416D67" w:rsidRPr="00416D67" w14:paraId="6C2B37EE" w14:textId="77777777" w:rsidTr="00BB1392">
        <w:trPr>
          <w:trHeight w:val="832"/>
        </w:trPr>
        <w:tc>
          <w:tcPr>
            <w:tcW w:w="710" w:type="dxa"/>
            <w:tcBorders>
              <w:top w:val="nil"/>
              <w:left w:val="single" w:sz="8" w:space="0" w:color="A6A6A6"/>
              <w:bottom w:val="single" w:sz="8" w:space="0" w:color="A6A6A6"/>
              <w:right w:val="single" w:sz="8" w:space="0" w:color="A6A6A6"/>
            </w:tcBorders>
            <w:noWrap/>
            <w:vAlign w:val="center"/>
            <w:hideMark/>
          </w:tcPr>
          <w:p w14:paraId="09762809" w14:textId="77777777" w:rsidR="00416D67" w:rsidRPr="00416D67" w:rsidRDefault="00416D67" w:rsidP="00416D67">
            <w:pPr>
              <w:rPr>
                <w:color w:val="000000"/>
                <w:sz w:val="14"/>
                <w:szCs w:val="14"/>
              </w:rPr>
            </w:pPr>
            <w:r w:rsidRPr="00416D67">
              <w:rPr>
                <w:color w:val="000000"/>
                <w:sz w:val="14"/>
                <w:szCs w:val="14"/>
              </w:rPr>
              <w:t>Glava</w:t>
            </w:r>
          </w:p>
        </w:tc>
        <w:tc>
          <w:tcPr>
            <w:tcW w:w="708" w:type="dxa"/>
            <w:tcBorders>
              <w:top w:val="nil"/>
              <w:left w:val="nil"/>
              <w:bottom w:val="single" w:sz="8" w:space="0" w:color="A6A6A6"/>
              <w:right w:val="single" w:sz="8" w:space="0" w:color="A6A6A6"/>
            </w:tcBorders>
            <w:noWrap/>
            <w:vAlign w:val="center"/>
            <w:hideMark/>
          </w:tcPr>
          <w:p w14:paraId="14EAA04A" w14:textId="77777777" w:rsidR="00416D67" w:rsidRPr="00416D67" w:rsidRDefault="00416D67" w:rsidP="00416D67">
            <w:pPr>
              <w:rPr>
                <w:color w:val="000000"/>
                <w:sz w:val="14"/>
                <w:szCs w:val="14"/>
              </w:rPr>
            </w:pPr>
            <w:r w:rsidRPr="00416D67">
              <w:rPr>
                <w:color w:val="000000"/>
                <w:sz w:val="14"/>
                <w:szCs w:val="14"/>
              </w:rPr>
              <w:t>004  01</w:t>
            </w:r>
          </w:p>
        </w:tc>
        <w:tc>
          <w:tcPr>
            <w:tcW w:w="2432" w:type="dxa"/>
            <w:tcBorders>
              <w:top w:val="nil"/>
              <w:left w:val="nil"/>
              <w:bottom w:val="single" w:sz="8" w:space="0" w:color="A6A6A6"/>
              <w:right w:val="single" w:sz="8" w:space="0" w:color="A6A6A6"/>
            </w:tcBorders>
            <w:vAlign w:val="center"/>
            <w:hideMark/>
          </w:tcPr>
          <w:p w14:paraId="0813E125" w14:textId="77777777" w:rsidR="00416D67" w:rsidRPr="00416D67" w:rsidRDefault="00416D67" w:rsidP="00416D67">
            <w:pPr>
              <w:rPr>
                <w:color w:val="000000"/>
                <w:sz w:val="14"/>
                <w:szCs w:val="14"/>
              </w:rPr>
            </w:pPr>
            <w:r w:rsidRPr="00416D67">
              <w:rPr>
                <w:color w:val="000000"/>
                <w:sz w:val="14"/>
                <w:szCs w:val="14"/>
              </w:rPr>
              <w:t>UPRAVNI ODJEL ZA PROSTORNO PLANIRANJE, ZAŠTITU OKOLIŠA, KOMUNALNO GOSPODARSTVO I IZGRADNJU</w:t>
            </w:r>
          </w:p>
        </w:tc>
        <w:tc>
          <w:tcPr>
            <w:tcW w:w="1080" w:type="dxa"/>
            <w:tcBorders>
              <w:top w:val="nil"/>
              <w:left w:val="nil"/>
              <w:bottom w:val="single" w:sz="8" w:space="0" w:color="A6A6A6"/>
              <w:right w:val="single" w:sz="8" w:space="0" w:color="A6A6A6"/>
            </w:tcBorders>
            <w:noWrap/>
            <w:vAlign w:val="center"/>
            <w:hideMark/>
          </w:tcPr>
          <w:p w14:paraId="7DB10CFF" w14:textId="77777777" w:rsidR="00416D67" w:rsidRPr="00416D67" w:rsidRDefault="00416D67" w:rsidP="00416D67">
            <w:pPr>
              <w:jc w:val="right"/>
              <w:rPr>
                <w:color w:val="000000"/>
                <w:sz w:val="14"/>
                <w:szCs w:val="14"/>
              </w:rPr>
            </w:pPr>
            <w:r w:rsidRPr="00416D67">
              <w:rPr>
                <w:color w:val="000000"/>
                <w:sz w:val="14"/>
                <w:szCs w:val="14"/>
              </w:rPr>
              <w:t>2.356.909,24</w:t>
            </w:r>
          </w:p>
        </w:tc>
        <w:tc>
          <w:tcPr>
            <w:tcW w:w="1080" w:type="dxa"/>
            <w:tcBorders>
              <w:top w:val="nil"/>
              <w:left w:val="nil"/>
              <w:bottom w:val="single" w:sz="8" w:space="0" w:color="A6A6A6"/>
              <w:right w:val="single" w:sz="8" w:space="0" w:color="A6A6A6"/>
            </w:tcBorders>
            <w:noWrap/>
            <w:vAlign w:val="center"/>
            <w:hideMark/>
          </w:tcPr>
          <w:p w14:paraId="0C4C9A8F" w14:textId="77777777" w:rsidR="00416D67" w:rsidRPr="00416D67" w:rsidRDefault="00416D67" w:rsidP="00416D67">
            <w:pPr>
              <w:jc w:val="right"/>
              <w:rPr>
                <w:color w:val="000000"/>
                <w:sz w:val="14"/>
                <w:szCs w:val="14"/>
              </w:rPr>
            </w:pPr>
            <w:r w:rsidRPr="00416D67">
              <w:rPr>
                <w:color w:val="000000"/>
                <w:sz w:val="14"/>
                <w:szCs w:val="14"/>
              </w:rPr>
              <w:t>2.635.012,70</w:t>
            </w:r>
          </w:p>
        </w:tc>
        <w:tc>
          <w:tcPr>
            <w:tcW w:w="1080" w:type="dxa"/>
            <w:tcBorders>
              <w:top w:val="nil"/>
              <w:left w:val="nil"/>
              <w:bottom w:val="single" w:sz="8" w:space="0" w:color="A6A6A6"/>
              <w:right w:val="single" w:sz="8" w:space="0" w:color="A6A6A6"/>
            </w:tcBorders>
            <w:noWrap/>
            <w:vAlign w:val="center"/>
            <w:hideMark/>
          </w:tcPr>
          <w:p w14:paraId="71D2269B" w14:textId="77777777" w:rsidR="00416D67" w:rsidRPr="00416D67" w:rsidRDefault="00416D67" w:rsidP="00416D67">
            <w:pPr>
              <w:jc w:val="right"/>
              <w:rPr>
                <w:color w:val="000000"/>
                <w:sz w:val="14"/>
                <w:szCs w:val="14"/>
              </w:rPr>
            </w:pPr>
            <w:r w:rsidRPr="00416D67">
              <w:rPr>
                <w:color w:val="000000"/>
                <w:sz w:val="14"/>
                <w:szCs w:val="14"/>
              </w:rPr>
              <w:t>2.680.537,70</w:t>
            </w:r>
          </w:p>
        </w:tc>
        <w:tc>
          <w:tcPr>
            <w:tcW w:w="1080" w:type="dxa"/>
            <w:tcBorders>
              <w:top w:val="nil"/>
              <w:left w:val="nil"/>
              <w:bottom w:val="single" w:sz="8" w:space="0" w:color="A6A6A6"/>
              <w:right w:val="single" w:sz="8" w:space="0" w:color="A6A6A6"/>
            </w:tcBorders>
            <w:noWrap/>
            <w:vAlign w:val="center"/>
            <w:hideMark/>
          </w:tcPr>
          <w:p w14:paraId="261FED2A" w14:textId="77777777" w:rsidR="00416D67" w:rsidRPr="00416D67" w:rsidRDefault="00416D67" w:rsidP="00416D67">
            <w:pPr>
              <w:jc w:val="right"/>
              <w:rPr>
                <w:color w:val="000000"/>
                <w:sz w:val="14"/>
                <w:szCs w:val="14"/>
              </w:rPr>
            </w:pPr>
            <w:r w:rsidRPr="00416D67">
              <w:rPr>
                <w:color w:val="000000"/>
                <w:sz w:val="14"/>
                <w:szCs w:val="14"/>
              </w:rPr>
              <w:t>2.239.567,51</w:t>
            </w:r>
          </w:p>
        </w:tc>
        <w:tc>
          <w:tcPr>
            <w:tcW w:w="960" w:type="dxa"/>
            <w:tcBorders>
              <w:top w:val="nil"/>
              <w:left w:val="nil"/>
              <w:bottom w:val="single" w:sz="8" w:space="0" w:color="A6A6A6"/>
              <w:right w:val="single" w:sz="8" w:space="0" w:color="A6A6A6"/>
            </w:tcBorders>
            <w:noWrap/>
            <w:vAlign w:val="center"/>
            <w:hideMark/>
          </w:tcPr>
          <w:p w14:paraId="31DA2A9E" w14:textId="77777777" w:rsidR="00416D67" w:rsidRPr="00416D67" w:rsidRDefault="00416D67" w:rsidP="00416D67">
            <w:pPr>
              <w:jc w:val="right"/>
              <w:rPr>
                <w:color w:val="000000"/>
                <w:sz w:val="14"/>
                <w:szCs w:val="14"/>
              </w:rPr>
            </w:pPr>
            <w:r w:rsidRPr="00416D67">
              <w:rPr>
                <w:color w:val="000000"/>
                <w:sz w:val="14"/>
                <w:szCs w:val="14"/>
              </w:rPr>
              <w:t>95,02%</w:t>
            </w:r>
          </w:p>
        </w:tc>
        <w:tc>
          <w:tcPr>
            <w:tcW w:w="987" w:type="dxa"/>
            <w:tcBorders>
              <w:top w:val="nil"/>
              <w:left w:val="nil"/>
              <w:bottom w:val="single" w:sz="8" w:space="0" w:color="A6A6A6"/>
              <w:right w:val="single" w:sz="8" w:space="0" w:color="A6A6A6"/>
            </w:tcBorders>
            <w:noWrap/>
            <w:vAlign w:val="center"/>
            <w:hideMark/>
          </w:tcPr>
          <w:p w14:paraId="19A1B862" w14:textId="77777777" w:rsidR="00416D67" w:rsidRPr="00416D67" w:rsidRDefault="00416D67" w:rsidP="00416D67">
            <w:pPr>
              <w:jc w:val="right"/>
              <w:rPr>
                <w:color w:val="000000"/>
                <w:sz w:val="14"/>
                <w:szCs w:val="14"/>
              </w:rPr>
            </w:pPr>
            <w:r w:rsidRPr="00416D67">
              <w:rPr>
                <w:color w:val="000000"/>
                <w:sz w:val="14"/>
                <w:szCs w:val="14"/>
              </w:rPr>
              <w:t>83,55%</w:t>
            </w:r>
          </w:p>
        </w:tc>
      </w:tr>
    </w:tbl>
    <w:p w14:paraId="510D855E" w14:textId="77777777" w:rsidR="00416D67" w:rsidRPr="00416D67" w:rsidRDefault="00416D67" w:rsidP="00416D67">
      <w:pPr>
        <w:ind w:firstLine="708"/>
        <w:jc w:val="both"/>
      </w:pPr>
    </w:p>
    <w:p w14:paraId="0EC2542C" w14:textId="77777777" w:rsidR="00416D67" w:rsidRPr="00416D67" w:rsidRDefault="00416D67" w:rsidP="00416D67">
      <w:pPr>
        <w:ind w:firstLine="708"/>
        <w:jc w:val="both"/>
      </w:pPr>
    </w:p>
    <w:p w14:paraId="5023DA79" w14:textId="77777777" w:rsidR="00416D67" w:rsidRPr="00416D67" w:rsidRDefault="00416D67" w:rsidP="00416D67">
      <w:pPr>
        <w:ind w:firstLine="708"/>
        <w:rPr>
          <w:b/>
          <w:lang w:val="de-DE"/>
        </w:rPr>
      </w:pPr>
      <w:r w:rsidRPr="00416D67">
        <w:rPr>
          <w:b/>
        </w:rPr>
        <w:t>Razdjel 001 Predstavničko tijelo, izvršno tijelo i mjesna samouprava</w:t>
      </w:r>
    </w:p>
    <w:p w14:paraId="0A814088" w14:textId="77777777" w:rsidR="00416D67" w:rsidRPr="00416D67" w:rsidRDefault="00416D67" w:rsidP="00416D67">
      <w:pPr>
        <w:ind w:firstLine="708"/>
        <w:jc w:val="both"/>
      </w:pPr>
      <w:r w:rsidRPr="00416D67">
        <w:t>Rashodi i izdaci ovog razdjela, koji se odnosi na Općinsko vijeće, općinskog načelnika i mjesnu samoupravu  planirani su u iznosu od 186.336,40 EUR, a ostvareni su u iznosu od 168.457,28 EUR ili sa 90,40 % u odnosu na plan ( ostvarenje 2024.godina 104.058,33 EUR) i podijeljeni su na</w:t>
      </w:r>
    </w:p>
    <w:p w14:paraId="1B955C74" w14:textId="77777777" w:rsidR="00416D67" w:rsidRPr="00416D67" w:rsidRDefault="00416D67" w:rsidP="00416D67">
      <w:pPr>
        <w:ind w:firstLine="708"/>
        <w:jc w:val="both"/>
      </w:pPr>
      <w:r w:rsidRPr="00416D67">
        <w:t xml:space="preserve">-  </w:t>
      </w:r>
      <w:r w:rsidRPr="00416D67">
        <w:rPr>
          <w:b/>
        </w:rPr>
        <w:t>općinsko vijeće i mjesnu samoupravu</w:t>
      </w:r>
      <w:r w:rsidRPr="00416D67">
        <w:t xml:space="preserve"> ostvareni u iznosu od 88.295,54 EUR, 211,52% ostvarenja prethodne godine  (ostvarenje 2024.godina 41.742,39 EUR</w:t>
      </w:r>
      <w:r w:rsidRPr="00416D67">
        <w:rPr>
          <w:spacing w:val="1"/>
        </w:rPr>
        <w:t xml:space="preserve">). povećanje   ostvarenja  u odnosu na prethodnu godinu odnosi se na rashode vezane za provedbu izbora u svibnju 2025.godine,te izostanak rashoda za program rada savjeta mladih, koji tekuće godine nije bio aktivan.    </w:t>
      </w:r>
    </w:p>
    <w:p w14:paraId="4C0886B6" w14:textId="77777777" w:rsidR="00416D67" w:rsidRPr="00416D67" w:rsidRDefault="00416D67" w:rsidP="00416D67">
      <w:pPr>
        <w:ind w:firstLine="708"/>
        <w:jc w:val="both"/>
        <w:rPr>
          <w:spacing w:val="1"/>
        </w:rPr>
      </w:pPr>
      <w:r w:rsidRPr="00416D67">
        <w:t xml:space="preserve">- </w:t>
      </w:r>
      <w:r w:rsidRPr="00416D67">
        <w:rPr>
          <w:b/>
        </w:rPr>
        <w:t xml:space="preserve">općinski načelnik  </w:t>
      </w:r>
      <w:r w:rsidRPr="00416D67">
        <w:t xml:space="preserve"> ostvareni u iznosu od 83.876,40 EUR (ostvarenje 2024.godina 62.315,94 EUR). </w:t>
      </w:r>
      <w:r w:rsidRPr="00416D67">
        <w:rPr>
          <w:spacing w:val="-1"/>
        </w:rPr>
        <w:t xml:space="preserve">Rashodi su ostvareni za 95,57%  u odnosu na godišnji plan za 2025. godinu. </w:t>
      </w:r>
      <w:r w:rsidRPr="00416D67">
        <w:rPr>
          <w:spacing w:val="1"/>
        </w:rPr>
        <w:t xml:space="preserve">Povećanje   ostvarenja  u odnosu na prethodnu godinu odnosi se na rashode za plaću dužnosnika, koja bilježi povećanje od rujna 2024. </w:t>
      </w:r>
    </w:p>
    <w:p w14:paraId="7E24D346" w14:textId="77777777" w:rsidR="00416D67" w:rsidRPr="00416D67" w:rsidRDefault="00416D67" w:rsidP="00416D67">
      <w:pPr>
        <w:ind w:firstLine="708"/>
      </w:pPr>
    </w:p>
    <w:p w14:paraId="65CA187E" w14:textId="77777777" w:rsidR="00416D67" w:rsidRPr="00416D67" w:rsidRDefault="00416D67" w:rsidP="00416D67">
      <w:pPr>
        <w:ind w:firstLine="720"/>
        <w:rPr>
          <w:b/>
        </w:rPr>
      </w:pPr>
    </w:p>
    <w:p w14:paraId="151A818D" w14:textId="77777777" w:rsidR="00416D67" w:rsidRPr="00416D67" w:rsidRDefault="00416D67" w:rsidP="00416D67">
      <w:pPr>
        <w:ind w:firstLine="720"/>
        <w:rPr>
          <w:b/>
        </w:rPr>
      </w:pPr>
      <w:r w:rsidRPr="00416D67">
        <w:rPr>
          <w:b/>
        </w:rPr>
        <w:t>Razdjel 003 obuhvaća</w:t>
      </w:r>
    </w:p>
    <w:p w14:paraId="34E8C7A7" w14:textId="77777777" w:rsidR="00416D67" w:rsidRPr="00416D67" w:rsidRDefault="00416D67" w:rsidP="00416D67">
      <w:pPr>
        <w:ind w:firstLine="720"/>
        <w:rPr>
          <w:b/>
        </w:rPr>
      </w:pPr>
      <w:r w:rsidRPr="00416D67">
        <w:rPr>
          <w:b/>
        </w:rPr>
        <w:lastRenderedPageBreak/>
        <w:t xml:space="preserve">- Glava 01 Upravni odjel za </w:t>
      </w:r>
      <w:proofErr w:type="spellStart"/>
      <w:r w:rsidRPr="00416D67">
        <w:rPr>
          <w:b/>
        </w:rPr>
        <w:t>društene</w:t>
      </w:r>
      <w:proofErr w:type="spellEnd"/>
      <w:r w:rsidRPr="00416D67">
        <w:rPr>
          <w:b/>
        </w:rPr>
        <w:t xml:space="preserve"> djelatnosti, gospodarstvo, financije i javnu nabavu i </w:t>
      </w:r>
    </w:p>
    <w:p w14:paraId="61402BCE" w14:textId="77777777" w:rsidR="00416D67" w:rsidRPr="00416D67" w:rsidRDefault="00416D67" w:rsidP="00416D67">
      <w:pPr>
        <w:ind w:firstLine="720"/>
        <w:rPr>
          <w:b/>
        </w:rPr>
      </w:pPr>
      <w:r w:rsidRPr="00416D67">
        <w:rPr>
          <w:b/>
        </w:rPr>
        <w:t xml:space="preserve">-Glava 02 35597 proračunski korisnik Dječji vrtić Vrtuljak Marčana </w:t>
      </w:r>
    </w:p>
    <w:p w14:paraId="75DD6B61" w14:textId="77777777" w:rsidR="00416D67" w:rsidRPr="00416D67" w:rsidRDefault="00416D67" w:rsidP="00416D67">
      <w:pPr>
        <w:ind w:firstLine="720"/>
        <w:rPr>
          <w:b/>
        </w:rPr>
      </w:pPr>
    </w:p>
    <w:p w14:paraId="4A6D5782" w14:textId="77777777" w:rsidR="00416D67" w:rsidRPr="00416D67" w:rsidRDefault="00416D67" w:rsidP="00416D67">
      <w:r w:rsidRPr="00416D67">
        <w:t xml:space="preserve">            </w:t>
      </w:r>
      <w:r w:rsidRPr="00416D67">
        <w:rPr>
          <w:b/>
        </w:rPr>
        <w:t>Razdjel 003 Glava 01</w:t>
      </w:r>
      <w:r w:rsidRPr="00416D67">
        <w:t xml:space="preserve"> </w:t>
      </w:r>
      <w:r w:rsidRPr="00416D67">
        <w:rPr>
          <w:b/>
        </w:rPr>
        <w:t xml:space="preserve">Upravni odjel za </w:t>
      </w:r>
      <w:proofErr w:type="spellStart"/>
      <w:r w:rsidRPr="00416D67">
        <w:rPr>
          <w:b/>
        </w:rPr>
        <w:t>društene</w:t>
      </w:r>
      <w:proofErr w:type="spellEnd"/>
      <w:r w:rsidRPr="00416D67">
        <w:rPr>
          <w:b/>
        </w:rPr>
        <w:t xml:space="preserve"> djelatnosti, gospodarstvo, financije i javnu nabavu</w:t>
      </w:r>
      <w:r w:rsidRPr="00416D67">
        <w:t xml:space="preserve"> Rashodi i izdaci ovog razdjela   planiran je u vrijednosti od  5.377.625,90 EUR, a ostvaren u iznosu od 3.318.988,00  EUR , odnosno sa 61,72 % EUR (ostvarenje 2024.godina   2.217375,61   EUR).</w:t>
      </w:r>
    </w:p>
    <w:p w14:paraId="5FC2E606" w14:textId="77777777" w:rsidR="00416D67" w:rsidRPr="00416D67" w:rsidRDefault="00416D67" w:rsidP="00416D67">
      <w:pPr>
        <w:ind w:firstLine="708"/>
      </w:pPr>
      <w:r w:rsidRPr="00416D67">
        <w:t>Razdjel 003 obuhvaća slijedeće glavne programe i njihovo ostvarenje u 2024. godini:</w:t>
      </w:r>
    </w:p>
    <w:p w14:paraId="52FF5F2D" w14:textId="77777777" w:rsidR="00416D67" w:rsidRPr="00416D67" w:rsidRDefault="00416D67">
      <w:pPr>
        <w:numPr>
          <w:ilvl w:val="0"/>
          <w:numId w:val="16"/>
        </w:numPr>
        <w:jc w:val="both"/>
      </w:pPr>
      <w:r w:rsidRPr="00416D67">
        <w:t>program redovna djelatnost Upravnog odjela – ostvarenje 1.004.112,43 EUR  (ostvarenje 2024.godina 797.395,55  EUR)</w:t>
      </w:r>
    </w:p>
    <w:p w14:paraId="29F329E0" w14:textId="77777777" w:rsidR="00416D67" w:rsidRPr="00416D67" w:rsidRDefault="00416D67">
      <w:pPr>
        <w:numPr>
          <w:ilvl w:val="0"/>
          <w:numId w:val="16"/>
        </w:numPr>
        <w:jc w:val="both"/>
      </w:pPr>
      <w:r w:rsidRPr="00416D67">
        <w:t>upravljanje javnim financijama – ostvarenje 75.238,93 EUR (2024. godina 76.157,85 EUR),</w:t>
      </w:r>
    </w:p>
    <w:p w14:paraId="709A38C2" w14:textId="77777777" w:rsidR="00416D67" w:rsidRPr="00416D67" w:rsidRDefault="00416D67">
      <w:pPr>
        <w:numPr>
          <w:ilvl w:val="0"/>
          <w:numId w:val="16"/>
        </w:numPr>
        <w:jc w:val="both"/>
      </w:pPr>
      <w:r w:rsidRPr="00416D67">
        <w:t xml:space="preserve">društvene djelatnosti (koje obuhvaćaju program javnih potreba u djelatnosti predškolskog odgoja, javnih potreba u školstvu, javnih potreba u kulturi, javnih potreba u športu, javnih potreba putem udruga civilnog društva i javnih potreba u socijalnoj skrbi i zdravstvu, program mjera poticanja razvoja malo g i srednjeg poduzetništva i program </w:t>
      </w:r>
      <w:proofErr w:type="spellStart"/>
      <w:r w:rsidRPr="00416D67">
        <w:t>potopra</w:t>
      </w:r>
      <w:proofErr w:type="spellEnd"/>
      <w:r w:rsidRPr="00416D67">
        <w:t xml:space="preserve"> župnim uredima) – ostvarenje 1.736.364,39   EUR  (2024.godina 1.668.534,51 EUR)  </w:t>
      </w:r>
    </w:p>
    <w:p w14:paraId="67806821" w14:textId="77777777" w:rsidR="00416D67" w:rsidRPr="00416D67" w:rsidRDefault="00416D67">
      <w:pPr>
        <w:numPr>
          <w:ilvl w:val="0"/>
          <w:numId w:val="16"/>
        </w:numPr>
        <w:jc w:val="both"/>
      </w:pPr>
      <w:r w:rsidRPr="00416D67">
        <w:t>subvencije za cestovni promet i poljoprivreda – ostvarenje  184.966,11 (2024.godina 26.181,25 EUR)</w:t>
      </w:r>
    </w:p>
    <w:p w14:paraId="4427AB5B" w14:textId="77777777" w:rsidR="00416D67" w:rsidRPr="00416D67" w:rsidRDefault="00416D67">
      <w:pPr>
        <w:numPr>
          <w:ilvl w:val="0"/>
          <w:numId w:val="16"/>
        </w:numPr>
        <w:jc w:val="both"/>
      </w:pPr>
      <w:r w:rsidRPr="00416D67">
        <w:t>program potpora javnom zdravstvu – ostvarenje 5.001,89 EUR (2024. godina 3.059,68 EUR),</w:t>
      </w:r>
    </w:p>
    <w:p w14:paraId="40E59514" w14:textId="77777777" w:rsidR="00416D67" w:rsidRPr="00416D67" w:rsidRDefault="00416D67">
      <w:pPr>
        <w:numPr>
          <w:ilvl w:val="0"/>
          <w:numId w:val="16"/>
        </w:numPr>
        <w:jc w:val="both"/>
      </w:pPr>
      <w:r w:rsidRPr="00416D67">
        <w:t>program razvoja i poticanja poljoprivrede – ostvarenje 26.246,13 EUR (2024. godina 25.145,75 EUR),</w:t>
      </w:r>
    </w:p>
    <w:p w14:paraId="429503FF" w14:textId="77777777" w:rsidR="00416D67" w:rsidRPr="00416D67" w:rsidRDefault="00416D67">
      <w:pPr>
        <w:numPr>
          <w:ilvl w:val="0"/>
          <w:numId w:val="16"/>
        </w:numPr>
        <w:jc w:val="both"/>
      </w:pPr>
      <w:r w:rsidRPr="00416D67">
        <w:t xml:space="preserve">kapitalni </w:t>
      </w:r>
      <w:proofErr w:type="spellStart"/>
      <w:r w:rsidRPr="00416D67">
        <w:t>project</w:t>
      </w:r>
      <w:proofErr w:type="spellEnd"/>
      <w:r w:rsidRPr="00416D67">
        <w:t xml:space="preserve"> izgradnja poduzetničkog inkubatora Marčana – ostvarenje 53.073,75 EUR (2024.godina     525,00 EUR),</w:t>
      </w:r>
    </w:p>
    <w:p w14:paraId="69C71E68" w14:textId="77777777" w:rsidR="00416D67" w:rsidRPr="00416D67" w:rsidRDefault="00416D67">
      <w:pPr>
        <w:numPr>
          <w:ilvl w:val="0"/>
          <w:numId w:val="16"/>
        </w:numPr>
        <w:jc w:val="both"/>
      </w:pPr>
      <w:r w:rsidRPr="00416D67">
        <w:t xml:space="preserve">program zaštite I spašavanja – ostvarenje 4.873,75 EUR (2024.godina     3.909,76 EUR);  </w:t>
      </w:r>
    </w:p>
    <w:p w14:paraId="16E674A5" w14:textId="77777777" w:rsidR="00416D67" w:rsidRPr="00416D67" w:rsidRDefault="00416D67">
      <w:pPr>
        <w:numPr>
          <w:ilvl w:val="0"/>
          <w:numId w:val="16"/>
        </w:numPr>
        <w:jc w:val="both"/>
      </w:pPr>
      <w:r w:rsidRPr="00416D67">
        <w:t xml:space="preserve">program protupožarne zaštite  – ostvarenje  304.349,55 EUR  </w:t>
      </w:r>
      <w:proofErr w:type="spellStart"/>
      <w:r w:rsidRPr="00416D67">
        <w:t>EUR</w:t>
      </w:r>
      <w:proofErr w:type="spellEnd"/>
      <w:r w:rsidRPr="00416D67">
        <w:t xml:space="preserve"> (2024.godina     254.140,41 EUR);  </w:t>
      </w:r>
    </w:p>
    <w:p w14:paraId="221590E5" w14:textId="77777777" w:rsidR="00416D67" w:rsidRPr="00416D67" w:rsidRDefault="00416D67" w:rsidP="00416D67">
      <w:pPr>
        <w:ind w:left="283"/>
        <w:jc w:val="both"/>
      </w:pPr>
    </w:p>
    <w:p w14:paraId="30646873" w14:textId="77777777" w:rsidR="00416D67" w:rsidRPr="00416D67" w:rsidRDefault="00416D67" w:rsidP="00416D67">
      <w:pPr>
        <w:ind w:firstLine="720"/>
        <w:rPr>
          <w:b/>
        </w:rPr>
      </w:pPr>
      <w:r w:rsidRPr="00416D67">
        <w:rPr>
          <w:b/>
        </w:rPr>
        <w:t>Razdjel 004 Upravnog odjela za prostorno planiranje, zaštitu okoliša, komunalno gospodarstvo I izgradnju</w:t>
      </w:r>
    </w:p>
    <w:p w14:paraId="1707D3A7" w14:textId="77777777" w:rsidR="00416D67" w:rsidRPr="00416D67" w:rsidRDefault="00416D67" w:rsidP="00416D67">
      <w:r w:rsidRPr="00416D67">
        <w:t xml:space="preserve">            Rashodi i izdaci ovog razdjela   planiran je u vrijednosti od  2.680.537,70 EUR, a ostvaren u iznosu od 2.239.567,51  EUR , odnosno sa 83,55 %. (ostvarenje 2024.godina 2.356.909,24   EUR).</w:t>
      </w:r>
    </w:p>
    <w:p w14:paraId="224F7946" w14:textId="77777777" w:rsidR="00416D67" w:rsidRPr="00416D67" w:rsidRDefault="00416D67" w:rsidP="00416D67">
      <w:pPr>
        <w:jc w:val="both"/>
      </w:pPr>
    </w:p>
    <w:p w14:paraId="5DEC3078" w14:textId="77777777" w:rsidR="00416D67" w:rsidRPr="00416D67" w:rsidRDefault="00416D67">
      <w:pPr>
        <w:numPr>
          <w:ilvl w:val="0"/>
          <w:numId w:val="16"/>
        </w:numPr>
        <w:jc w:val="both"/>
      </w:pPr>
      <w:r w:rsidRPr="00416D67">
        <w:t>zaštita okoliša i gospodarenje otpadom – ostvarenje 101.675,70  EUR (2024.godina 143.242,78 EUR),</w:t>
      </w:r>
    </w:p>
    <w:p w14:paraId="490C54B8" w14:textId="77777777" w:rsidR="00416D67" w:rsidRPr="00416D67" w:rsidRDefault="00416D67">
      <w:pPr>
        <w:numPr>
          <w:ilvl w:val="0"/>
          <w:numId w:val="16"/>
        </w:numPr>
        <w:jc w:val="both"/>
      </w:pPr>
      <w:r w:rsidRPr="00416D67">
        <w:t>održavanje komunalne infrastrukture i komunalnih djelatnosti– ostvarenje 459.005,67  EUR  (2024.godina 366.381,07 EUR),</w:t>
      </w:r>
    </w:p>
    <w:p w14:paraId="791AEA9C" w14:textId="77777777" w:rsidR="00416D67" w:rsidRPr="00416D67" w:rsidRDefault="00416D67">
      <w:pPr>
        <w:numPr>
          <w:ilvl w:val="0"/>
          <w:numId w:val="16"/>
        </w:numPr>
        <w:jc w:val="both"/>
      </w:pPr>
      <w:r w:rsidRPr="00416D67">
        <w:t>program korištenja sredstava naknade za zadržavanje nezakonito izgrađenih zgrada – ostvarenje 4.312,50 EUR (2024.godina 13.237,64 EUR),</w:t>
      </w:r>
    </w:p>
    <w:p w14:paraId="18A765B9" w14:textId="77777777" w:rsidR="00416D67" w:rsidRPr="00416D67" w:rsidRDefault="00416D67">
      <w:pPr>
        <w:numPr>
          <w:ilvl w:val="0"/>
          <w:numId w:val="16"/>
        </w:numPr>
        <w:jc w:val="both"/>
      </w:pPr>
      <w:r w:rsidRPr="00416D67">
        <w:t>program gradnje komunalnih i drugih objekata– ostvarenje 1.189.568,78 EUR  (2024.godina  1.503.012,09  EUR),</w:t>
      </w:r>
    </w:p>
    <w:p w14:paraId="68F63835" w14:textId="77777777" w:rsidR="00416D67" w:rsidRPr="00416D67" w:rsidRDefault="00416D67">
      <w:pPr>
        <w:numPr>
          <w:ilvl w:val="0"/>
          <w:numId w:val="16"/>
        </w:numPr>
        <w:jc w:val="both"/>
      </w:pPr>
      <w:r w:rsidRPr="00416D67">
        <w:t>dodatna ulaganja u ostale građevinske objekte – ostvarenje  279.779,86 EUR (2024.godina 140.773,16 EUR),</w:t>
      </w:r>
    </w:p>
    <w:p w14:paraId="48D72677" w14:textId="77777777" w:rsidR="00416D67" w:rsidRPr="00416D67" w:rsidRDefault="00416D67">
      <w:pPr>
        <w:numPr>
          <w:ilvl w:val="0"/>
          <w:numId w:val="16"/>
        </w:numPr>
        <w:jc w:val="both"/>
      </w:pPr>
      <w:r w:rsidRPr="00416D67">
        <w:t>kapitalna potpora Županijskoj upravi za ceste Istarske županije ostvarenje 180.000,00 EUR (u izvještajnom razdoblju prethodne godine nije bilo ostvarenja)</w:t>
      </w:r>
    </w:p>
    <w:p w14:paraId="00EB7B93" w14:textId="77777777" w:rsidR="00416D67" w:rsidRPr="00416D67" w:rsidRDefault="00416D67">
      <w:pPr>
        <w:numPr>
          <w:ilvl w:val="0"/>
          <w:numId w:val="16"/>
        </w:numPr>
        <w:jc w:val="both"/>
      </w:pPr>
      <w:r w:rsidRPr="00416D67">
        <w:lastRenderedPageBreak/>
        <w:t xml:space="preserve">razvoj sustava </w:t>
      </w:r>
      <w:proofErr w:type="spellStart"/>
      <w:r w:rsidRPr="00416D67">
        <w:t>vodoopsrkbe</w:t>
      </w:r>
      <w:proofErr w:type="spellEnd"/>
      <w:r w:rsidRPr="00416D67">
        <w:t xml:space="preserve"> – ostvarenje 16.875,00 EUR (2024.godina 70.337,50 EUR),</w:t>
      </w:r>
    </w:p>
    <w:p w14:paraId="64F06FCC" w14:textId="77777777" w:rsidR="00416D67" w:rsidRPr="00416D67" w:rsidRDefault="00416D67">
      <w:pPr>
        <w:numPr>
          <w:ilvl w:val="0"/>
          <w:numId w:val="16"/>
        </w:numPr>
        <w:jc w:val="both"/>
      </w:pPr>
      <w:r w:rsidRPr="00416D67">
        <w:t>prostorno planiranje i provedba prostornih planova– ostvarenje  8.350,00 EUR  (2024.godina 19.925,00 EUR),</w:t>
      </w:r>
    </w:p>
    <w:p w14:paraId="76FDC431" w14:textId="77777777" w:rsidR="00416D67" w:rsidRPr="00416D67" w:rsidRDefault="00416D67" w:rsidP="00416D67">
      <w:pPr>
        <w:spacing w:after="120"/>
        <w:ind w:left="283"/>
        <w:rPr>
          <w:b/>
          <w:bCs/>
          <w:color w:val="000000"/>
        </w:rPr>
      </w:pPr>
    </w:p>
    <w:p w14:paraId="005C845D" w14:textId="77777777" w:rsidR="00416D67" w:rsidRPr="00416D67" w:rsidRDefault="00416D67" w:rsidP="00416D67">
      <w:pPr>
        <w:ind w:firstLine="720"/>
        <w:rPr>
          <w:b/>
        </w:rPr>
      </w:pPr>
      <w:r w:rsidRPr="00416D67">
        <w:rPr>
          <w:b/>
        </w:rPr>
        <w:t xml:space="preserve">Razdjel 003   Glava 01 Upravni odjel za </w:t>
      </w:r>
      <w:proofErr w:type="spellStart"/>
      <w:r w:rsidRPr="00416D67">
        <w:rPr>
          <w:b/>
        </w:rPr>
        <w:t>društene</w:t>
      </w:r>
      <w:proofErr w:type="spellEnd"/>
      <w:r w:rsidRPr="00416D67">
        <w:rPr>
          <w:b/>
        </w:rPr>
        <w:t xml:space="preserve"> djelatnosti, gospodarstvo, financije i javnu nabavu  </w:t>
      </w:r>
    </w:p>
    <w:p w14:paraId="784EA14C" w14:textId="77777777" w:rsidR="00416D67" w:rsidRPr="00416D67" w:rsidRDefault="00416D67" w:rsidP="00416D67">
      <w:pPr>
        <w:spacing w:before="29"/>
        <w:ind w:firstLine="600"/>
        <w:jc w:val="both"/>
        <w:rPr>
          <w:spacing w:val="-1"/>
        </w:rPr>
      </w:pPr>
      <w:r w:rsidRPr="00416D67">
        <w:t xml:space="preserve">  Program redovne djelatnosti Upravnog odjela realiziran je u iznosu od 1.004.112,43 EUR, što čini 85,29% u odnosu na planirano 1.177.334,68 EUR (ostvarenje 2024 godina 797.395,55 EUR, </w:t>
      </w:r>
      <w:proofErr w:type="spellStart"/>
      <w:r w:rsidRPr="00416D67">
        <w:t>ineks</w:t>
      </w:r>
      <w:proofErr w:type="spellEnd"/>
      <w:r w:rsidRPr="00416D67">
        <w:t xml:space="preserve"> ostvarenja 24/23 121,4%). Unutar ovog programa evidentirani su rashodi za sve zaposlene.   </w:t>
      </w:r>
      <w:r w:rsidRPr="00416D67">
        <w:rPr>
          <w:spacing w:val="-1"/>
        </w:rPr>
        <w:t>Broj zaposlenih 01.01.2025.  13 zaposlenika (1 dužnosnik, 12 neodređeno), broj zaposlenih 31.12.2025. - 13 (1 dužnosnik, 12 neodređeno). U izvještajnom razdoblju od travnja do listopada bilo je 14 zaposlenih (1 dužnosnik i 13 zaposlenih) u travnju je zaposlen komunalni redar, dok je u listopadu došlo do sporazumnog raskida radnog odnosa sa pročelnikom za komunalne djelatnosti.  Povećanje ostvarenja u odnosu na prethodnu godinu odnosi se na povećanje materijalnih prava zaposlenika, te iz razloga što je osnovica za obračun place   tijekom izvještajnog razdoblja povećavana je dva puta.</w:t>
      </w:r>
    </w:p>
    <w:p w14:paraId="7B8EE5AE" w14:textId="77777777" w:rsidR="00416D67" w:rsidRPr="00416D67" w:rsidRDefault="00416D67" w:rsidP="00416D67">
      <w:pPr>
        <w:jc w:val="both"/>
      </w:pPr>
      <w:r w:rsidRPr="00416D67">
        <w:t xml:space="preserve">            Ovim programom sadržani su i svi materijalni izdaci za redovno funkcioniranje i održavanje zgrada i opreme.  Aktivnosti sadržane u programu su slijedeće:</w:t>
      </w:r>
    </w:p>
    <w:p w14:paraId="340E4337" w14:textId="77777777" w:rsidR="00416D67" w:rsidRPr="00416D67" w:rsidRDefault="00416D67">
      <w:pPr>
        <w:numPr>
          <w:ilvl w:val="0"/>
          <w:numId w:val="16"/>
        </w:numPr>
        <w:jc w:val="both"/>
        <w:rPr>
          <w:b/>
        </w:rPr>
      </w:pPr>
      <w:r w:rsidRPr="00416D67">
        <w:t>administrativno, tehničko I stručno osoblje 498.951,84 EUR (2024. 359.750,06 EUR),</w:t>
      </w:r>
    </w:p>
    <w:p w14:paraId="22356A53" w14:textId="77777777" w:rsidR="00416D67" w:rsidRPr="00416D67" w:rsidRDefault="00416D67">
      <w:pPr>
        <w:numPr>
          <w:ilvl w:val="0"/>
          <w:numId w:val="16"/>
        </w:numPr>
        <w:jc w:val="both"/>
        <w:rPr>
          <w:b/>
        </w:rPr>
      </w:pPr>
      <w:r w:rsidRPr="00416D67">
        <w:t>rashodi za materijal I energiju 83.790,34 EUR (2024. 69.061,02 EUR),</w:t>
      </w:r>
    </w:p>
    <w:p w14:paraId="763CC7B8" w14:textId="77777777" w:rsidR="00416D67" w:rsidRPr="00416D67" w:rsidRDefault="00416D67">
      <w:pPr>
        <w:numPr>
          <w:ilvl w:val="0"/>
          <w:numId w:val="16"/>
        </w:numPr>
        <w:jc w:val="both"/>
        <w:rPr>
          <w:b/>
        </w:rPr>
      </w:pPr>
      <w:r w:rsidRPr="00416D67">
        <w:t>rashodi za usluge 261.604,29 EUR  ( 2024. 284.389,23 EUR),</w:t>
      </w:r>
    </w:p>
    <w:p w14:paraId="14C6C852" w14:textId="77777777" w:rsidR="00416D67" w:rsidRPr="00416D67" w:rsidRDefault="00416D67">
      <w:pPr>
        <w:numPr>
          <w:ilvl w:val="0"/>
          <w:numId w:val="16"/>
        </w:numPr>
        <w:jc w:val="both"/>
        <w:rPr>
          <w:b/>
        </w:rPr>
      </w:pPr>
      <w:r w:rsidRPr="00416D67">
        <w:t>financijski rashodi 25.054,03 EUR (2024. 12.098,47 EUR),</w:t>
      </w:r>
    </w:p>
    <w:p w14:paraId="28FFA99D" w14:textId="77777777" w:rsidR="00416D67" w:rsidRPr="00416D67" w:rsidRDefault="00416D67">
      <w:pPr>
        <w:numPr>
          <w:ilvl w:val="0"/>
          <w:numId w:val="16"/>
        </w:numPr>
        <w:jc w:val="both"/>
        <w:rPr>
          <w:b/>
        </w:rPr>
      </w:pPr>
      <w:r w:rsidRPr="00416D67">
        <w:t>upravljanje javnim financijama 75.238,93 EUR ( 2024. 76.157,85 EUR) ,</w:t>
      </w:r>
    </w:p>
    <w:p w14:paraId="731AABDF" w14:textId="77777777" w:rsidR="00416D67" w:rsidRPr="00416D67" w:rsidRDefault="00416D67">
      <w:pPr>
        <w:numPr>
          <w:ilvl w:val="0"/>
          <w:numId w:val="16"/>
        </w:numPr>
        <w:jc w:val="both"/>
        <w:rPr>
          <w:b/>
        </w:rPr>
      </w:pPr>
      <w:r w:rsidRPr="00416D67">
        <w:t>razvoj i podrška razvoju održivih modela zapošljavanja ranjivih skupina na Urbanom području Pula 0,00  EUR (2024. 61.260,77 EUR) ,</w:t>
      </w:r>
    </w:p>
    <w:p w14:paraId="614080EC" w14:textId="77777777" w:rsidR="00416D67" w:rsidRPr="00416D67" w:rsidRDefault="00416D67">
      <w:pPr>
        <w:numPr>
          <w:ilvl w:val="0"/>
          <w:numId w:val="16"/>
        </w:numPr>
        <w:jc w:val="both"/>
        <w:rPr>
          <w:b/>
        </w:rPr>
      </w:pPr>
      <w:r w:rsidRPr="00416D67">
        <w:t>potpora Sveučilištu Jurja Dobrile u Puli 10.000,00 EUR (2024.  0,00 EUR)</w:t>
      </w:r>
    </w:p>
    <w:p w14:paraId="029EC1C5" w14:textId="77777777" w:rsidR="00416D67" w:rsidRPr="00416D67" w:rsidRDefault="00416D67">
      <w:pPr>
        <w:numPr>
          <w:ilvl w:val="0"/>
          <w:numId w:val="16"/>
        </w:numPr>
        <w:jc w:val="both"/>
        <w:rPr>
          <w:b/>
        </w:rPr>
      </w:pPr>
      <w:r w:rsidRPr="00416D67">
        <w:t>potpora Istarskoj županiji – sufinanciranje rada na izdavanju rješenja za legalizaciju objekata 9.273,00 EUR (2024. 10.116,00 EUR) i</w:t>
      </w:r>
    </w:p>
    <w:p w14:paraId="1F7C427D" w14:textId="77777777" w:rsidR="00416D67" w:rsidRPr="00416D67" w:rsidRDefault="00416D67">
      <w:pPr>
        <w:numPr>
          <w:ilvl w:val="0"/>
          <w:numId w:val="16"/>
        </w:numPr>
        <w:jc w:val="both"/>
        <w:rPr>
          <w:b/>
        </w:rPr>
      </w:pPr>
      <w:r w:rsidRPr="00416D67">
        <w:t>sufinanciranje portala bespravna gradnja 0,00 EUR (2024. 720,00 EUR)</w:t>
      </w:r>
    </w:p>
    <w:p w14:paraId="7D0F776C" w14:textId="77777777" w:rsidR="00416D67" w:rsidRPr="00416D67" w:rsidRDefault="00416D67" w:rsidP="00416D67">
      <w:pPr>
        <w:ind w:firstLine="708"/>
        <w:jc w:val="both"/>
        <w:rPr>
          <w:b/>
        </w:rPr>
      </w:pPr>
    </w:p>
    <w:p w14:paraId="55655C0D" w14:textId="77777777" w:rsidR="00416D67" w:rsidRPr="00416D67" w:rsidRDefault="00416D67" w:rsidP="00416D67">
      <w:pPr>
        <w:ind w:firstLine="708"/>
        <w:jc w:val="both"/>
        <w:rPr>
          <w:b/>
        </w:rPr>
      </w:pPr>
      <w:r w:rsidRPr="00416D67">
        <w:rPr>
          <w:b/>
        </w:rPr>
        <w:t xml:space="preserve">Programi javnih potreba u društvenim djelatnostima </w:t>
      </w:r>
    </w:p>
    <w:p w14:paraId="2C893544" w14:textId="77777777" w:rsidR="00416D67" w:rsidRPr="00416D67" w:rsidRDefault="00416D67" w:rsidP="00416D67">
      <w:pPr>
        <w:ind w:firstLine="708"/>
        <w:jc w:val="both"/>
        <w:rPr>
          <w:b/>
        </w:rPr>
      </w:pPr>
    </w:p>
    <w:p w14:paraId="26CD43AD" w14:textId="77777777" w:rsidR="00416D67" w:rsidRPr="00416D67" w:rsidRDefault="00416D67" w:rsidP="00416D67">
      <w:pPr>
        <w:ind w:firstLine="708"/>
        <w:jc w:val="both"/>
        <w:rPr>
          <w:b/>
        </w:rPr>
      </w:pPr>
      <w:r w:rsidRPr="00416D67">
        <w:rPr>
          <w:b/>
        </w:rPr>
        <w:t>Program javnih  potreba  u djelatnosti predškolskog odgoja</w:t>
      </w:r>
    </w:p>
    <w:p w14:paraId="2BAA12C0" w14:textId="77777777" w:rsidR="00416D67" w:rsidRPr="00416D67" w:rsidRDefault="00416D67" w:rsidP="00416D67">
      <w:pPr>
        <w:ind w:firstLine="708"/>
        <w:jc w:val="both"/>
      </w:pPr>
      <w:r w:rsidRPr="00416D67">
        <w:t xml:space="preserve">Program javnih potreba u djelatnosti predškolskog odgoja ostvaren  je u iznosu od 258.464,26 EUR, odnosno 98,88% u odnosu na plan (ostvarenje 2024. godina ostvarenje 227.848,51 EUR). </w:t>
      </w:r>
    </w:p>
    <w:tbl>
      <w:tblPr>
        <w:tblW w:w="8760" w:type="dxa"/>
        <w:tblInd w:w="93" w:type="dxa"/>
        <w:tblLook w:val="04A0" w:firstRow="1" w:lastRow="0" w:firstColumn="1" w:lastColumn="0" w:noHBand="0" w:noVBand="1"/>
      </w:tblPr>
      <w:tblGrid>
        <w:gridCol w:w="3440"/>
        <w:gridCol w:w="1120"/>
        <w:gridCol w:w="1220"/>
        <w:gridCol w:w="1260"/>
        <w:gridCol w:w="940"/>
        <w:gridCol w:w="780"/>
      </w:tblGrid>
      <w:tr w:rsidR="00416D67" w:rsidRPr="00416D67" w14:paraId="156697D6" w14:textId="77777777" w:rsidTr="00BB1392">
        <w:trPr>
          <w:trHeight w:val="555"/>
        </w:trPr>
        <w:tc>
          <w:tcPr>
            <w:tcW w:w="3440" w:type="dxa"/>
            <w:tcBorders>
              <w:top w:val="single" w:sz="4" w:space="0" w:color="auto"/>
              <w:left w:val="single" w:sz="4" w:space="0" w:color="auto"/>
              <w:bottom w:val="single" w:sz="4" w:space="0" w:color="auto"/>
              <w:right w:val="single" w:sz="4" w:space="0" w:color="auto"/>
            </w:tcBorders>
            <w:noWrap/>
            <w:vAlign w:val="center"/>
            <w:hideMark/>
          </w:tcPr>
          <w:p w14:paraId="369E0D7E" w14:textId="77777777" w:rsidR="00416D67" w:rsidRPr="00416D67" w:rsidRDefault="00416D67" w:rsidP="00416D67">
            <w:pPr>
              <w:jc w:val="center"/>
              <w:rPr>
                <w:color w:val="000000"/>
                <w:sz w:val="16"/>
                <w:szCs w:val="16"/>
              </w:rPr>
            </w:pPr>
            <w:r w:rsidRPr="00416D67">
              <w:rPr>
                <w:color w:val="000000"/>
                <w:sz w:val="16"/>
                <w:szCs w:val="16"/>
              </w:rPr>
              <w:t>Brojčana oznaka / naziv aktivnosti</w:t>
            </w:r>
          </w:p>
        </w:tc>
        <w:tc>
          <w:tcPr>
            <w:tcW w:w="1120" w:type="dxa"/>
            <w:tcBorders>
              <w:top w:val="single" w:sz="4" w:space="0" w:color="auto"/>
              <w:left w:val="nil"/>
              <w:bottom w:val="single" w:sz="4" w:space="0" w:color="auto"/>
              <w:right w:val="single" w:sz="4" w:space="0" w:color="auto"/>
            </w:tcBorders>
            <w:vAlign w:val="center"/>
            <w:hideMark/>
          </w:tcPr>
          <w:p w14:paraId="68786806" w14:textId="77777777" w:rsidR="00416D67" w:rsidRPr="00416D67" w:rsidRDefault="00416D67" w:rsidP="00416D67">
            <w:pPr>
              <w:jc w:val="center"/>
              <w:rPr>
                <w:color w:val="000000"/>
                <w:sz w:val="16"/>
                <w:szCs w:val="16"/>
              </w:rPr>
            </w:pPr>
            <w:r w:rsidRPr="00416D67">
              <w:rPr>
                <w:color w:val="000000"/>
                <w:sz w:val="16"/>
                <w:szCs w:val="16"/>
              </w:rPr>
              <w:t>Ostvarenje 2024.</w:t>
            </w:r>
          </w:p>
        </w:tc>
        <w:tc>
          <w:tcPr>
            <w:tcW w:w="1220" w:type="dxa"/>
            <w:tcBorders>
              <w:top w:val="single" w:sz="4" w:space="0" w:color="auto"/>
              <w:left w:val="nil"/>
              <w:bottom w:val="single" w:sz="4" w:space="0" w:color="auto"/>
              <w:right w:val="single" w:sz="4" w:space="0" w:color="auto"/>
            </w:tcBorders>
            <w:noWrap/>
            <w:vAlign w:val="center"/>
            <w:hideMark/>
          </w:tcPr>
          <w:p w14:paraId="6E3B926E" w14:textId="77777777" w:rsidR="00416D67" w:rsidRPr="00416D67" w:rsidRDefault="00416D67" w:rsidP="00416D67">
            <w:pPr>
              <w:jc w:val="center"/>
              <w:rPr>
                <w:color w:val="000000"/>
                <w:sz w:val="16"/>
                <w:szCs w:val="16"/>
              </w:rPr>
            </w:pPr>
            <w:r w:rsidRPr="00416D67">
              <w:rPr>
                <w:color w:val="000000"/>
                <w:sz w:val="16"/>
                <w:szCs w:val="16"/>
              </w:rPr>
              <w:t>Plan 2025</w:t>
            </w:r>
          </w:p>
        </w:tc>
        <w:tc>
          <w:tcPr>
            <w:tcW w:w="1260" w:type="dxa"/>
            <w:tcBorders>
              <w:top w:val="single" w:sz="4" w:space="0" w:color="auto"/>
              <w:left w:val="nil"/>
              <w:bottom w:val="single" w:sz="4" w:space="0" w:color="auto"/>
              <w:right w:val="single" w:sz="4" w:space="0" w:color="auto"/>
            </w:tcBorders>
            <w:vAlign w:val="center"/>
            <w:hideMark/>
          </w:tcPr>
          <w:p w14:paraId="7E6D8782" w14:textId="77777777" w:rsidR="00416D67" w:rsidRPr="00416D67" w:rsidRDefault="00416D67" w:rsidP="00416D67">
            <w:pPr>
              <w:jc w:val="center"/>
              <w:rPr>
                <w:color w:val="000000"/>
                <w:sz w:val="16"/>
                <w:szCs w:val="16"/>
              </w:rPr>
            </w:pPr>
            <w:r w:rsidRPr="00416D67">
              <w:rPr>
                <w:color w:val="000000"/>
                <w:sz w:val="16"/>
                <w:szCs w:val="16"/>
              </w:rPr>
              <w:t>Ostvarenje 2025.</w:t>
            </w:r>
          </w:p>
        </w:tc>
        <w:tc>
          <w:tcPr>
            <w:tcW w:w="940" w:type="dxa"/>
            <w:tcBorders>
              <w:top w:val="single" w:sz="4" w:space="0" w:color="auto"/>
              <w:left w:val="nil"/>
              <w:bottom w:val="single" w:sz="4" w:space="0" w:color="auto"/>
              <w:right w:val="single" w:sz="4" w:space="0" w:color="auto"/>
            </w:tcBorders>
            <w:vAlign w:val="center"/>
            <w:hideMark/>
          </w:tcPr>
          <w:p w14:paraId="4AF488AD" w14:textId="77777777" w:rsidR="00416D67" w:rsidRPr="00416D67" w:rsidRDefault="00416D67" w:rsidP="00416D67">
            <w:pPr>
              <w:jc w:val="center"/>
              <w:rPr>
                <w:color w:val="000000"/>
                <w:sz w:val="16"/>
                <w:szCs w:val="16"/>
              </w:rPr>
            </w:pPr>
            <w:r w:rsidRPr="00416D67">
              <w:rPr>
                <w:color w:val="000000"/>
                <w:sz w:val="16"/>
                <w:szCs w:val="16"/>
              </w:rPr>
              <w:t>indeks 25/24</w:t>
            </w:r>
          </w:p>
        </w:tc>
        <w:tc>
          <w:tcPr>
            <w:tcW w:w="780" w:type="dxa"/>
            <w:tcBorders>
              <w:top w:val="single" w:sz="4" w:space="0" w:color="auto"/>
              <w:left w:val="nil"/>
              <w:bottom w:val="single" w:sz="4" w:space="0" w:color="auto"/>
              <w:right w:val="single" w:sz="4" w:space="0" w:color="auto"/>
            </w:tcBorders>
            <w:vAlign w:val="center"/>
            <w:hideMark/>
          </w:tcPr>
          <w:p w14:paraId="222C37D4" w14:textId="77777777" w:rsidR="00416D67" w:rsidRPr="00416D67" w:rsidRDefault="00416D67" w:rsidP="00416D67">
            <w:pPr>
              <w:jc w:val="center"/>
              <w:rPr>
                <w:color w:val="000000"/>
                <w:sz w:val="16"/>
                <w:szCs w:val="16"/>
              </w:rPr>
            </w:pPr>
            <w:r w:rsidRPr="00416D67">
              <w:rPr>
                <w:color w:val="000000"/>
                <w:sz w:val="16"/>
                <w:szCs w:val="16"/>
              </w:rPr>
              <w:t xml:space="preserve">Indeks </w:t>
            </w:r>
            <w:proofErr w:type="spellStart"/>
            <w:r w:rsidRPr="00416D67">
              <w:rPr>
                <w:color w:val="000000"/>
                <w:sz w:val="16"/>
                <w:szCs w:val="16"/>
              </w:rPr>
              <w:t>ostv</w:t>
            </w:r>
            <w:proofErr w:type="spellEnd"/>
            <w:r w:rsidRPr="00416D67">
              <w:rPr>
                <w:color w:val="000000"/>
                <w:sz w:val="16"/>
                <w:szCs w:val="16"/>
              </w:rPr>
              <w:t>/ plan</w:t>
            </w:r>
          </w:p>
        </w:tc>
      </w:tr>
      <w:tr w:rsidR="00416D67" w:rsidRPr="00416D67" w14:paraId="5AAE2472" w14:textId="77777777" w:rsidTr="00BB1392">
        <w:trPr>
          <w:trHeight w:val="420"/>
        </w:trPr>
        <w:tc>
          <w:tcPr>
            <w:tcW w:w="3440" w:type="dxa"/>
            <w:tcBorders>
              <w:top w:val="nil"/>
              <w:left w:val="single" w:sz="4" w:space="0" w:color="auto"/>
              <w:bottom w:val="single" w:sz="4" w:space="0" w:color="auto"/>
              <w:right w:val="single" w:sz="4" w:space="0" w:color="auto"/>
            </w:tcBorders>
            <w:shd w:val="clear" w:color="000000" w:fill="EBF1DE"/>
            <w:vAlign w:val="center"/>
            <w:hideMark/>
          </w:tcPr>
          <w:p w14:paraId="1BDB9BBA" w14:textId="77777777" w:rsidR="00416D67" w:rsidRPr="00416D67" w:rsidRDefault="00416D67" w:rsidP="00416D67">
            <w:pPr>
              <w:rPr>
                <w:b/>
                <w:bCs/>
                <w:color w:val="000000"/>
                <w:sz w:val="16"/>
                <w:szCs w:val="16"/>
              </w:rPr>
            </w:pPr>
            <w:r w:rsidRPr="00416D67">
              <w:rPr>
                <w:b/>
                <w:bCs/>
                <w:color w:val="000000"/>
                <w:sz w:val="16"/>
                <w:szCs w:val="16"/>
              </w:rPr>
              <w:t>Program javnih potreba u djelatnosti predškolskog odgoja</w:t>
            </w:r>
          </w:p>
        </w:tc>
        <w:tc>
          <w:tcPr>
            <w:tcW w:w="1120" w:type="dxa"/>
            <w:tcBorders>
              <w:top w:val="nil"/>
              <w:left w:val="nil"/>
              <w:bottom w:val="single" w:sz="4" w:space="0" w:color="auto"/>
              <w:right w:val="single" w:sz="4" w:space="0" w:color="auto"/>
            </w:tcBorders>
            <w:shd w:val="clear" w:color="000000" w:fill="EBF1DE"/>
            <w:noWrap/>
            <w:vAlign w:val="center"/>
            <w:hideMark/>
          </w:tcPr>
          <w:p w14:paraId="52F1DDC6" w14:textId="77777777" w:rsidR="00416D67" w:rsidRPr="00416D67" w:rsidRDefault="00416D67" w:rsidP="00416D67">
            <w:pPr>
              <w:jc w:val="right"/>
              <w:rPr>
                <w:b/>
                <w:bCs/>
                <w:color w:val="000000"/>
                <w:sz w:val="16"/>
                <w:szCs w:val="16"/>
              </w:rPr>
            </w:pPr>
            <w:r w:rsidRPr="00416D67">
              <w:rPr>
                <w:b/>
                <w:bCs/>
                <w:color w:val="000000"/>
                <w:sz w:val="16"/>
                <w:szCs w:val="16"/>
              </w:rPr>
              <w:t>227.848,51</w:t>
            </w:r>
          </w:p>
        </w:tc>
        <w:tc>
          <w:tcPr>
            <w:tcW w:w="1220" w:type="dxa"/>
            <w:tcBorders>
              <w:top w:val="nil"/>
              <w:left w:val="nil"/>
              <w:bottom w:val="single" w:sz="4" w:space="0" w:color="auto"/>
              <w:right w:val="single" w:sz="4" w:space="0" w:color="auto"/>
            </w:tcBorders>
            <w:shd w:val="clear" w:color="000000" w:fill="EBF1DE"/>
            <w:noWrap/>
            <w:vAlign w:val="center"/>
            <w:hideMark/>
          </w:tcPr>
          <w:p w14:paraId="23D5DF68" w14:textId="77777777" w:rsidR="00416D67" w:rsidRPr="00416D67" w:rsidRDefault="00416D67" w:rsidP="00416D67">
            <w:pPr>
              <w:jc w:val="right"/>
              <w:rPr>
                <w:b/>
                <w:bCs/>
                <w:color w:val="000000"/>
                <w:sz w:val="16"/>
                <w:szCs w:val="16"/>
              </w:rPr>
            </w:pPr>
            <w:r w:rsidRPr="00416D67">
              <w:rPr>
                <w:b/>
                <w:bCs/>
                <w:color w:val="000000"/>
                <w:sz w:val="16"/>
                <w:szCs w:val="16"/>
              </w:rPr>
              <w:t>261.400,00</w:t>
            </w:r>
          </w:p>
        </w:tc>
        <w:tc>
          <w:tcPr>
            <w:tcW w:w="1260" w:type="dxa"/>
            <w:tcBorders>
              <w:top w:val="nil"/>
              <w:left w:val="nil"/>
              <w:bottom w:val="single" w:sz="4" w:space="0" w:color="auto"/>
              <w:right w:val="single" w:sz="4" w:space="0" w:color="auto"/>
            </w:tcBorders>
            <w:shd w:val="clear" w:color="000000" w:fill="EBF1DE"/>
            <w:noWrap/>
            <w:vAlign w:val="center"/>
            <w:hideMark/>
          </w:tcPr>
          <w:p w14:paraId="5EE85087" w14:textId="77777777" w:rsidR="00416D67" w:rsidRPr="00416D67" w:rsidRDefault="00416D67" w:rsidP="00416D67">
            <w:pPr>
              <w:jc w:val="right"/>
              <w:rPr>
                <w:b/>
                <w:bCs/>
                <w:color w:val="000000"/>
                <w:sz w:val="16"/>
                <w:szCs w:val="16"/>
              </w:rPr>
            </w:pPr>
            <w:r w:rsidRPr="00416D67">
              <w:rPr>
                <w:b/>
                <w:bCs/>
                <w:color w:val="000000"/>
                <w:sz w:val="16"/>
                <w:szCs w:val="16"/>
              </w:rPr>
              <w:t>258.464,26</w:t>
            </w:r>
          </w:p>
        </w:tc>
        <w:tc>
          <w:tcPr>
            <w:tcW w:w="940" w:type="dxa"/>
            <w:tcBorders>
              <w:top w:val="nil"/>
              <w:left w:val="nil"/>
              <w:bottom w:val="single" w:sz="4" w:space="0" w:color="auto"/>
              <w:right w:val="single" w:sz="4" w:space="0" w:color="auto"/>
            </w:tcBorders>
            <w:shd w:val="clear" w:color="000000" w:fill="EBF1DE"/>
            <w:noWrap/>
            <w:vAlign w:val="center"/>
            <w:hideMark/>
          </w:tcPr>
          <w:p w14:paraId="11662A48" w14:textId="77777777" w:rsidR="00416D67" w:rsidRPr="00416D67" w:rsidRDefault="00416D67" w:rsidP="00416D67">
            <w:pPr>
              <w:jc w:val="right"/>
              <w:rPr>
                <w:b/>
                <w:bCs/>
                <w:color w:val="000000"/>
                <w:sz w:val="16"/>
                <w:szCs w:val="16"/>
              </w:rPr>
            </w:pPr>
            <w:r w:rsidRPr="00416D67">
              <w:rPr>
                <w:b/>
                <w:bCs/>
                <w:color w:val="000000"/>
                <w:sz w:val="16"/>
                <w:szCs w:val="16"/>
              </w:rPr>
              <w:t>113,44%</w:t>
            </w:r>
          </w:p>
        </w:tc>
        <w:tc>
          <w:tcPr>
            <w:tcW w:w="780" w:type="dxa"/>
            <w:tcBorders>
              <w:top w:val="nil"/>
              <w:left w:val="nil"/>
              <w:bottom w:val="single" w:sz="4" w:space="0" w:color="auto"/>
              <w:right w:val="single" w:sz="4" w:space="0" w:color="auto"/>
            </w:tcBorders>
            <w:shd w:val="clear" w:color="000000" w:fill="EBF1DE"/>
            <w:noWrap/>
            <w:vAlign w:val="center"/>
            <w:hideMark/>
          </w:tcPr>
          <w:p w14:paraId="1770BA77" w14:textId="77777777" w:rsidR="00416D67" w:rsidRPr="00416D67" w:rsidRDefault="00416D67" w:rsidP="00416D67">
            <w:pPr>
              <w:jc w:val="right"/>
              <w:rPr>
                <w:b/>
                <w:bCs/>
                <w:color w:val="000000"/>
                <w:sz w:val="16"/>
                <w:szCs w:val="16"/>
              </w:rPr>
            </w:pPr>
            <w:r w:rsidRPr="00416D67">
              <w:rPr>
                <w:b/>
                <w:bCs/>
                <w:color w:val="000000"/>
                <w:sz w:val="16"/>
                <w:szCs w:val="16"/>
              </w:rPr>
              <w:t>98,88%</w:t>
            </w:r>
          </w:p>
        </w:tc>
      </w:tr>
      <w:tr w:rsidR="00416D67" w:rsidRPr="00416D67" w14:paraId="79EC0941" w14:textId="77777777" w:rsidTr="00BB1392">
        <w:trPr>
          <w:trHeight w:val="300"/>
        </w:trPr>
        <w:tc>
          <w:tcPr>
            <w:tcW w:w="3440" w:type="dxa"/>
            <w:tcBorders>
              <w:top w:val="nil"/>
              <w:left w:val="single" w:sz="4" w:space="0" w:color="auto"/>
              <w:bottom w:val="single" w:sz="4" w:space="0" w:color="auto"/>
              <w:right w:val="single" w:sz="4" w:space="0" w:color="auto"/>
            </w:tcBorders>
            <w:vAlign w:val="center"/>
            <w:hideMark/>
          </w:tcPr>
          <w:p w14:paraId="65B9129D" w14:textId="77777777" w:rsidR="00416D67" w:rsidRPr="00416D67" w:rsidRDefault="00416D67" w:rsidP="00416D67">
            <w:pPr>
              <w:rPr>
                <w:color w:val="000000"/>
                <w:sz w:val="16"/>
                <w:szCs w:val="16"/>
              </w:rPr>
            </w:pPr>
            <w:r w:rsidRPr="00416D67">
              <w:rPr>
                <w:color w:val="000000"/>
                <w:sz w:val="16"/>
                <w:szCs w:val="16"/>
              </w:rPr>
              <w:t>Sufinanciranje dječjih  vrtića - osnivači JLS</w:t>
            </w:r>
          </w:p>
        </w:tc>
        <w:tc>
          <w:tcPr>
            <w:tcW w:w="1120" w:type="dxa"/>
            <w:tcBorders>
              <w:top w:val="nil"/>
              <w:left w:val="nil"/>
              <w:bottom w:val="single" w:sz="4" w:space="0" w:color="auto"/>
              <w:right w:val="single" w:sz="4" w:space="0" w:color="auto"/>
            </w:tcBorders>
            <w:noWrap/>
            <w:vAlign w:val="center"/>
            <w:hideMark/>
          </w:tcPr>
          <w:p w14:paraId="080BEBC7" w14:textId="77777777" w:rsidR="00416D67" w:rsidRPr="00416D67" w:rsidRDefault="00416D67" w:rsidP="00416D67">
            <w:pPr>
              <w:jc w:val="right"/>
              <w:rPr>
                <w:color w:val="000000"/>
                <w:sz w:val="16"/>
                <w:szCs w:val="16"/>
              </w:rPr>
            </w:pPr>
            <w:r w:rsidRPr="00416D67">
              <w:rPr>
                <w:color w:val="000000"/>
                <w:sz w:val="16"/>
                <w:szCs w:val="16"/>
              </w:rPr>
              <w:t>16.032,58</w:t>
            </w:r>
          </w:p>
        </w:tc>
        <w:tc>
          <w:tcPr>
            <w:tcW w:w="1220" w:type="dxa"/>
            <w:tcBorders>
              <w:top w:val="nil"/>
              <w:left w:val="nil"/>
              <w:bottom w:val="single" w:sz="4" w:space="0" w:color="auto"/>
              <w:right w:val="single" w:sz="4" w:space="0" w:color="auto"/>
            </w:tcBorders>
            <w:noWrap/>
            <w:vAlign w:val="center"/>
            <w:hideMark/>
          </w:tcPr>
          <w:p w14:paraId="4C60E37F" w14:textId="77777777" w:rsidR="00416D67" w:rsidRPr="00416D67" w:rsidRDefault="00416D67" w:rsidP="00416D67">
            <w:pPr>
              <w:jc w:val="right"/>
              <w:rPr>
                <w:color w:val="000000"/>
                <w:sz w:val="16"/>
                <w:szCs w:val="16"/>
              </w:rPr>
            </w:pPr>
            <w:r w:rsidRPr="00416D67">
              <w:rPr>
                <w:color w:val="000000"/>
                <w:sz w:val="16"/>
                <w:szCs w:val="16"/>
              </w:rPr>
              <w:t>20.000,00</w:t>
            </w:r>
          </w:p>
        </w:tc>
        <w:tc>
          <w:tcPr>
            <w:tcW w:w="1260" w:type="dxa"/>
            <w:tcBorders>
              <w:top w:val="nil"/>
              <w:left w:val="nil"/>
              <w:bottom w:val="single" w:sz="4" w:space="0" w:color="auto"/>
              <w:right w:val="single" w:sz="4" w:space="0" w:color="auto"/>
            </w:tcBorders>
            <w:noWrap/>
            <w:vAlign w:val="center"/>
            <w:hideMark/>
          </w:tcPr>
          <w:p w14:paraId="3C044D70" w14:textId="77777777" w:rsidR="00416D67" w:rsidRPr="00416D67" w:rsidRDefault="00416D67" w:rsidP="00416D67">
            <w:pPr>
              <w:jc w:val="right"/>
              <w:rPr>
                <w:color w:val="000000"/>
                <w:sz w:val="16"/>
                <w:szCs w:val="16"/>
              </w:rPr>
            </w:pPr>
            <w:r w:rsidRPr="00416D67">
              <w:rPr>
                <w:color w:val="000000"/>
                <w:sz w:val="16"/>
                <w:szCs w:val="16"/>
              </w:rPr>
              <w:t>17.462,12</w:t>
            </w:r>
          </w:p>
        </w:tc>
        <w:tc>
          <w:tcPr>
            <w:tcW w:w="940" w:type="dxa"/>
            <w:tcBorders>
              <w:top w:val="nil"/>
              <w:left w:val="nil"/>
              <w:bottom w:val="single" w:sz="4" w:space="0" w:color="auto"/>
              <w:right w:val="single" w:sz="4" w:space="0" w:color="auto"/>
            </w:tcBorders>
            <w:noWrap/>
            <w:vAlign w:val="center"/>
            <w:hideMark/>
          </w:tcPr>
          <w:p w14:paraId="0C1B9469" w14:textId="77777777" w:rsidR="00416D67" w:rsidRPr="00416D67" w:rsidRDefault="00416D67" w:rsidP="00416D67">
            <w:pPr>
              <w:jc w:val="right"/>
              <w:rPr>
                <w:color w:val="000000"/>
                <w:sz w:val="16"/>
                <w:szCs w:val="16"/>
              </w:rPr>
            </w:pPr>
            <w:r w:rsidRPr="00416D67">
              <w:rPr>
                <w:color w:val="000000"/>
                <w:sz w:val="16"/>
                <w:szCs w:val="16"/>
              </w:rPr>
              <w:t>108,92%</w:t>
            </w:r>
          </w:p>
        </w:tc>
        <w:tc>
          <w:tcPr>
            <w:tcW w:w="780" w:type="dxa"/>
            <w:tcBorders>
              <w:top w:val="nil"/>
              <w:left w:val="nil"/>
              <w:bottom w:val="single" w:sz="4" w:space="0" w:color="auto"/>
              <w:right w:val="single" w:sz="4" w:space="0" w:color="auto"/>
            </w:tcBorders>
            <w:noWrap/>
            <w:vAlign w:val="center"/>
            <w:hideMark/>
          </w:tcPr>
          <w:p w14:paraId="19194801" w14:textId="77777777" w:rsidR="00416D67" w:rsidRPr="00416D67" w:rsidRDefault="00416D67" w:rsidP="00416D67">
            <w:pPr>
              <w:jc w:val="right"/>
              <w:rPr>
                <w:color w:val="000000"/>
                <w:sz w:val="16"/>
                <w:szCs w:val="16"/>
              </w:rPr>
            </w:pPr>
            <w:r w:rsidRPr="00416D67">
              <w:rPr>
                <w:color w:val="000000"/>
                <w:sz w:val="16"/>
                <w:szCs w:val="16"/>
              </w:rPr>
              <w:t>87,31%</w:t>
            </w:r>
          </w:p>
        </w:tc>
      </w:tr>
      <w:tr w:rsidR="00416D67" w:rsidRPr="00416D67" w14:paraId="5F778693" w14:textId="77777777" w:rsidTr="00BB1392">
        <w:trPr>
          <w:trHeight w:val="420"/>
        </w:trPr>
        <w:tc>
          <w:tcPr>
            <w:tcW w:w="3440" w:type="dxa"/>
            <w:tcBorders>
              <w:top w:val="nil"/>
              <w:left w:val="single" w:sz="4" w:space="0" w:color="auto"/>
              <w:bottom w:val="single" w:sz="4" w:space="0" w:color="auto"/>
              <w:right w:val="single" w:sz="4" w:space="0" w:color="auto"/>
            </w:tcBorders>
            <w:vAlign w:val="center"/>
            <w:hideMark/>
          </w:tcPr>
          <w:p w14:paraId="6F2BF9F9" w14:textId="77777777" w:rsidR="00416D67" w:rsidRPr="00416D67" w:rsidRDefault="00416D67" w:rsidP="00416D67">
            <w:pPr>
              <w:rPr>
                <w:color w:val="000000"/>
                <w:sz w:val="16"/>
                <w:szCs w:val="16"/>
              </w:rPr>
            </w:pPr>
            <w:r w:rsidRPr="00416D67">
              <w:rPr>
                <w:color w:val="000000"/>
                <w:sz w:val="16"/>
                <w:szCs w:val="16"/>
              </w:rPr>
              <w:t>Sufinanciranje dječjih vrtića - privatni osnivači</w:t>
            </w:r>
          </w:p>
        </w:tc>
        <w:tc>
          <w:tcPr>
            <w:tcW w:w="1120" w:type="dxa"/>
            <w:tcBorders>
              <w:top w:val="nil"/>
              <w:left w:val="nil"/>
              <w:bottom w:val="single" w:sz="4" w:space="0" w:color="auto"/>
              <w:right w:val="single" w:sz="4" w:space="0" w:color="auto"/>
            </w:tcBorders>
            <w:noWrap/>
            <w:vAlign w:val="center"/>
            <w:hideMark/>
          </w:tcPr>
          <w:p w14:paraId="0521ACF0" w14:textId="77777777" w:rsidR="00416D67" w:rsidRPr="00416D67" w:rsidRDefault="00416D67" w:rsidP="00416D67">
            <w:pPr>
              <w:jc w:val="right"/>
              <w:rPr>
                <w:color w:val="000000"/>
                <w:sz w:val="16"/>
                <w:szCs w:val="16"/>
              </w:rPr>
            </w:pPr>
            <w:r w:rsidRPr="00416D67">
              <w:rPr>
                <w:color w:val="000000"/>
                <w:sz w:val="16"/>
                <w:szCs w:val="16"/>
              </w:rPr>
              <w:t>210.738,49</w:t>
            </w:r>
          </w:p>
        </w:tc>
        <w:tc>
          <w:tcPr>
            <w:tcW w:w="1220" w:type="dxa"/>
            <w:tcBorders>
              <w:top w:val="nil"/>
              <w:left w:val="nil"/>
              <w:bottom w:val="single" w:sz="4" w:space="0" w:color="auto"/>
              <w:right w:val="single" w:sz="4" w:space="0" w:color="auto"/>
            </w:tcBorders>
            <w:noWrap/>
            <w:vAlign w:val="center"/>
            <w:hideMark/>
          </w:tcPr>
          <w:p w14:paraId="77F420D1" w14:textId="77777777" w:rsidR="00416D67" w:rsidRPr="00416D67" w:rsidRDefault="00416D67" w:rsidP="00416D67">
            <w:pPr>
              <w:jc w:val="right"/>
              <w:rPr>
                <w:color w:val="000000"/>
                <w:sz w:val="16"/>
                <w:szCs w:val="16"/>
              </w:rPr>
            </w:pPr>
            <w:r w:rsidRPr="00416D67">
              <w:rPr>
                <w:color w:val="000000"/>
                <w:sz w:val="16"/>
                <w:szCs w:val="16"/>
              </w:rPr>
              <w:t>241.000,00</w:t>
            </w:r>
          </w:p>
        </w:tc>
        <w:tc>
          <w:tcPr>
            <w:tcW w:w="1260" w:type="dxa"/>
            <w:tcBorders>
              <w:top w:val="nil"/>
              <w:left w:val="nil"/>
              <w:bottom w:val="single" w:sz="4" w:space="0" w:color="auto"/>
              <w:right w:val="single" w:sz="4" w:space="0" w:color="auto"/>
            </w:tcBorders>
            <w:noWrap/>
            <w:vAlign w:val="center"/>
            <w:hideMark/>
          </w:tcPr>
          <w:p w14:paraId="6B9BE384" w14:textId="77777777" w:rsidR="00416D67" w:rsidRPr="00416D67" w:rsidRDefault="00416D67" w:rsidP="00416D67">
            <w:pPr>
              <w:jc w:val="right"/>
              <w:rPr>
                <w:color w:val="000000"/>
                <w:sz w:val="16"/>
                <w:szCs w:val="16"/>
              </w:rPr>
            </w:pPr>
            <w:r w:rsidRPr="00416D67">
              <w:rPr>
                <w:color w:val="000000"/>
                <w:sz w:val="16"/>
                <w:szCs w:val="16"/>
              </w:rPr>
              <w:t>240.894,14</w:t>
            </w:r>
          </w:p>
        </w:tc>
        <w:tc>
          <w:tcPr>
            <w:tcW w:w="940" w:type="dxa"/>
            <w:tcBorders>
              <w:top w:val="nil"/>
              <w:left w:val="nil"/>
              <w:bottom w:val="single" w:sz="4" w:space="0" w:color="auto"/>
              <w:right w:val="single" w:sz="4" w:space="0" w:color="auto"/>
            </w:tcBorders>
            <w:noWrap/>
            <w:vAlign w:val="center"/>
            <w:hideMark/>
          </w:tcPr>
          <w:p w14:paraId="567426E1" w14:textId="77777777" w:rsidR="00416D67" w:rsidRPr="00416D67" w:rsidRDefault="00416D67" w:rsidP="00416D67">
            <w:pPr>
              <w:jc w:val="right"/>
              <w:rPr>
                <w:color w:val="000000"/>
                <w:sz w:val="16"/>
                <w:szCs w:val="16"/>
              </w:rPr>
            </w:pPr>
            <w:r w:rsidRPr="00416D67">
              <w:rPr>
                <w:color w:val="000000"/>
                <w:sz w:val="16"/>
                <w:szCs w:val="16"/>
              </w:rPr>
              <w:t>114,31%</w:t>
            </w:r>
          </w:p>
        </w:tc>
        <w:tc>
          <w:tcPr>
            <w:tcW w:w="780" w:type="dxa"/>
            <w:tcBorders>
              <w:top w:val="nil"/>
              <w:left w:val="nil"/>
              <w:bottom w:val="single" w:sz="4" w:space="0" w:color="auto"/>
              <w:right w:val="single" w:sz="4" w:space="0" w:color="auto"/>
            </w:tcBorders>
            <w:noWrap/>
            <w:vAlign w:val="center"/>
            <w:hideMark/>
          </w:tcPr>
          <w:p w14:paraId="41045D2E" w14:textId="77777777" w:rsidR="00416D67" w:rsidRPr="00416D67" w:rsidRDefault="00416D67" w:rsidP="00416D67">
            <w:pPr>
              <w:jc w:val="right"/>
              <w:rPr>
                <w:color w:val="000000"/>
                <w:sz w:val="16"/>
                <w:szCs w:val="16"/>
              </w:rPr>
            </w:pPr>
            <w:r w:rsidRPr="00416D67">
              <w:rPr>
                <w:color w:val="000000"/>
                <w:sz w:val="16"/>
                <w:szCs w:val="16"/>
              </w:rPr>
              <w:t>99,96%</w:t>
            </w:r>
          </w:p>
        </w:tc>
      </w:tr>
      <w:tr w:rsidR="00416D67" w:rsidRPr="00416D67" w14:paraId="1D4706F9" w14:textId="77777777" w:rsidTr="00BB1392">
        <w:trPr>
          <w:trHeight w:val="420"/>
        </w:trPr>
        <w:tc>
          <w:tcPr>
            <w:tcW w:w="3440" w:type="dxa"/>
            <w:tcBorders>
              <w:top w:val="nil"/>
              <w:left w:val="single" w:sz="4" w:space="0" w:color="auto"/>
              <w:bottom w:val="single" w:sz="4" w:space="0" w:color="auto"/>
              <w:right w:val="single" w:sz="4" w:space="0" w:color="auto"/>
            </w:tcBorders>
            <w:vAlign w:val="center"/>
            <w:hideMark/>
          </w:tcPr>
          <w:p w14:paraId="07729F94" w14:textId="77777777" w:rsidR="00416D67" w:rsidRPr="00416D67" w:rsidRDefault="00416D67" w:rsidP="00416D67">
            <w:pPr>
              <w:rPr>
                <w:color w:val="000000"/>
                <w:sz w:val="16"/>
                <w:szCs w:val="16"/>
              </w:rPr>
            </w:pPr>
            <w:r w:rsidRPr="00416D67">
              <w:rPr>
                <w:color w:val="000000"/>
                <w:sz w:val="16"/>
                <w:szCs w:val="16"/>
              </w:rPr>
              <w:t xml:space="preserve">Sufinanciranje programa </w:t>
            </w:r>
            <w:proofErr w:type="spellStart"/>
            <w:r w:rsidRPr="00416D67">
              <w:rPr>
                <w:color w:val="000000"/>
                <w:sz w:val="16"/>
                <w:szCs w:val="16"/>
              </w:rPr>
              <w:t>predškole</w:t>
            </w:r>
            <w:proofErr w:type="spellEnd"/>
          </w:p>
        </w:tc>
        <w:tc>
          <w:tcPr>
            <w:tcW w:w="1120" w:type="dxa"/>
            <w:tcBorders>
              <w:top w:val="nil"/>
              <w:left w:val="nil"/>
              <w:bottom w:val="single" w:sz="4" w:space="0" w:color="auto"/>
              <w:right w:val="single" w:sz="4" w:space="0" w:color="auto"/>
            </w:tcBorders>
            <w:noWrap/>
            <w:vAlign w:val="center"/>
            <w:hideMark/>
          </w:tcPr>
          <w:p w14:paraId="5360B300" w14:textId="77777777" w:rsidR="00416D67" w:rsidRPr="00416D67" w:rsidRDefault="00416D67" w:rsidP="00416D67">
            <w:pPr>
              <w:jc w:val="right"/>
              <w:rPr>
                <w:color w:val="000000"/>
                <w:sz w:val="16"/>
                <w:szCs w:val="16"/>
              </w:rPr>
            </w:pPr>
            <w:r w:rsidRPr="00416D67">
              <w:rPr>
                <w:color w:val="000000"/>
                <w:sz w:val="16"/>
                <w:szCs w:val="16"/>
              </w:rPr>
              <w:t>75</w:t>
            </w:r>
          </w:p>
        </w:tc>
        <w:tc>
          <w:tcPr>
            <w:tcW w:w="1220" w:type="dxa"/>
            <w:tcBorders>
              <w:top w:val="nil"/>
              <w:left w:val="nil"/>
              <w:bottom w:val="single" w:sz="4" w:space="0" w:color="auto"/>
              <w:right w:val="single" w:sz="4" w:space="0" w:color="auto"/>
            </w:tcBorders>
            <w:noWrap/>
            <w:vAlign w:val="center"/>
            <w:hideMark/>
          </w:tcPr>
          <w:p w14:paraId="3FBFF6B8" w14:textId="77777777" w:rsidR="00416D67" w:rsidRPr="00416D67" w:rsidRDefault="00416D67" w:rsidP="00416D67">
            <w:pPr>
              <w:jc w:val="right"/>
              <w:rPr>
                <w:color w:val="000000"/>
                <w:sz w:val="16"/>
                <w:szCs w:val="16"/>
              </w:rPr>
            </w:pPr>
            <w:r w:rsidRPr="00416D67">
              <w:rPr>
                <w:color w:val="000000"/>
                <w:sz w:val="16"/>
                <w:szCs w:val="16"/>
              </w:rPr>
              <w:t>400,00</w:t>
            </w:r>
          </w:p>
        </w:tc>
        <w:tc>
          <w:tcPr>
            <w:tcW w:w="1260" w:type="dxa"/>
            <w:tcBorders>
              <w:top w:val="nil"/>
              <w:left w:val="nil"/>
              <w:bottom w:val="single" w:sz="4" w:space="0" w:color="auto"/>
              <w:right w:val="single" w:sz="4" w:space="0" w:color="auto"/>
            </w:tcBorders>
            <w:noWrap/>
            <w:vAlign w:val="center"/>
            <w:hideMark/>
          </w:tcPr>
          <w:p w14:paraId="4268C404" w14:textId="77777777" w:rsidR="00416D67" w:rsidRPr="00416D67" w:rsidRDefault="00416D67" w:rsidP="00416D67">
            <w:pPr>
              <w:jc w:val="right"/>
              <w:rPr>
                <w:color w:val="000000"/>
                <w:sz w:val="16"/>
                <w:szCs w:val="16"/>
              </w:rPr>
            </w:pPr>
            <w:r w:rsidRPr="00416D67">
              <w:rPr>
                <w:color w:val="000000"/>
                <w:sz w:val="16"/>
                <w:szCs w:val="16"/>
              </w:rPr>
              <w:t>108,00</w:t>
            </w:r>
          </w:p>
        </w:tc>
        <w:tc>
          <w:tcPr>
            <w:tcW w:w="940" w:type="dxa"/>
            <w:tcBorders>
              <w:top w:val="nil"/>
              <w:left w:val="nil"/>
              <w:bottom w:val="single" w:sz="4" w:space="0" w:color="auto"/>
              <w:right w:val="single" w:sz="4" w:space="0" w:color="auto"/>
            </w:tcBorders>
            <w:noWrap/>
            <w:vAlign w:val="center"/>
            <w:hideMark/>
          </w:tcPr>
          <w:p w14:paraId="483498C2" w14:textId="77777777" w:rsidR="00416D67" w:rsidRPr="00416D67" w:rsidRDefault="00416D67" w:rsidP="00416D67">
            <w:pPr>
              <w:jc w:val="right"/>
              <w:rPr>
                <w:color w:val="000000"/>
                <w:sz w:val="16"/>
                <w:szCs w:val="16"/>
              </w:rPr>
            </w:pPr>
            <w:r w:rsidRPr="00416D67">
              <w:rPr>
                <w:color w:val="000000"/>
                <w:sz w:val="16"/>
                <w:szCs w:val="16"/>
              </w:rPr>
              <w:t>144,00%</w:t>
            </w:r>
          </w:p>
        </w:tc>
        <w:tc>
          <w:tcPr>
            <w:tcW w:w="780" w:type="dxa"/>
            <w:tcBorders>
              <w:top w:val="nil"/>
              <w:left w:val="nil"/>
              <w:bottom w:val="single" w:sz="4" w:space="0" w:color="auto"/>
              <w:right w:val="single" w:sz="4" w:space="0" w:color="auto"/>
            </w:tcBorders>
            <w:noWrap/>
            <w:vAlign w:val="center"/>
            <w:hideMark/>
          </w:tcPr>
          <w:p w14:paraId="24D51302" w14:textId="77777777" w:rsidR="00416D67" w:rsidRPr="00416D67" w:rsidRDefault="00416D67" w:rsidP="00416D67">
            <w:pPr>
              <w:jc w:val="right"/>
              <w:rPr>
                <w:color w:val="000000"/>
                <w:sz w:val="16"/>
                <w:szCs w:val="16"/>
              </w:rPr>
            </w:pPr>
            <w:r w:rsidRPr="00416D67">
              <w:rPr>
                <w:color w:val="000000"/>
                <w:sz w:val="16"/>
                <w:szCs w:val="16"/>
              </w:rPr>
              <w:t>27,00%</w:t>
            </w:r>
          </w:p>
        </w:tc>
      </w:tr>
      <w:tr w:rsidR="00416D67" w:rsidRPr="00416D67" w14:paraId="62109811" w14:textId="77777777" w:rsidTr="00BB1392">
        <w:trPr>
          <w:trHeight w:val="555"/>
        </w:trPr>
        <w:tc>
          <w:tcPr>
            <w:tcW w:w="3440" w:type="dxa"/>
            <w:tcBorders>
              <w:top w:val="nil"/>
              <w:left w:val="single" w:sz="4" w:space="0" w:color="auto"/>
              <w:bottom w:val="single" w:sz="4" w:space="0" w:color="auto"/>
              <w:right w:val="single" w:sz="4" w:space="0" w:color="auto"/>
            </w:tcBorders>
            <w:vAlign w:val="center"/>
            <w:hideMark/>
          </w:tcPr>
          <w:p w14:paraId="48E350BA" w14:textId="77777777" w:rsidR="00416D67" w:rsidRPr="00416D67" w:rsidRDefault="00416D67" w:rsidP="00416D67">
            <w:pPr>
              <w:rPr>
                <w:color w:val="000000"/>
                <w:sz w:val="16"/>
                <w:szCs w:val="16"/>
              </w:rPr>
            </w:pPr>
            <w:r w:rsidRPr="00416D67">
              <w:rPr>
                <w:color w:val="000000"/>
                <w:sz w:val="16"/>
                <w:szCs w:val="16"/>
              </w:rPr>
              <w:t xml:space="preserve">Ostale potrebe u </w:t>
            </w:r>
            <w:proofErr w:type="spellStart"/>
            <w:r w:rsidRPr="00416D67">
              <w:rPr>
                <w:color w:val="000000"/>
                <w:sz w:val="16"/>
                <w:szCs w:val="16"/>
              </w:rPr>
              <w:t>djelatnosi</w:t>
            </w:r>
            <w:proofErr w:type="spellEnd"/>
            <w:r w:rsidRPr="00416D67">
              <w:rPr>
                <w:color w:val="000000"/>
                <w:sz w:val="16"/>
                <w:szCs w:val="16"/>
              </w:rPr>
              <w:t xml:space="preserve"> predškolskog odgoja </w:t>
            </w:r>
          </w:p>
        </w:tc>
        <w:tc>
          <w:tcPr>
            <w:tcW w:w="1120" w:type="dxa"/>
            <w:tcBorders>
              <w:top w:val="nil"/>
              <w:left w:val="nil"/>
              <w:bottom w:val="single" w:sz="4" w:space="0" w:color="auto"/>
              <w:right w:val="single" w:sz="4" w:space="0" w:color="auto"/>
            </w:tcBorders>
            <w:noWrap/>
            <w:vAlign w:val="center"/>
            <w:hideMark/>
          </w:tcPr>
          <w:p w14:paraId="539CDA58" w14:textId="77777777" w:rsidR="00416D67" w:rsidRPr="00416D67" w:rsidRDefault="00416D67" w:rsidP="00416D67">
            <w:pPr>
              <w:jc w:val="right"/>
              <w:rPr>
                <w:color w:val="000000"/>
                <w:sz w:val="16"/>
                <w:szCs w:val="16"/>
              </w:rPr>
            </w:pPr>
            <w:r w:rsidRPr="00416D67">
              <w:rPr>
                <w:color w:val="000000"/>
                <w:sz w:val="16"/>
                <w:szCs w:val="16"/>
              </w:rPr>
              <w:t>1.002,44</w:t>
            </w:r>
          </w:p>
        </w:tc>
        <w:tc>
          <w:tcPr>
            <w:tcW w:w="1220" w:type="dxa"/>
            <w:tcBorders>
              <w:top w:val="nil"/>
              <w:left w:val="nil"/>
              <w:bottom w:val="single" w:sz="4" w:space="0" w:color="auto"/>
              <w:right w:val="single" w:sz="4" w:space="0" w:color="auto"/>
            </w:tcBorders>
            <w:noWrap/>
            <w:vAlign w:val="center"/>
            <w:hideMark/>
          </w:tcPr>
          <w:p w14:paraId="43713597" w14:textId="77777777" w:rsidR="00416D67" w:rsidRPr="00416D67" w:rsidRDefault="00416D67" w:rsidP="00416D67">
            <w:pPr>
              <w:jc w:val="right"/>
              <w:rPr>
                <w:color w:val="000000"/>
                <w:sz w:val="16"/>
                <w:szCs w:val="16"/>
              </w:rPr>
            </w:pPr>
            <w:r w:rsidRPr="00416D67">
              <w:rPr>
                <w:color w:val="000000"/>
                <w:sz w:val="16"/>
                <w:szCs w:val="16"/>
              </w:rPr>
              <w:t>0,00</w:t>
            </w:r>
          </w:p>
        </w:tc>
        <w:tc>
          <w:tcPr>
            <w:tcW w:w="1260" w:type="dxa"/>
            <w:tcBorders>
              <w:top w:val="nil"/>
              <w:left w:val="nil"/>
              <w:bottom w:val="single" w:sz="4" w:space="0" w:color="auto"/>
              <w:right w:val="single" w:sz="4" w:space="0" w:color="auto"/>
            </w:tcBorders>
            <w:noWrap/>
            <w:vAlign w:val="center"/>
            <w:hideMark/>
          </w:tcPr>
          <w:p w14:paraId="6921B09A" w14:textId="77777777" w:rsidR="00416D67" w:rsidRPr="00416D67" w:rsidRDefault="00416D67" w:rsidP="00416D67">
            <w:pPr>
              <w:jc w:val="right"/>
              <w:rPr>
                <w:color w:val="000000"/>
                <w:sz w:val="16"/>
                <w:szCs w:val="16"/>
              </w:rPr>
            </w:pPr>
            <w:r w:rsidRPr="00416D67">
              <w:rPr>
                <w:color w:val="000000"/>
                <w:sz w:val="16"/>
                <w:szCs w:val="16"/>
              </w:rPr>
              <w:t>0,00</w:t>
            </w:r>
          </w:p>
        </w:tc>
        <w:tc>
          <w:tcPr>
            <w:tcW w:w="940" w:type="dxa"/>
            <w:tcBorders>
              <w:top w:val="nil"/>
              <w:left w:val="nil"/>
              <w:bottom w:val="single" w:sz="4" w:space="0" w:color="auto"/>
              <w:right w:val="single" w:sz="4" w:space="0" w:color="auto"/>
            </w:tcBorders>
            <w:noWrap/>
            <w:vAlign w:val="center"/>
            <w:hideMark/>
          </w:tcPr>
          <w:p w14:paraId="4C81007A" w14:textId="77777777" w:rsidR="00416D67" w:rsidRPr="00416D67" w:rsidRDefault="00416D67" w:rsidP="00416D67">
            <w:pPr>
              <w:jc w:val="right"/>
              <w:rPr>
                <w:color w:val="000000"/>
                <w:sz w:val="16"/>
                <w:szCs w:val="16"/>
              </w:rPr>
            </w:pPr>
            <w:r w:rsidRPr="00416D67">
              <w:rPr>
                <w:color w:val="000000"/>
                <w:sz w:val="16"/>
                <w:szCs w:val="16"/>
              </w:rPr>
              <w:t>0,00%</w:t>
            </w:r>
          </w:p>
        </w:tc>
        <w:tc>
          <w:tcPr>
            <w:tcW w:w="780" w:type="dxa"/>
            <w:tcBorders>
              <w:top w:val="nil"/>
              <w:left w:val="nil"/>
              <w:bottom w:val="single" w:sz="4" w:space="0" w:color="auto"/>
              <w:right w:val="single" w:sz="4" w:space="0" w:color="auto"/>
            </w:tcBorders>
            <w:noWrap/>
            <w:vAlign w:val="center"/>
            <w:hideMark/>
          </w:tcPr>
          <w:p w14:paraId="0BFC1DD1" w14:textId="77777777" w:rsidR="00416D67" w:rsidRPr="00416D67" w:rsidRDefault="00416D67" w:rsidP="00416D67">
            <w:pPr>
              <w:jc w:val="right"/>
              <w:rPr>
                <w:color w:val="000000"/>
                <w:sz w:val="16"/>
                <w:szCs w:val="16"/>
              </w:rPr>
            </w:pPr>
            <w:r w:rsidRPr="00416D67">
              <w:rPr>
                <w:color w:val="000000"/>
                <w:sz w:val="16"/>
                <w:szCs w:val="16"/>
              </w:rPr>
              <w:t> </w:t>
            </w:r>
          </w:p>
        </w:tc>
      </w:tr>
    </w:tbl>
    <w:p w14:paraId="31A6A668" w14:textId="77777777" w:rsidR="00416D67" w:rsidRPr="00416D67" w:rsidRDefault="00416D67" w:rsidP="00416D67">
      <w:pPr>
        <w:ind w:firstLine="708"/>
        <w:jc w:val="both"/>
      </w:pPr>
    </w:p>
    <w:p w14:paraId="614AC2A4" w14:textId="77777777" w:rsidR="00416D67" w:rsidRPr="00416D67" w:rsidRDefault="00416D67" w:rsidP="00416D67">
      <w:pPr>
        <w:jc w:val="both"/>
        <w:rPr>
          <w:rFonts w:eastAsia="Calibri"/>
          <w:lang w:eastAsia="en-US"/>
        </w:rPr>
      </w:pPr>
      <w:r w:rsidRPr="00416D67">
        <w:rPr>
          <w:rFonts w:eastAsia="Calibri"/>
          <w:lang w:eastAsia="en-US"/>
        </w:rPr>
        <w:t xml:space="preserve">            </w:t>
      </w:r>
    </w:p>
    <w:p w14:paraId="0C19E5C6" w14:textId="77777777" w:rsidR="00416D67" w:rsidRPr="00416D67" w:rsidRDefault="00416D67" w:rsidP="00416D67">
      <w:pPr>
        <w:spacing w:before="29"/>
        <w:jc w:val="both"/>
      </w:pPr>
      <w:r w:rsidRPr="00416D67">
        <w:lastRenderedPageBreak/>
        <w:t xml:space="preserve">           Rashodi Aktivnosti sufinanciranja dječjih vrtića – osnivači JLS ostvareni su u iznosu od  17.462,12 EUR , dok su Aktivnosti Sufinanciranja dječjih vrtića – privatni osnivači ostvareni u iznosu od 240.894,14 EUR . Do povećanja u odnosu na ostvarenje prethodne godine došlo je jer je povećan mjesečni iznos </w:t>
      </w:r>
      <w:proofErr w:type="spellStart"/>
      <w:r w:rsidRPr="00416D67">
        <w:t>sufinaciranja</w:t>
      </w:r>
      <w:proofErr w:type="spellEnd"/>
      <w:r w:rsidRPr="00416D67">
        <w:t xml:space="preserve"> boravka djece u predškolskim </w:t>
      </w:r>
      <w:proofErr w:type="spellStart"/>
      <w:r w:rsidRPr="00416D67">
        <w:t>ustavnovama</w:t>
      </w:r>
      <w:proofErr w:type="spellEnd"/>
      <w:r w:rsidRPr="00416D67">
        <w:t>.  Ostale potrebe  u djelatnosti predškolskog odgoja u izvještajnom razdoblju nisu realizirane, a ostvarenje prethodne godine odnosi se na održani program zavičajnosti.</w:t>
      </w:r>
    </w:p>
    <w:p w14:paraId="58908863" w14:textId="77777777" w:rsidR="00416D67" w:rsidRPr="00416D67" w:rsidRDefault="00416D67" w:rsidP="00416D67">
      <w:pPr>
        <w:spacing w:before="29"/>
        <w:jc w:val="both"/>
      </w:pPr>
      <w:r w:rsidRPr="00416D67">
        <w:t xml:space="preserve">          </w:t>
      </w:r>
    </w:p>
    <w:p w14:paraId="3BCD254B" w14:textId="77777777" w:rsidR="00416D67" w:rsidRPr="00416D67" w:rsidRDefault="00416D67" w:rsidP="00416D67">
      <w:pPr>
        <w:spacing w:before="29"/>
        <w:jc w:val="both"/>
      </w:pPr>
    </w:p>
    <w:p w14:paraId="481C743B" w14:textId="77777777" w:rsidR="00416D67" w:rsidRPr="00416D67" w:rsidRDefault="00416D67" w:rsidP="00416D67">
      <w:pPr>
        <w:ind w:firstLine="708"/>
        <w:jc w:val="both"/>
        <w:rPr>
          <w:b/>
        </w:rPr>
      </w:pPr>
      <w:r w:rsidRPr="00416D67">
        <w:rPr>
          <w:b/>
        </w:rPr>
        <w:t>Program javnih potreba u školstvu</w:t>
      </w:r>
    </w:p>
    <w:p w14:paraId="06A3C7F0" w14:textId="77777777" w:rsidR="00416D67" w:rsidRPr="00416D67" w:rsidRDefault="00416D67" w:rsidP="00416D67">
      <w:pPr>
        <w:ind w:firstLine="708"/>
        <w:jc w:val="both"/>
      </w:pPr>
      <w:r w:rsidRPr="00416D67">
        <w:t xml:space="preserve">Program javnih potreba u školstvu ostvaren je u iznosu od 179.673,39 EUR </w:t>
      </w:r>
      <w:proofErr w:type="spellStart"/>
      <w:r w:rsidRPr="00416D67">
        <w:t>odnoson</w:t>
      </w:r>
      <w:proofErr w:type="spellEnd"/>
      <w:r w:rsidRPr="00416D67">
        <w:t xml:space="preserve"> 98,88% u odnosu na plan (ostvarenje 2024.godina 155.878,49 EUR). Povećanje se odnosi na povećane troškove realizacije produženog boravaka .</w:t>
      </w:r>
    </w:p>
    <w:p w14:paraId="543A071F" w14:textId="77777777" w:rsidR="00416D67" w:rsidRPr="00416D67" w:rsidRDefault="00416D67" w:rsidP="00416D67">
      <w:pPr>
        <w:ind w:firstLine="708"/>
        <w:jc w:val="both"/>
      </w:pPr>
      <w:r w:rsidRPr="00416D67">
        <w:t>Pregled ostvarenja 2025/2024. po aktivnostima:</w:t>
      </w:r>
    </w:p>
    <w:tbl>
      <w:tblPr>
        <w:tblW w:w="10320" w:type="dxa"/>
        <w:tblInd w:w="93" w:type="dxa"/>
        <w:tblLook w:val="04A0" w:firstRow="1" w:lastRow="0" w:firstColumn="1" w:lastColumn="0" w:noHBand="0" w:noVBand="1"/>
      </w:tblPr>
      <w:tblGrid>
        <w:gridCol w:w="1075"/>
        <w:gridCol w:w="2605"/>
        <w:gridCol w:w="1660"/>
        <w:gridCol w:w="1660"/>
        <w:gridCol w:w="1660"/>
        <w:gridCol w:w="1660"/>
      </w:tblGrid>
      <w:tr w:rsidR="00416D67" w:rsidRPr="00416D67" w14:paraId="1C4B09D7" w14:textId="77777777" w:rsidTr="00BB1392">
        <w:trPr>
          <w:trHeight w:val="300"/>
        </w:trPr>
        <w:tc>
          <w:tcPr>
            <w:tcW w:w="3680" w:type="dxa"/>
            <w:gridSpan w:val="2"/>
            <w:tcBorders>
              <w:top w:val="single" w:sz="4" w:space="0" w:color="auto"/>
              <w:left w:val="single" w:sz="4" w:space="0" w:color="auto"/>
              <w:bottom w:val="single" w:sz="4" w:space="0" w:color="auto"/>
              <w:right w:val="single" w:sz="4" w:space="0" w:color="auto"/>
            </w:tcBorders>
            <w:noWrap/>
            <w:vAlign w:val="center"/>
            <w:hideMark/>
          </w:tcPr>
          <w:p w14:paraId="51300E4C" w14:textId="77777777" w:rsidR="00416D67" w:rsidRPr="00416D67" w:rsidRDefault="00416D67" w:rsidP="00416D67">
            <w:pPr>
              <w:jc w:val="center"/>
              <w:rPr>
                <w:color w:val="000000"/>
                <w:sz w:val="20"/>
                <w:szCs w:val="20"/>
              </w:rPr>
            </w:pPr>
            <w:r w:rsidRPr="00416D67">
              <w:rPr>
                <w:color w:val="000000"/>
                <w:sz w:val="20"/>
                <w:szCs w:val="20"/>
              </w:rPr>
              <w:t>Brojčana oznaka / naziv aktivnosti</w:t>
            </w:r>
          </w:p>
        </w:tc>
        <w:tc>
          <w:tcPr>
            <w:tcW w:w="1660" w:type="dxa"/>
            <w:tcBorders>
              <w:top w:val="single" w:sz="4" w:space="0" w:color="auto"/>
              <w:left w:val="nil"/>
              <w:bottom w:val="single" w:sz="4" w:space="0" w:color="auto"/>
              <w:right w:val="single" w:sz="4" w:space="0" w:color="auto"/>
            </w:tcBorders>
            <w:noWrap/>
            <w:vAlign w:val="center"/>
            <w:hideMark/>
          </w:tcPr>
          <w:p w14:paraId="3BA151E0" w14:textId="77777777" w:rsidR="00416D67" w:rsidRPr="00416D67" w:rsidRDefault="00416D67" w:rsidP="00416D67">
            <w:pPr>
              <w:jc w:val="center"/>
              <w:rPr>
                <w:color w:val="000000"/>
                <w:sz w:val="20"/>
                <w:szCs w:val="20"/>
              </w:rPr>
            </w:pPr>
            <w:r w:rsidRPr="00416D67">
              <w:rPr>
                <w:color w:val="000000"/>
                <w:sz w:val="20"/>
                <w:szCs w:val="20"/>
              </w:rPr>
              <w:t>Ostvarenje 2024.</w:t>
            </w:r>
          </w:p>
        </w:tc>
        <w:tc>
          <w:tcPr>
            <w:tcW w:w="1660" w:type="dxa"/>
            <w:tcBorders>
              <w:top w:val="single" w:sz="4" w:space="0" w:color="auto"/>
              <w:left w:val="nil"/>
              <w:bottom w:val="single" w:sz="4" w:space="0" w:color="auto"/>
              <w:right w:val="single" w:sz="4" w:space="0" w:color="auto"/>
            </w:tcBorders>
            <w:noWrap/>
            <w:vAlign w:val="center"/>
            <w:hideMark/>
          </w:tcPr>
          <w:p w14:paraId="36CED72A" w14:textId="77777777" w:rsidR="00416D67" w:rsidRPr="00416D67" w:rsidRDefault="00416D67" w:rsidP="00416D67">
            <w:pPr>
              <w:jc w:val="center"/>
              <w:rPr>
                <w:color w:val="000000"/>
                <w:sz w:val="20"/>
                <w:szCs w:val="20"/>
              </w:rPr>
            </w:pPr>
            <w:r w:rsidRPr="00416D67">
              <w:rPr>
                <w:color w:val="000000"/>
                <w:sz w:val="20"/>
                <w:szCs w:val="20"/>
              </w:rPr>
              <w:t>Plan 2025.</w:t>
            </w:r>
          </w:p>
        </w:tc>
        <w:tc>
          <w:tcPr>
            <w:tcW w:w="1660" w:type="dxa"/>
            <w:tcBorders>
              <w:top w:val="single" w:sz="4" w:space="0" w:color="auto"/>
              <w:left w:val="nil"/>
              <w:bottom w:val="single" w:sz="4" w:space="0" w:color="auto"/>
              <w:right w:val="single" w:sz="4" w:space="0" w:color="auto"/>
            </w:tcBorders>
            <w:noWrap/>
            <w:vAlign w:val="center"/>
            <w:hideMark/>
          </w:tcPr>
          <w:p w14:paraId="38214977" w14:textId="77777777" w:rsidR="00416D67" w:rsidRPr="00416D67" w:rsidRDefault="00416D67" w:rsidP="00416D67">
            <w:pPr>
              <w:jc w:val="center"/>
              <w:rPr>
                <w:color w:val="000000"/>
                <w:sz w:val="20"/>
                <w:szCs w:val="20"/>
              </w:rPr>
            </w:pPr>
            <w:r w:rsidRPr="00416D67">
              <w:rPr>
                <w:color w:val="000000"/>
                <w:sz w:val="20"/>
                <w:szCs w:val="20"/>
              </w:rPr>
              <w:t>Ostvarenje 2025.</w:t>
            </w:r>
          </w:p>
        </w:tc>
        <w:tc>
          <w:tcPr>
            <w:tcW w:w="1660" w:type="dxa"/>
            <w:tcBorders>
              <w:top w:val="single" w:sz="4" w:space="0" w:color="auto"/>
              <w:left w:val="nil"/>
              <w:bottom w:val="single" w:sz="4" w:space="0" w:color="auto"/>
              <w:right w:val="single" w:sz="4" w:space="0" w:color="auto"/>
            </w:tcBorders>
            <w:noWrap/>
            <w:vAlign w:val="center"/>
            <w:hideMark/>
          </w:tcPr>
          <w:p w14:paraId="700C2096" w14:textId="77777777" w:rsidR="00416D67" w:rsidRPr="00416D67" w:rsidRDefault="00416D67" w:rsidP="00416D67">
            <w:pPr>
              <w:jc w:val="center"/>
              <w:rPr>
                <w:color w:val="000000"/>
                <w:sz w:val="20"/>
                <w:szCs w:val="20"/>
              </w:rPr>
            </w:pPr>
            <w:r w:rsidRPr="00416D67">
              <w:rPr>
                <w:color w:val="000000"/>
                <w:sz w:val="20"/>
                <w:szCs w:val="20"/>
              </w:rPr>
              <w:t>Indeks 25/24</w:t>
            </w:r>
          </w:p>
        </w:tc>
      </w:tr>
      <w:tr w:rsidR="00416D67" w:rsidRPr="00416D67" w14:paraId="7D295093" w14:textId="77777777" w:rsidTr="00BB1392">
        <w:trPr>
          <w:trHeight w:val="300"/>
        </w:trPr>
        <w:tc>
          <w:tcPr>
            <w:tcW w:w="3680" w:type="dxa"/>
            <w:gridSpan w:val="2"/>
            <w:tcBorders>
              <w:top w:val="single" w:sz="4" w:space="0" w:color="auto"/>
              <w:left w:val="single" w:sz="4" w:space="0" w:color="auto"/>
              <w:bottom w:val="single" w:sz="4" w:space="0" w:color="auto"/>
              <w:right w:val="single" w:sz="4" w:space="0" w:color="auto"/>
            </w:tcBorders>
            <w:noWrap/>
            <w:vAlign w:val="center"/>
            <w:hideMark/>
          </w:tcPr>
          <w:p w14:paraId="05C52D97" w14:textId="77777777" w:rsidR="00416D67" w:rsidRPr="00416D67" w:rsidRDefault="00416D67" w:rsidP="00416D67">
            <w:pPr>
              <w:rPr>
                <w:b/>
                <w:bCs/>
                <w:color w:val="000000"/>
                <w:sz w:val="20"/>
                <w:szCs w:val="20"/>
              </w:rPr>
            </w:pPr>
            <w:r w:rsidRPr="00416D67">
              <w:rPr>
                <w:b/>
                <w:bCs/>
                <w:color w:val="000000"/>
                <w:sz w:val="20"/>
                <w:szCs w:val="20"/>
              </w:rPr>
              <w:t>UKUPNO</w:t>
            </w:r>
          </w:p>
        </w:tc>
        <w:tc>
          <w:tcPr>
            <w:tcW w:w="1660" w:type="dxa"/>
            <w:tcBorders>
              <w:top w:val="nil"/>
              <w:left w:val="nil"/>
              <w:bottom w:val="single" w:sz="4" w:space="0" w:color="auto"/>
              <w:right w:val="single" w:sz="4" w:space="0" w:color="auto"/>
            </w:tcBorders>
            <w:noWrap/>
            <w:vAlign w:val="center"/>
            <w:hideMark/>
          </w:tcPr>
          <w:p w14:paraId="78729AF8" w14:textId="77777777" w:rsidR="00416D67" w:rsidRPr="00416D67" w:rsidRDefault="00416D67" w:rsidP="00416D67">
            <w:pPr>
              <w:jc w:val="right"/>
              <w:rPr>
                <w:b/>
                <w:bCs/>
                <w:color w:val="000000"/>
                <w:sz w:val="20"/>
                <w:szCs w:val="20"/>
              </w:rPr>
            </w:pPr>
            <w:r w:rsidRPr="00416D67">
              <w:rPr>
                <w:b/>
                <w:bCs/>
                <w:color w:val="000000"/>
                <w:sz w:val="20"/>
                <w:szCs w:val="20"/>
              </w:rPr>
              <w:t>155.878,49</w:t>
            </w:r>
          </w:p>
        </w:tc>
        <w:tc>
          <w:tcPr>
            <w:tcW w:w="1660" w:type="dxa"/>
            <w:tcBorders>
              <w:top w:val="nil"/>
              <w:left w:val="nil"/>
              <w:bottom w:val="single" w:sz="4" w:space="0" w:color="auto"/>
              <w:right w:val="single" w:sz="4" w:space="0" w:color="auto"/>
            </w:tcBorders>
            <w:noWrap/>
            <w:vAlign w:val="center"/>
            <w:hideMark/>
          </w:tcPr>
          <w:p w14:paraId="5FB0273C" w14:textId="77777777" w:rsidR="00416D67" w:rsidRPr="00416D67" w:rsidRDefault="00416D67" w:rsidP="00416D67">
            <w:pPr>
              <w:jc w:val="right"/>
              <w:rPr>
                <w:b/>
                <w:bCs/>
                <w:color w:val="000000"/>
                <w:sz w:val="20"/>
                <w:szCs w:val="20"/>
              </w:rPr>
            </w:pPr>
            <w:r w:rsidRPr="00416D67">
              <w:rPr>
                <w:b/>
                <w:bCs/>
                <w:color w:val="000000"/>
                <w:sz w:val="20"/>
                <w:szCs w:val="20"/>
              </w:rPr>
              <w:t>1.133.400,00</w:t>
            </w:r>
          </w:p>
        </w:tc>
        <w:tc>
          <w:tcPr>
            <w:tcW w:w="1660" w:type="dxa"/>
            <w:tcBorders>
              <w:top w:val="nil"/>
              <w:left w:val="nil"/>
              <w:bottom w:val="single" w:sz="4" w:space="0" w:color="auto"/>
              <w:right w:val="single" w:sz="4" w:space="0" w:color="auto"/>
            </w:tcBorders>
            <w:noWrap/>
            <w:vAlign w:val="center"/>
            <w:hideMark/>
          </w:tcPr>
          <w:p w14:paraId="03DE0E7B" w14:textId="77777777" w:rsidR="00416D67" w:rsidRPr="00416D67" w:rsidRDefault="00416D67" w:rsidP="00416D67">
            <w:pPr>
              <w:jc w:val="right"/>
              <w:rPr>
                <w:b/>
                <w:bCs/>
                <w:color w:val="000000"/>
                <w:sz w:val="20"/>
                <w:szCs w:val="20"/>
              </w:rPr>
            </w:pPr>
            <w:r w:rsidRPr="00416D67">
              <w:rPr>
                <w:b/>
                <w:bCs/>
                <w:color w:val="000000"/>
                <w:sz w:val="20"/>
                <w:szCs w:val="20"/>
              </w:rPr>
              <w:t>179.973,39</w:t>
            </w:r>
          </w:p>
        </w:tc>
        <w:tc>
          <w:tcPr>
            <w:tcW w:w="1660" w:type="dxa"/>
            <w:tcBorders>
              <w:top w:val="nil"/>
              <w:left w:val="nil"/>
              <w:bottom w:val="single" w:sz="4" w:space="0" w:color="auto"/>
              <w:right w:val="single" w:sz="4" w:space="0" w:color="auto"/>
            </w:tcBorders>
            <w:noWrap/>
            <w:vAlign w:val="center"/>
            <w:hideMark/>
          </w:tcPr>
          <w:p w14:paraId="78DE2473" w14:textId="77777777" w:rsidR="00416D67" w:rsidRPr="00416D67" w:rsidRDefault="00416D67" w:rsidP="00416D67">
            <w:pPr>
              <w:jc w:val="right"/>
              <w:rPr>
                <w:b/>
                <w:bCs/>
                <w:color w:val="000000"/>
                <w:sz w:val="20"/>
                <w:szCs w:val="20"/>
              </w:rPr>
            </w:pPr>
            <w:r w:rsidRPr="00416D67">
              <w:rPr>
                <w:b/>
                <w:bCs/>
                <w:color w:val="000000"/>
                <w:sz w:val="20"/>
                <w:szCs w:val="20"/>
              </w:rPr>
              <w:t>115,46%</w:t>
            </w:r>
          </w:p>
        </w:tc>
      </w:tr>
      <w:tr w:rsidR="00416D67" w:rsidRPr="00416D67" w14:paraId="2A7A9C85" w14:textId="77777777" w:rsidTr="00BB1392">
        <w:trPr>
          <w:trHeight w:val="510"/>
        </w:trPr>
        <w:tc>
          <w:tcPr>
            <w:tcW w:w="1075" w:type="dxa"/>
            <w:tcBorders>
              <w:top w:val="nil"/>
              <w:left w:val="single" w:sz="4" w:space="0" w:color="auto"/>
              <w:bottom w:val="single" w:sz="4" w:space="0" w:color="auto"/>
              <w:right w:val="single" w:sz="4" w:space="0" w:color="auto"/>
            </w:tcBorders>
            <w:noWrap/>
            <w:vAlign w:val="center"/>
            <w:hideMark/>
          </w:tcPr>
          <w:p w14:paraId="350520E6" w14:textId="77777777" w:rsidR="00416D67" w:rsidRPr="00416D67" w:rsidRDefault="00416D67" w:rsidP="00416D67">
            <w:pPr>
              <w:rPr>
                <w:color w:val="000000"/>
                <w:sz w:val="20"/>
                <w:szCs w:val="20"/>
              </w:rPr>
            </w:pPr>
            <w:r w:rsidRPr="00416D67">
              <w:rPr>
                <w:color w:val="000000"/>
                <w:sz w:val="20"/>
                <w:szCs w:val="20"/>
              </w:rPr>
              <w:t>A100001</w:t>
            </w:r>
          </w:p>
        </w:tc>
        <w:tc>
          <w:tcPr>
            <w:tcW w:w="2605" w:type="dxa"/>
            <w:tcBorders>
              <w:top w:val="nil"/>
              <w:left w:val="nil"/>
              <w:bottom w:val="single" w:sz="4" w:space="0" w:color="auto"/>
              <w:right w:val="single" w:sz="4" w:space="0" w:color="auto"/>
            </w:tcBorders>
            <w:vAlign w:val="center"/>
            <w:hideMark/>
          </w:tcPr>
          <w:p w14:paraId="20CBD705" w14:textId="77777777" w:rsidR="00416D67" w:rsidRPr="00416D67" w:rsidRDefault="00416D67" w:rsidP="00416D67">
            <w:pPr>
              <w:rPr>
                <w:color w:val="000000"/>
                <w:sz w:val="20"/>
                <w:szCs w:val="20"/>
              </w:rPr>
            </w:pPr>
            <w:r w:rsidRPr="00416D67">
              <w:rPr>
                <w:color w:val="000000"/>
                <w:sz w:val="20"/>
                <w:szCs w:val="20"/>
              </w:rPr>
              <w:t>Sufinanciranje produženog boravka OŠ Marčana</w:t>
            </w:r>
          </w:p>
        </w:tc>
        <w:tc>
          <w:tcPr>
            <w:tcW w:w="1660" w:type="dxa"/>
            <w:tcBorders>
              <w:top w:val="nil"/>
              <w:left w:val="nil"/>
              <w:bottom w:val="single" w:sz="4" w:space="0" w:color="auto"/>
              <w:right w:val="single" w:sz="4" w:space="0" w:color="auto"/>
            </w:tcBorders>
            <w:noWrap/>
            <w:vAlign w:val="center"/>
            <w:hideMark/>
          </w:tcPr>
          <w:p w14:paraId="4704AEE3" w14:textId="77777777" w:rsidR="00416D67" w:rsidRPr="00416D67" w:rsidRDefault="00416D67" w:rsidP="00416D67">
            <w:pPr>
              <w:jc w:val="right"/>
              <w:rPr>
                <w:color w:val="000000"/>
                <w:sz w:val="20"/>
                <w:szCs w:val="20"/>
              </w:rPr>
            </w:pPr>
            <w:r w:rsidRPr="00416D67">
              <w:rPr>
                <w:color w:val="000000"/>
                <w:sz w:val="20"/>
                <w:szCs w:val="20"/>
              </w:rPr>
              <w:t>79.621,80</w:t>
            </w:r>
          </w:p>
        </w:tc>
        <w:tc>
          <w:tcPr>
            <w:tcW w:w="1660" w:type="dxa"/>
            <w:tcBorders>
              <w:top w:val="nil"/>
              <w:left w:val="nil"/>
              <w:bottom w:val="single" w:sz="4" w:space="0" w:color="auto"/>
              <w:right w:val="single" w:sz="4" w:space="0" w:color="auto"/>
            </w:tcBorders>
            <w:noWrap/>
            <w:vAlign w:val="center"/>
            <w:hideMark/>
          </w:tcPr>
          <w:p w14:paraId="19B60CAA" w14:textId="77777777" w:rsidR="00416D67" w:rsidRPr="00416D67" w:rsidRDefault="00416D67" w:rsidP="00416D67">
            <w:pPr>
              <w:jc w:val="right"/>
              <w:rPr>
                <w:color w:val="000000"/>
                <w:sz w:val="20"/>
                <w:szCs w:val="20"/>
              </w:rPr>
            </w:pPr>
            <w:r w:rsidRPr="00416D67">
              <w:rPr>
                <w:color w:val="000000"/>
                <w:sz w:val="20"/>
                <w:szCs w:val="20"/>
              </w:rPr>
              <w:t>97.000,00</w:t>
            </w:r>
          </w:p>
        </w:tc>
        <w:tc>
          <w:tcPr>
            <w:tcW w:w="1660" w:type="dxa"/>
            <w:tcBorders>
              <w:top w:val="nil"/>
              <w:left w:val="nil"/>
              <w:bottom w:val="single" w:sz="4" w:space="0" w:color="auto"/>
              <w:right w:val="single" w:sz="4" w:space="0" w:color="auto"/>
            </w:tcBorders>
            <w:noWrap/>
            <w:vAlign w:val="center"/>
            <w:hideMark/>
          </w:tcPr>
          <w:p w14:paraId="78109332" w14:textId="77777777" w:rsidR="00416D67" w:rsidRPr="00416D67" w:rsidRDefault="00416D67" w:rsidP="00416D67">
            <w:pPr>
              <w:jc w:val="right"/>
              <w:rPr>
                <w:color w:val="000000"/>
                <w:sz w:val="20"/>
                <w:szCs w:val="20"/>
              </w:rPr>
            </w:pPr>
            <w:r w:rsidRPr="00416D67">
              <w:rPr>
                <w:color w:val="000000"/>
                <w:sz w:val="20"/>
                <w:szCs w:val="20"/>
              </w:rPr>
              <w:t>96.678,64</w:t>
            </w:r>
          </w:p>
        </w:tc>
        <w:tc>
          <w:tcPr>
            <w:tcW w:w="1660" w:type="dxa"/>
            <w:tcBorders>
              <w:top w:val="nil"/>
              <w:left w:val="nil"/>
              <w:bottom w:val="single" w:sz="4" w:space="0" w:color="auto"/>
              <w:right w:val="single" w:sz="4" w:space="0" w:color="auto"/>
            </w:tcBorders>
            <w:noWrap/>
            <w:vAlign w:val="center"/>
            <w:hideMark/>
          </w:tcPr>
          <w:p w14:paraId="2EEBE345" w14:textId="77777777" w:rsidR="00416D67" w:rsidRPr="00416D67" w:rsidRDefault="00416D67" w:rsidP="00416D67">
            <w:pPr>
              <w:jc w:val="right"/>
              <w:rPr>
                <w:color w:val="000000"/>
                <w:sz w:val="20"/>
                <w:szCs w:val="20"/>
              </w:rPr>
            </w:pPr>
            <w:r w:rsidRPr="00416D67">
              <w:rPr>
                <w:color w:val="000000"/>
                <w:sz w:val="20"/>
                <w:szCs w:val="20"/>
              </w:rPr>
              <w:t>121,42%</w:t>
            </w:r>
          </w:p>
        </w:tc>
      </w:tr>
      <w:tr w:rsidR="00416D67" w:rsidRPr="00416D67" w14:paraId="3A81DF20" w14:textId="77777777" w:rsidTr="00BB1392">
        <w:trPr>
          <w:trHeight w:val="510"/>
        </w:trPr>
        <w:tc>
          <w:tcPr>
            <w:tcW w:w="1075" w:type="dxa"/>
            <w:tcBorders>
              <w:top w:val="nil"/>
              <w:left w:val="single" w:sz="4" w:space="0" w:color="auto"/>
              <w:bottom w:val="single" w:sz="4" w:space="0" w:color="auto"/>
              <w:right w:val="single" w:sz="4" w:space="0" w:color="auto"/>
            </w:tcBorders>
            <w:noWrap/>
            <w:vAlign w:val="center"/>
            <w:hideMark/>
          </w:tcPr>
          <w:p w14:paraId="3CD3549C" w14:textId="77777777" w:rsidR="00416D67" w:rsidRPr="00416D67" w:rsidRDefault="00416D67" w:rsidP="00416D67">
            <w:pPr>
              <w:rPr>
                <w:color w:val="000000"/>
                <w:sz w:val="20"/>
                <w:szCs w:val="20"/>
              </w:rPr>
            </w:pPr>
            <w:r w:rsidRPr="00416D67">
              <w:rPr>
                <w:color w:val="000000"/>
                <w:sz w:val="20"/>
                <w:szCs w:val="20"/>
              </w:rPr>
              <w:t>A100002</w:t>
            </w:r>
          </w:p>
        </w:tc>
        <w:tc>
          <w:tcPr>
            <w:tcW w:w="2605" w:type="dxa"/>
            <w:tcBorders>
              <w:top w:val="nil"/>
              <w:left w:val="nil"/>
              <w:bottom w:val="single" w:sz="4" w:space="0" w:color="auto"/>
              <w:right w:val="single" w:sz="4" w:space="0" w:color="auto"/>
            </w:tcBorders>
            <w:vAlign w:val="center"/>
            <w:hideMark/>
          </w:tcPr>
          <w:p w14:paraId="1261CAA7" w14:textId="77777777" w:rsidR="00416D67" w:rsidRPr="00416D67" w:rsidRDefault="00416D67" w:rsidP="00416D67">
            <w:pPr>
              <w:rPr>
                <w:color w:val="000000"/>
                <w:sz w:val="20"/>
                <w:szCs w:val="20"/>
              </w:rPr>
            </w:pPr>
            <w:r w:rsidRPr="00416D67">
              <w:rPr>
                <w:color w:val="000000"/>
                <w:sz w:val="20"/>
                <w:szCs w:val="20"/>
              </w:rPr>
              <w:t xml:space="preserve">Sufinanciranje produženog boravka OŠ </w:t>
            </w:r>
            <w:proofErr w:type="spellStart"/>
            <w:r w:rsidRPr="00416D67">
              <w:rPr>
                <w:color w:val="000000"/>
                <w:sz w:val="20"/>
                <w:szCs w:val="20"/>
              </w:rPr>
              <w:t>V.Nazora</w:t>
            </w:r>
            <w:proofErr w:type="spellEnd"/>
            <w:r w:rsidRPr="00416D67">
              <w:rPr>
                <w:color w:val="000000"/>
                <w:sz w:val="20"/>
                <w:szCs w:val="20"/>
              </w:rPr>
              <w:t xml:space="preserve"> </w:t>
            </w:r>
            <w:proofErr w:type="spellStart"/>
            <w:r w:rsidRPr="00416D67">
              <w:rPr>
                <w:color w:val="000000"/>
                <w:sz w:val="20"/>
                <w:szCs w:val="20"/>
              </w:rPr>
              <w:t>Krnica</w:t>
            </w:r>
            <w:proofErr w:type="spellEnd"/>
          </w:p>
        </w:tc>
        <w:tc>
          <w:tcPr>
            <w:tcW w:w="1660" w:type="dxa"/>
            <w:tcBorders>
              <w:top w:val="nil"/>
              <w:left w:val="nil"/>
              <w:bottom w:val="single" w:sz="4" w:space="0" w:color="auto"/>
              <w:right w:val="single" w:sz="4" w:space="0" w:color="auto"/>
            </w:tcBorders>
            <w:noWrap/>
            <w:vAlign w:val="center"/>
            <w:hideMark/>
          </w:tcPr>
          <w:p w14:paraId="4CA8244F" w14:textId="77777777" w:rsidR="00416D67" w:rsidRPr="00416D67" w:rsidRDefault="00416D67" w:rsidP="00416D67">
            <w:pPr>
              <w:jc w:val="right"/>
              <w:rPr>
                <w:color w:val="000000"/>
                <w:sz w:val="20"/>
                <w:szCs w:val="20"/>
              </w:rPr>
            </w:pPr>
            <w:r w:rsidRPr="00416D67">
              <w:rPr>
                <w:color w:val="000000"/>
                <w:sz w:val="20"/>
                <w:szCs w:val="20"/>
              </w:rPr>
              <w:t>56.060,66</w:t>
            </w:r>
          </w:p>
        </w:tc>
        <w:tc>
          <w:tcPr>
            <w:tcW w:w="1660" w:type="dxa"/>
            <w:tcBorders>
              <w:top w:val="nil"/>
              <w:left w:val="nil"/>
              <w:bottom w:val="single" w:sz="4" w:space="0" w:color="auto"/>
              <w:right w:val="single" w:sz="4" w:space="0" w:color="auto"/>
            </w:tcBorders>
            <w:noWrap/>
            <w:vAlign w:val="center"/>
            <w:hideMark/>
          </w:tcPr>
          <w:p w14:paraId="6985DB04" w14:textId="77777777" w:rsidR="00416D67" w:rsidRPr="00416D67" w:rsidRDefault="00416D67" w:rsidP="00416D67">
            <w:pPr>
              <w:jc w:val="right"/>
              <w:rPr>
                <w:color w:val="000000"/>
                <w:sz w:val="20"/>
                <w:szCs w:val="20"/>
              </w:rPr>
            </w:pPr>
            <w:r w:rsidRPr="00416D67">
              <w:rPr>
                <w:color w:val="000000"/>
                <w:sz w:val="20"/>
                <w:szCs w:val="20"/>
              </w:rPr>
              <w:t>60.000,00</w:t>
            </w:r>
          </w:p>
        </w:tc>
        <w:tc>
          <w:tcPr>
            <w:tcW w:w="1660" w:type="dxa"/>
            <w:tcBorders>
              <w:top w:val="nil"/>
              <w:left w:val="nil"/>
              <w:bottom w:val="single" w:sz="4" w:space="0" w:color="auto"/>
              <w:right w:val="single" w:sz="4" w:space="0" w:color="auto"/>
            </w:tcBorders>
            <w:noWrap/>
            <w:vAlign w:val="center"/>
            <w:hideMark/>
          </w:tcPr>
          <w:p w14:paraId="4F300D02" w14:textId="77777777" w:rsidR="00416D67" w:rsidRPr="00416D67" w:rsidRDefault="00416D67" w:rsidP="00416D67">
            <w:pPr>
              <w:jc w:val="right"/>
              <w:rPr>
                <w:color w:val="000000"/>
                <w:sz w:val="20"/>
                <w:szCs w:val="20"/>
              </w:rPr>
            </w:pPr>
            <w:r w:rsidRPr="00416D67">
              <w:rPr>
                <w:color w:val="000000"/>
                <w:sz w:val="20"/>
                <w:szCs w:val="20"/>
              </w:rPr>
              <w:t>62.425,05</w:t>
            </w:r>
          </w:p>
        </w:tc>
        <w:tc>
          <w:tcPr>
            <w:tcW w:w="1660" w:type="dxa"/>
            <w:tcBorders>
              <w:top w:val="nil"/>
              <w:left w:val="nil"/>
              <w:bottom w:val="single" w:sz="4" w:space="0" w:color="auto"/>
              <w:right w:val="single" w:sz="4" w:space="0" w:color="auto"/>
            </w:tcBorders>
            <w:noWrap/>
            <w:vAlign w:val="center"/>
            <w:hideMark/>
          </w:tcPr>
          <w:p w14:paraId="016FD66E" w14:textId="77777777" w:rsidR="00416D67" w:rsidRPr="00416D67" w:rsidRDefault="00416D67" w:rsidP="00416D67">
            <w:pPr>
              <w:jc w:val="right"/>
              <w:rPr>
                <w:color w:val="000000"/>
                <w:sz w:val="20"/>
                <w:szCs w:val="20"/>
              </w:rPr>
            </w:pPr>
            <w:r w:rsidRPr="00416D67">
              <w:rPr>
                <w:color w:val="000000"/>
                <w:sz w:val="20"/>
                <w:szCs w:val="20"/>
              </w:rPr>
              <w:t>111,35%</w:t>
            </w:r>
          </w:p>
        </w:tc>
      </w:tr>
      <w:tr w:rsidR="00416D67" w:rsidRPr="00416D67" w14:paraId="199099DC" w14:textId="77777777" w:rsidTr="00BB1392">
        <w:trPr>
          <w:trHeight w:val="510"/>
        </w:trPr>
        <w:tc>
          <w:tcPr>
            <w:tcW w:w="1075" w:type="dxa"/>
            <w:tcBorders>
              <w:top w:val="nil"/>
              <w:left w:val="single" w:sz="4" w:space="0" w:color="auto"/>
              <w:bottom w:val="single" w:sz="4" w:space="0" w:color="auto"/>
              <w:right w:val="single" w:sz="4" w:space="0" w:color="auto"/>
            </w:tcBorders>
            <w:noWrap/>
            <w:vAlign w:val="center"/>
            <w:hideMark/>
          </w:tcPr>
          <w:p w14:paraId="2359AC10" w14:textId="77777777" w:rsidR="00416D67" w:rsidRPr="00416D67" w:rsidRDefault="00416D67" w:rsidP="00416D67">
            <w:pPr>
              <w:rPr>
                <w:color w:val="000000"/>
                <w:sz w:val="20"/>
                <w:szCs w:val="20"/>
              </w:rPr>
            </w:pPr>
            <w:r w:rsidRPr="00416D67">
              <w:rPr>
                <w:color w:val="000000"/>
                <w:sz w:val="20"/>
                <w:szCs w:val="20"/>
              </w:rPr>
              <w:t>A100003</w:t>
            </w:r>
          </w:p>
        </w:tc>
        <w:tc>
          <w:tcPr>
            <w:tcW w:w="2605" w:type="dxa"/>
            <w:tcBorders>
              <w:top w:val="nil"/>
              <w:left w:val="nil"/>
              <w:bottom w:val="single" w:sz="4" w:space="0" w:color="auto"/>
              <w:right w:val="single" w:sz="4" w:space="0" w:color="auto"/>
            </w:tcBorders>
            <w:vAlign w:val="center"/>
            <w:hideMark/>
          </w:tcPr>
          <w:p w14:paraId="422AB429" w14:textId="77777777" w:rsidR="00416D67" w:rsidRPr="00416D67" w:rsidRDefault="00416D67" w:rsidP="00416D67">
            <w:pPr>
              <w:rPr>
                <w:color w:val="000000"/>
                <w:sz w:val="20"/>
                <w:szCs w:val="20"/>
              </w:rPr>
            </w:pPr>
            <w:r w:rsidRPr="00416D67">
              <w:rPr>
                <w:color w:val="000000"/>
                <w:sz w:val="20"/>
                <w:szCs w:val="20"/>
              </w:rPr>
              <w:t>Sufinanciranje produženog boravka OŠ Divšići</w:t>
            </w:r>
          </w:p>
        </w:tc>
        <w:tc>
          <w:tcPr>
            <w:tcW w:w="1660" w:type="dxa"/>
            <w:tcBorders>
              <w:top w:val="nil"/>
              <w:left w:val="nil"/>
              <w:bottom w:val="single" w:sz="4" w:space="0" w:color="auto"/>
              <w:right w:val="single" w:sz="4" w:space="0" w:color="auto"/>
            </w:tcBorders>
            <w:noWrap/>
            <w:vAlign w:val="center"/>
            <w:hideMark/>
          </w:tcPr>
          <w:p w14:paraId="7B4E5445" w14:textId="77777777" w:rsidR="00416D67" w:rsidRPr="00416D67" w:rsidRDefault="00416D67" w:rsidP="00416D67">
            <w:pPr>
              <w:jc w:val="right"/>
              <w:rPr>
                <w:color w:val="000000"/>
                <w:sz w:val="20"/>
                <w:szCs w:val="20"/>
              </w:rPr>
            </w:pPr>
            <w:r w:rsidRPr="00416D67">
              <w:rPr>
                <w:color w:val="000000"/>
                <w:sz w:val="20"/>
                <w:szCs w:val="20"/>
              </w:rPr>
              <w:t>10.259,45</w:t>
            </w:r>
          </w:p>
        </w:tc>
        <w:tc>
          <w:tcPr>
            <w:tcW w:w="1660" w:type="dxa"/>
            <w:tcBorders>
              <w:top w:val="nil"/>
              <w:left w:val="nil"/>
              <w:bottom w:val="single" w:sz="4" w:space="0" w:color="auto"/>
              <w:right w:val="single" w:sz="4" w:space="0" w:color="auto"/>
            </w:tcBorders>
            <w:noWrap/>
            <w:vAlign w:val="center"/>
            <w:hideMark/>
          </w:tcPr>
          <w:p w14:paraId="0703D0EF" w14:textId="77777777" w:rsidR="00416D67" w:rsidRPr="00416D67" w:rsidRDefault="00416D67" w:rsidP="00416D67">
            <w:pPr>
              <w:jc w:val="right"/>
              <w:rPr>
                <w:color w:val="000000"/>
                <w:sz w:val="20"/>
                <w:szCs w:val="20"/>
              </w:rPr>
            </w:pPr>
            <w:r w:rsidRPr="00416D67">
              <w:rPr>
                <w:color w:val="000000"/>
                <w:sz w:val="20"/>
                <w:szCs w:val="20"/>
              </w:rPr>
              <w:t>14.000,00</w:t>
            </w:r>
          </w:p>
        </w:tc>
        <w:tc>
          <w:tcPr>
            <w:tcW w:w="1660" w:type="dxa"/>
            <w:tcBorders>
              <w:top w:val="nil"/>
              <w:left w:val="nil"/>
              <w:bottom w:val="single" w:sz="4" w:space="0" w:color="auto"/>
              <w:right w:val="single" w:sz="4" w:space="0" w:color="auto"/>
            </w:tcBorders>
            <w:noWrap/>
            <w:vAlign w:val="center"/>
            <w:hideMark/>
          </w:tcPr>
          <w:p w14:paraId="387309A9" w14:textId="77777777" w:rsidR="00416D67" w:rsidRPr="00416D67" w:rsidRDefault="00416D67" w:rsidP="00416D67">
            <w:pPr>
              <w:jc w:val="right"/>
              <w:rPr>
                <w:color w:val="000000"/>
                <w:sz w:val="20"/>
                <w:szCs w:val="20"/>
              </w:rPr>
            </w:pPr>
            <w:r w:rsidRPr="00416D67">
              <w:rPr>
                <w:color w:val="000000"/>
                <w:sz w:val="20"/>
                <w:szCs w:val="20"/>
              </w:rPr>
              <w:t>11.193,07</w:t>
            </w:r>
          </w:p>
        </w:tc>
        <w:tc>
          <w:tcPr>
            <w:tcW w:w="1660" w:type="dxa"/>
            <w:tcBorders>
              <w:top w:val="nil"/>
              <w:left w:val="nil"/>
              <w:bottom w:val="single" w:sz="4" w:space="0" w:color="auto"/>
              <w:right w:val="single" w:sz="4" w:space="0" w:color="auto"/>
            </w:tcBorders>
            <w:noWrap/>
            <w:vAlign w:val="center"/>
            <w:hideMark/>
          </w:tcPr>
          <w:p w14:paraId="30467203" w14:textId="77777777" w:rsidR="00416D67" w:rsidRPr="00416D67" w:rsidRDefault="00416D67" w:rsidP="00416D67">
            <w:pPr>
              <w:jc w:val="right"/>
              <w:rPr>
                <w:color w:val="000000"/>
                <w:sz w:val="20"/>
                <w:szCs w:val="20"/>
              </w:rPr>
            </w:pPr>
            <w:r w:rsidRPr="00416D67">
              <w:rPr>
                <w:color w:val="000000"/>
                <w:sz w:val="20"/>
                <w:szCs w:val="20"/>
              </w:rPr>
              <w:t>109,10%</w:t>
            </w:r>
          </w:p>
        </w:tc>
      </w:tr>
      <w:tr w:rsidR="00416D67" w:rsidRPr="00416D67" w14:paraId="6C808AC3" w14:textId="77777777" w:rsidTr="00BB1392">
        <w:trPr>
          <w:trHeight w:val="510"/>
        </w:trPr>
        <w:tc>
          <w:tcPr>
            <w:tcW w:w="1075" w:type="dxa"/>
            <w:tcBorders>
              <w:top w:val="nil"/>
              <w:left w:val="single" w:sz="4" w:space="0" w:color="auto"/>
              <w:bottom w:val="single" w:sz="4" w:space="0" w:color="auto"/>
              <w:right w:val="single" w:sz="4" w:space="0" w:color="auto"/>
            </w:tcBorders>
            <w:noWrap/>
            <w:vAlign w:val="center"/>
            <w:hideMark/>
          </w:tcPr>
          <w:p w14:paraId="5B6B4C4F" w14:textId="77777777" w:rsidR="00416D67" w:rsidRPr="00416D67" w:rsidRDefault="00416D67" w:rsidP="00416D67">
            <w:pPr>
              <w:rPr>
                <w:color w:val="000000"/>
                <w:sz w:val="20"/>
                <w:szCs w:val="20"/>
              </w:rPr>
            </w:pPr>
            <w:r w:rsidRPr="00416D67">
              <w:rPr>
                <w:color w:val="000000"/>
                <w:sz w:val="20"/>
                <w:szCs w:val="20"/>
              </w:rPr>
              <w:t>A100004</w:t>
            </w:r>
          </w:p>
        </w:tc>
        <w:tc>
          <w:tcPr>
            <w:tcW w:w="2605" w:type="dxa"/>
            <w:tcBorders>
              <w:top w:val="nil"/>
              <w:left w:val="nil"/>
              <w:bottom w:val="single" w:sz="4" w:space="0" w:color="auto"/>
              <w:right w:val="single" w:sz="4" w:space="0" w:color="auto"/>
            </w:tcBorders>
            <w:vAlign w:val="center"/>
            <w:hideMark/>
          </w:tcPr>
          <w:p w14:paraId="3E5B662A" w14:textId="77777777" w:rsidR="00416D67" w:rsidRPr="00416D67" w:rsidRDefault="00416D67" w:rsidP="00416D67">
            <w:pPr>
              <w:rPr>
                <w:color w:val="000000"/>
                <w:sz w:val="20"/>
                <w:szCs w:val="20"/>
              </w:rPr>
            </w:pPr>
            <w:r w:rsidRPr="00416D67">
              <w:rPr>
                <w:color w:val="000000"/>
                <w:sz w:val="20"/>
                <w:szCs w:val="20"/>
              </w:rPr>
              <w:t>Sufinanciranje produženog boravka ostale OŠ</w:t>
            </w:r>
          </w:p>
        </w:tc>
        <w:tc>
          <w:tcPr>
            <w:tcW w:w="1660" w:type="dxa"/>
            <w:tcBorders>
              <w:top w:val="nil"/>
              <w:left w:val="nil"/>
              <w:bottom w:val="single" w:sz="4" w:space="0" w:color="auto"/>
              <w:right w:val="single" w:sz="4" w:space="0" w:color="auto"/>
            </w:tcBorders>
            <w:noWrap/>
            <w:vAlign w:val="center"/>
            <w:hideMark/>
          </w:tcPr>
          <w:p w14:paraId="536B2F93" w14:textId="77777777" w:rsidR="00416D67" w:rsidRPr="00416D67" w:rsidRDefault="00416D67" w:rsidP="00416D67">
            <w:pPr>
              <w:jc w:val="right"/>
              <w:rPr>
                <w:color w:val="000000"/>
                <w:sz w:val="20"/>
                <w:szCs w:val="20"/>
              </w:rPr>
            </w:pPr>
            <w:r w:rsidRPr="00416D67">
              <w:rPr>
                <w:color w:val="000000"/>
                <w:sz w:val="20"/>
                <w:szCs w:val="20"/>
              </w:rPr>
              <w:t>5.080,80</w:t>
            </w:r>
          </w:p>
        </w:tc>
        <w:tc>
          <w:tcPr>
            <w:tcW w:w="1660" w:type="dxa"/>
            <w:tcBorders>
              <w:top w:val="nil"/>
              <w:left w:val="nil"/>
              <w:bottom w:val="single" w:sz="4" w:space="0" w:color="auto"/>
              <w:right w:val="single" w:sz="4" w:space="0" w:color="auto"/>
            </w:tcBorders>
            <w:noWrap/>
            <w:vAlign w:val="center"/>
            <w:hideMark/>
          </w:tcPr>
          <w:p w14:paraId="520CFDD5" w14:textId="77777777" w:rsidR="00416D67" w:rsidRPr="00416D67" w:rsidRDefault="00416D67" w:rsidP="00416D67">
            <w:pPr>
              <w:jc w:val="right"/>
              <w:rPr>
                <w:color w:val="000000"/>
                <w:sz w:val="20"/>
                <w:szCs w:val="20"/>
              </w:rPr>
            </w:pPr>
            <w:r w:rsidRPr="00416D67">
              <w:rPr>
                <w:color w:val="000000"/>
                <w:sz w:val="20"/>
                <w:szCs w:val="20"/>
              </w:rPr>
              <w:t>4.000,00</w:t>
            </w:r>
          </w:p>
        </w:tc>
        <w:tc>
          <w:tcPr>
            <w:tcW w:w="1660" w:type="dxa"/>
            <w:tcBorders>
              <w:top w:val="nil"/>
              <w:left w:val="nil"/>
              <w:bottom w:val="single" w:sz="4" w:space="0" w:color="auto"/>
              <w:right w:val="single" w:sz="4" w:space="0" w:color="auto"/>
            </w:tcBorders>
            <w:noWrap/>
            <w:vAlign w:val="center"/>
            <w:hideMark/>
          </w:tcPr>
          <w:p w14:paraId="5772AFA4" w14:textId="77777777" w:rsidR="00416D67" w:rsidRPr="00416D67" w:rsidRDefault="00416D67" w:rsidP="00416D67">
            <w:pPr>
              <w:jc w:val="right"/>
              <w:rPr>
                <w:color w:val="000000"/>
                <w:sz w:val="20"/>
                <w:szCs w:val="20"/>
              </w:rPr>
            </w:pPr>
            <w:r w:rsidRPr="00416D67">
              <w:rPr>
                <w:color w:val="000000"/>
                <w:sz w:val="20"/>
                <w:szCs w:val="20"/>
              </w:rPr>
              <w:t>3.828,00</w:t>
            </w:r>
          </w:p>
        </w:tc>
        <w:tc>
          <w:tcPr>
            <w:tcW w:w="1660" w:type="dxa"/>
            <w:tcBorders>
              <w:top w:val="nil"/>
              <w:left w:val="nil"/>
              <w:bottom w:val="single" w:sz="4" w:space="0" w:color="auto"/>
              <w:right w:val="single" w:sz="4" w:space="0" w:color="auto"/>
            </w:tcBorders>
            <w:noWrap/>
            <w:vAlign w:val="center"/>
            <w:hideMark/>
          </w:tcPr>
          <w:p w14:paraId="65C9098E" w14:textId="77777777" w:rsidR="00416D67" w:rsidRPr="00416D67" w:rsidRDefault="00416D67" w:rsidP="00416D67">
            <w:pPr>
              <w:jc w:val="right"/>
              <w:rPr>
                <w:color w:val="000000"/>
                <w:sz w:val="20"/>
                <w:szCs w:val="20"/>
              </w:rPr>
            </w:pPr>
            <w:r w:rsidRPr="00416D67">
              <w:rPr>
                <w:color w:val="000000"/>
                <w:sz w:val="20"/>
                <w:szCs w:val="20"/>
              </w:rPr>
              <w:t>75,34%</w:t>
            </w:r>
          </w:p>
        </w:tc>
      </w:tr>
      <w:tr w:rsidR="00416D67" w:rsidRPr="00416D67" w14:paraId="08AD15F6" w14:textId="77777777" w:rsidTr="00BB1392">
        <w:trPr>
          <w:trHeight w:val="510"/>
        </w:trPr>
        <w:tc>
          <w:tcPr>
            <w:tcW w:w="1075" w:type="dxa"/>
            <w:tcBorders>
              <w:top w:val="nil"/>
              <w:left w:val="single" w:sz="4" w:space="0" w:color="auto"/>
              <w:bottom w:val="single" w:sz="4" w:space="0" w:color="auto"/>
              <w:right w:val="single" w:sz="4" w:space="0" w:color="auto"/>
            </w:tcBorders>
            <w:noWrap/>
            <w:vAlign w:val="center"/>
            <w:hideMark/>
          </w:tcPr>
          <w:p w14:paraId="1A58568D" w14:textId="77777777" w:rsidR="00416D67" w:rsidRPr="00416D67" w:rsidRDefault="00416D67" w:rsidP="00416D67">
            <w:pPr>
              <w:rPr>
                <w:color w:val="000000"/>
                <w:sz w:val="20"/>
                <w:szCs w:val="20"/>
              </w:rPr>
            </w:pPr>
            <w:r w:rsidRPr="00416D67">
              <w:rPr>
                <w:color w:val="000000"/>
                <w:sz w:val="20"/>
                <w:szCs w:val="20"/>
              </w:rPr>
              <w:t>A100005</w:t>
            </w:r>
          </w:p>
        </w:tc>
        <w:tc>
          <w:tcPr>
            <w:tcW w:w="2605" w:type="dxa"/>
            <w:tcBorders>
              <w:top w:val="nil"/>
              <w:left w:val="nil"/>
              <w:bottom w:val="single" w:sz="4" w:space="0" w:color="auto"/>
              <w:right w:val="single" w:sz="4" w:space="0" w:color="auto"/>
            </w:tcBorders>
            <w:vAlign w:val="center"/>
            <w:hideMark/>
          </w:tcPr>
          <w:p w14:paraId="49FD0E81" w14:textId="77777777" w:rsidR="00416D67" w:rsidRPr="00416D67" w:rsidRDefault="00416D67" w:rsidP="00416D67">
            <w:pPr>
              <w:rPr>
                <w:color w:val="000000"/>
                <w:sz w:val="20"/>
                <w:szCs w:val="20"/>
              </w:rPr>
            </w:pPr>
            <w:r w:rsidRPr="00416D67">
              <w:rPr>
                <w:color w:val="000000"/>
                <w:sz w:val="20"/>
                <w:szCs w:val="20"/>
              </w:rPr>
              <w:t>Ostale potrebe osnovnog školstva</w:t>
            </w:r>
          </w:p>
        </w:tc>
        <w:tc>
          <w:tcPr>
            <w:tcW w:w="1660" w:type="dxa"/>
            <w:tcBorders>
              <w:top w:val="nil"/>
              <w:left w:val="nil"/>
              <w:bottom w:val="single" w:sz="4" w:space="0" w:color="auto"/>
              <w:right w:val="single" w:sz="4" w:space="0" w:color="auto"/>
            </w:tcBorders>
            <w:noWrap/>
            <w:vAlign w:val="center"/>
            <w:hideMark/>
          </w:tcPr>
          <w:p w14:paraId="0C2235F2" w14:textId="77777777" w:rsidR="00416D67" w:rsidRPr="00416D67" w:rsidRDefault="00416D67" w:rsidP="00416D67">
            <w:pPr>
              <w:jc w:val="right"/>
              <w:rPr>
                <w:color w:val="000000"/>
                <w:sz w:val="20"/>
                <w:szCs w:val="20"/>
              </w:rPr>
            </w:pPr>
            <w:r w:rsidRPr="00416D67">
              <w:rPr>
                <w:color w:val="000000"/>
                <w:sz w:val="20"/>
                <w:szCs w:val="20"/>
              </w:rPr>
              <w:t>4.855,78</w:t>
            </w:r>
          </w:p>
        </w:tc>
        <w:tc>
          <w:tcPr>
            <w:tcW w:w="1660" w:type="dxa"/>
            <w:tcBorders>
              <w:top w:val="nil"/>
              <w:left w:val="nil"/>
              <w:bottom w:val="single" w:sz="4" w:space="0" w:color="auto"/>
              <w:right w:val="single" w:sz="4" w:space="0" w:color="auto"/>
            </w:tcBorders>
            <w:noWrap/>
            <w:vAlign w:val="center"/>
            <w:hideMark/>
          </w:tcPr>
          <w:p w14:paraId="177C388B" w14:textId="77777777" w:rsidR="00416D67" w:rsidRPr="00416D67" w:rsidRDefault="00416D67" w:rsidP="00416D67">
            <w:pPr>
              <w:jc w:val="right"/>
              <w:rPr>
                <w:color w:val="000000"/>
                <w:sz w:val="20"/>
                <w:szCs w:val="20"/>
              </w:rPr>
            </w:pPr>
            <w:r w:rsidRPr="00416D67">
              <w:rPr>
                <w:color w:val="000000"/>
                <w:sz w:val="20"/>
                <w:szCs w:val="20"/>
              </w:rPr>
              <w:t>8.100,00</w:t>
            </w:r>
          </w:p>
        </w:tc>
        <w:tc>
          <w:tcPr>
            <w:tcW w:w="1660" w:type="dxa"/>
            <w:tcBorders>
              <w:top w:val="nil"/>
              <w:left w:val="nil"/>
              <w:bottom w:val="single" w:sz="4" w:space="0" w:color="auto"/>
              <w:right w:val="single" w:sz="4" w:space="0" w:color="auto"/>
            </w:tcBorders>
            <w:noWrap/>
            <w:vAlign w:val="center"/>
            <w:hideMark/>
          </w:tcPr>
          <w:p w14:paraId="1391E5BF" w14:textId="77777777" w:rsidR="00416D67" w:rsidRPr="00416D67" w:rsidRDefault="00416D67" w:rsidP="00416D67">
            <w:pPr>
              <w:jc w:val="right"/>
              <w:rPr>
                <w:color w:val="000000"/>
                <w:sz w:val="20"/>
                <w:szCs w:val="20"/>
              </w:rPr>
            </w:pPr>
            <w:r w:rsidRPr="00416D67">
              <w:rPr>
                <w:color w:val="000000"/>
                <w:sz w:val="20"/>
                <w:szCs w:val="20"/>
              </w:rPr>
              <w:t>5.548,63</w:t>
            </w:r>
          </w:p>
        </w:tc>
        <w:tc>
          <w:tcPr>
            <w:tcW w:w="1660" w:type="dxa"/>
            <w:tcBorders>
              <w:top w:val="nil"/>
              <w:left w:val="nil"/>
              <w:bottom w:val="single" w:sz="4" w:space="0" w:color="auto"/>
              <w:right w:val="single" w:sz="4" w:space="0" w:color="auto"/>
            </w:tcBorders>
            <w:noWrap/>
            <w:vAlign w:val="center"/>
            <w:hideMark/>
          </w:tcPr>
          <w:p w14:paraId="5F277B2B" w14:textId="77777777" w:rsidR="00416D67" w:rsidRPr="00416D67" w:rsidRDefault="00416D67" w:rsidP="00416D67">
            <w:pPr>
              <w:jc w:val="right"/>
              <w:rPr>
                <w:color w:val="000000"/>
                <w:sz w:val="20"/>
                <w:szCs w:val="20"/>
              </w:rPr>
            </w:pPr>
            <w:r w:rsidRPr="00416D67">
              <w:rPr>
                <w:color w:val="000000"/>
                <w:sz w:val="20"/>
                <w:szCs w:val="20"/>
              </w:rPr>
              <w:t>114,27%</w:t>
            </w:r>
          </w:p>
        </w:tc>
      </w:tr>
      <w:tr w:rsidR="00416D67" w:rsidRPr="00416D67" w14:paraId="2DE409DE" w14:textId="77777777" w:rsidTr="00BB1392">
        <w:trPr>
          <w:trHeight w:val="510"/>
        </w:trPr>
        <w:tc>
          <w:tcPr>
            <w:tcW w:w="1075" w:type="dxa"/>
            <w:tcBorders>
              <w:top w:val="nil"/>
              <w:left w:val="single" w:sz="4" w:space="0" w:color="auto"/>
              <w:bottom w:val="single" w:sz="4" w:space="0" w:color="auto"/>
              <w:right w:val="single" w:sz="4" w:space="0" w:color="auto"/>
            </w:tcBorders>
            <w:noWrap/>
            <w:vAlign w:val="center"/>
            <w:hideMark/>
          </w:tcPr>
          <w:p w14:paraId="73304313" w14:textId="77777777" w:rsidR="00416D67" w:rsidRPr="00416D67" w:rsidRDefault="00416D67" w:rsidP="00416D67">
            <w:pPr>
              <w:rPr>
                <w:color w:val="000000"/>
                <w:sz w:val="20"/>
                <w:szCs w:val="20"/>
              </w:rPr>
            </w:pPr>
            <w:r w:rsidRPr="00416D67">
              <w:rPr>
                <w:color w:val="000000"/>
                <w:sz w:val="20"/>
                <w:szCs w:val="20"/>
              </w:rPr>
              <w:t>A100006</w:t>
            </w:r>
          </w:p>
        </w:tc>
        <w:tc>
          <w:tcPr>
            <w:tcW w:w="2605" w:type="dxa"/>
            <w:tcBorders>
              <w:top w:val="nil"/>
              <w:left w:val="nil"/>
              <w:bottom w:val="single" w:sz="4" w:space="0" w:color="auto"/>
              <w:right w:val="single" w:sz="4" w:space="0" w:color="auto"/>
            </w:tcBorders>
            <w:vAlign w:val="center"/>
            <w:hideMark/>
          </w:tcPr>
          <w:p w14:paraId="1D8A1F66" w14:textId="77777777" w:rsidR="00416D67" w:rsidRPr="00416D67" w:rsidRDefault="00416D67" w:rsidP="00416D67">
            <w:pPr>
              <w:rPr>
                <w:color w:val="000000"/>
                <w:sz w:val="20"/>
                <w:szCs w:val="20"/>
              </w:rPr>
            </w:pPr>
            <w:r w:rsidRPr="00416D67">
              <w:rPr>
                <w:color w:val="000000"/>
                <w:sz w:val="20"/>
                <w:szCs w:val="20"/>
              </w:rPr>
              <w:t>Sufinanciranje festivala strukovnih zanimanja HOK IŽ</w:t>
            </w:r>
          </w:p>
        </w:tc>
        <w:tc>
          <w:tcPr>
            <w:tcW w:w="1660" w:type="dxa"/>
            <w:tcBorders>
              <w:top w:val="nil"/>
              <w:left w:val="nil"/>
              <w:bottom w:val="single" w:sz="4" w:space="0" w:color="auto"/>
              <w:right w:val="single" w:sz="4" w:space="0" w:color="auto"/>
            </w:tcBorders>
            <w:noWrap/>
            <w:vAlign w:val="center"/>
            <w:hideMark/>
          </w:tcPr>
          <w:p w14:paraId="56E34A52" w14:textId="77777777" w:rsidR="00416D67" w:rsidRPr="00416D67" w:rsidRDefault="00416D67" w:rsidP="00416D67">
            <w:pPr>
              <w:jc w:val="right"/>
              <w:rPr>
                <w:color w:val="000000"/>
                <w:sz w:val="20"/>
                <w:szCs w:val="20"/>
              </w:rPr>
            </w:pPr>
            <w:r w:rsidRPr="00416D67">
              <w:rPr>
                <w:color w:val="000000"/>
                <w:sz w:val="20"/>
                <w:szCs w:val="20"/>
              </w:rPr>
              <w:t>0,00</w:t>
            </w:r>
          </w:p>
        </w:tc>
        <w:tc>
          <w:tcPr>
            <w:tcW w:w="1660" w:type="dxa"/>
            <w:tcBorders>
              <w:top w:val="nil"/>
              <w:left w:val="nil"/>
              <w:bottom w:val="single" w:sz="4" w:space="0" w:color="auto"/>
              <w:right w:val="single" w:sz="4" w:space="0" w:color="auto"/>
            </w:tcBorders>
            <w:noWrap/>
            <w:vAlign w:val="center"/>
            <w:hideMark/>
          </w:tcPr>
          <w:p w14:paraId="68A70374" w14:textId="77777777" w:rsidR="00416D67" w:rsidRPr="00416D67" w:rsidRDefault="00416D67" w:rsidP="00416D67">
            <w:pPr>
              <w:jc w:val="right"/>
              <w:rPr>
                <w:color w:val="000000"/>
                <w:sz w:val="20"/>
                <w:szCs w:val="20"/>
              </w:rPr>
            </w:pPr>
            <w:r w:rsidRPr="00416D67">
              <w:rPr>
                <w:color w:val="000000"/>
                <w:sz w:val="20"/>
                <w:szCs w:val="20"/>
              </w:rPr>
              <w:t>300,00</w:t>
            </w:r>
          </w:p>
        </w:tc>
        <w:tc>
          <w:tcPr>
            <w:tcW w:w="1660" w:type="dxa"/>
            <w:tcBorders>
              <w:top w:val="nil"/>
              <w:left w:val="nil"/>
              <w:bottom w:val="single" w:sz="4" w:space="0" w:color="auto"/>
              <w:right w:val="single" w:sz="4" w:space="0" w:color="auto"/>
            </w:tcBorders>
            <w:noWrap/>
            <w:vAlign w:val="center"/>
            <w:hideMark/>
          </w:tcPr>
          <w:p w14:paraId="6A3C66E9" w14:textId="77777777" w:rsidR="00416D67" w:rsidRPr="00416D67" w:rsidRDefault="00416D67" w:rsidP="00416D67">
            <w:pPr>
              <w:jc w:val="right"/>
              <w:rPr>
                <w:color w:val="000000"/>
                <w:sz w:val="20"/>
                <w:szCs w:val="20"/>
              </w:rPr>
            </w:pPr>
            <w:r w:rsidRPr="00416D67">
              <w:rPr>
                <w:color w:val="000000"/>
                <w:sz w:val="20"/>
                <w:szCs w:val="20"/>
              </w:rPr>
              <w:t>300,00</w:t>
            </w:r>
          </w:p>
        </w:tc>
        <w:tc>
          <w:tcPr>
            <w:tcW w:w="1660" w:type="dxa"/>
            <w:tcBorders>
              <w:top w:val="nil"/>
              <w:left w:val="nil"/>
              <w:bottom w:val="single" w:sz="4" w:space="0" w:color="auto"/>
              <w:right w:val="single" w:sz="4" w:space="0" w:color="auto"/>
            </w:tcBorders>
            <w:noWrap/>
            <w:vAlign w:val="center"/>
            <w:hideMark/>
          </w:tcPr>
          <w:p w14:paraId="2A44D675" w14:textId="77777777" w:rsidR="00416D67" w:rsidRPr="00416D67" w:rsidRDefault="00416D67" w:rsidP="00416D67">
            <w:pPr>
              <w:jc w:val="right"/>
              <w:rPr>
                <w:color w:val="000000"/>
                <w:sz w:val="20"/>
                <w:szCs w:val="20"/>
              </w:rPr>
            </w:pPr>
            <w:r w:rsidRPr="00416D67">
              <w:rPr>
                <w:color w:val="000000"/>
                <w:sz w:val="20"/>
                <w:szCs w:val="20"/>
              </w:rPr>
              <w:t>0,00%</w:t>
            </w:r>
          </w:p>
        </w:tc>
      </w:tr>
      <w:tr w:rsidR="00416D67" w:rsidRPr="00416D67" w14:paraId="514357B1" w14:textId="77777777" w:rsidTr="00BB1392">
        <w:trPr>
          <w:trHeight w:val="765"/>
        </w:trPr>
        <w:tc>
          <w:tcPr>
            <w:tcW w:w="1075" w:type="dxa"/>
            <w:tcBorders>
              <w:top w:val="nil"/>
              <w:left w:val="single" w:sz="4" w:space="0" w:color="auto"/>
              <w:bottom w:val="single" w:sz="4" w:space="0" w:color="auto"/>
              <w:right w:val="single" w:sz="4" w:space="0" w:color="auto"/>
            </w:tcBorders>
            <w:noWrap/>
            <w:vAlign w:val="center"/>
            <w:hideMark/>
          </w:tcPr>
          <w:p w14:paraId="205B4871" w14:textId="77777777" w:rsidR="00416D67" w:rsidRPr="00416D67" w:rsidRDefault="00416D67" w:rsidP="00416D67">
            <w:pPr>
              <w:rPr>
                <w:color w:val="000000"/>
                <w:sz w:val="20"/>
                <w:szCs w:val="20"/>
              </w:rPr>
            </w:pPr>
            <w:r w:rsidRPr="00416D67">
              <w:rPr>
                <w:color w:val="000000"/>
                <w:sz w:val="20"/>
                <w:szCs w:val="20"/>
              </w:rPr>
              <w:t>K100010</w:t>
            </w:r>
          </w:p>
        </w:tc>
        <w:tc>
          <w:tcPr>
            <w:tcW w:w="2605" w:type="dxa"/>
            <w:tcBorders>
              <w:top w:val="nil"/>
              <w:left w:val="nil"/>
              <w:bottom w:val="single" w:sz="4" w:space="0" w:color="auto"/>
              <w:right w:val="single" w:sz="4" w:space="0" w:color="auto"/>
            </w:tcBorders>
            <w:vAlign w:val="center"/>
            <w:hideMark/>
          </w:tcPr>
          <w:p w14:paraId="68F6D2C4" w14:textId="77777777" w:rsidR="00416D67" w:rsidRPr="00416D67" w:rsidRDefault="00416D67" w:rsidP="00416D67">
            <w:pPr>
              <w:rPr>
                <w:color w:val="000000"/>
                <w:sz w:val="20"/>
                <w:szCs w:val="20"/>
              </w:rPr>
            </w:pPr>
            <w:r w:rsidRPr="00416D67">
              <w:rPr>
                <w:color w:val="000000"/>
                <w:sz w:val="20"/>
                <w:szCs w:val="20"/>
              </w:rPr>
              <w:t xml:space="preserve">Kapitalni projekt sufinanciranje izgradnje i rekonstrukcije OŠ i školske sportske dvorane u </w:t>
            </w:r>
            <w:proofErr w:type="spellStart"/>
            <w:r w:rsidRPr="00416D67">
              <w:rPr>
                <w:color w:val="000000"/>
                <w:sz w:val="20"/>
                <w:szCs w:val="20"/>
              </w:rPr>
              <w:t>Marčani</w:t>
            </w:r>
            <w:proofErr w:type="spellEnd"/>
          </w:p>
        </w:tc>
        <w:tc>
          <w:tcPr>
            <w:tcW w:w="1660" w:type="dxa"/>
            <w:tcBorders>
              <w:top w:val="nil"/>
              <w:left w:val="nil"/>
              <w:bottom w:val="single" w:sz="4" w:space="0" w:color="auto"/>
              <w:right w:val="single" w:sz="4" w:space="0" w:color="auto"/>
            </w:tcBorders>
            <w:noWrap/>
            <w:vAlign w:val="center"/>
            <w:hideMark/>
          </w:tcPr>
          <w:p w14:paraId="6000A07D" w14:textId="77777777" w:rsidR="00416D67" w:rsidRPr="00416D67" w:rsidRDefault="00416D67" w:rsidP="00416D67">
            <w:pPr>
              <w:jc w:val="right"/>
              <w:rPr>
                <w:color w:val="000000"/>
                <w:sz w:val="20"/>
                <w:szCs w:val="20"/>
              </w:rPr>
            </w:pPr>
            <w:r w:rsidRPr="00416D67">
              <w:rPr>
                <w:color w:val="000000"/>
                <w:sz w:val="20"/>
                <w:szCs w:val="20"/>
              </w:rPr>
              <w:t>0,00</w:t>
            </w:r>
          </w:p>
        </w:tc>
        <w:tc>
          <w:tcPr>
            <w:tcW w:w="1660" w:type="dxa"/>
            <w:tcBorders>
              <w:top w:val="nil"/>
              <w:left w:val="nil"/>
              <w:bottom w:val="single" w:sz="4" w:space="0" w:color="auto"/>
              <w:right w:val="single" w:sz="4" w:space="0" w:color="auto"/>
            </w:tcBorders>
            <w:noWrap/>
            <w:vAlign w:val="center"/>
            <w:hideMark/>
          </w:tcPr>
          <w:p w14:paraId="1319BBD9" w14:textId="77777777" w:rsidR="00416D67" w:rsidRPr="00416D67" w:rsidRDefault="00416D67" w:rsidP="00416D67">
            <w:pPr>
              <w:jc w:val="right"/>
              <w:rPr>
                <w:color w:val="000000"/>
                <w:sz w:val="20"/>
                <w:szCs w:val="20"/>
              </w:rPr>
            </w:pPr>
            <w:r w:rsidRPr="00416D67">
              <w:rPr>
                <w:color w:val="000000"/>
                <w:sz w:val="20"/>
                <w:szCs w:val="20"/>
              </w:rPr>
              <w:t>950.000,00</w:t>
            </w:r>
          </w:p>
        </w:tc>
        <w:tc>
          <w:tcPr>
            <w:tcW w:w="1660" w:type="dxa"/>
            <w:tcBorders>
              <w:top w:val="nil"/>
              <w:left w:val="nil"/>
              <w:bottom w:val="single" w:sz="4" w:space="0" w:color="auto"/>
              <w:right w:val="single" w:sz="4" w:space="0" w:color="auto"/>
            </w:tcBorders>
            <w:noWrap/>
            <w:vAlign w:val="center"/>
            <w:hideMark/>
          </w:tcPr>
          <w:p w14:paraId="5D481E8A" w14:textId="77777777" w:rsidR="00416D67" w:rsidRPr="00416D67" w:rsidRDefault="00416D67" w:rsidP="00416D67">
            <w:pPr>
              <w:jc w:val="right"/>
              <w:rPr>
                <w:color w:val="000000"/>
                <w:sz w:val="20"/>
                <w:szCs w:val="20"/>
              </w:rPr>
            </w:pPr>
            <w:r w:rsidRPr="00416D67">
              <w:rPr>
                <w:color w:val="000000"/>
                <w:sz w:val="20"/>
                <w:szCs w:val="20"/>
              </w:rPr>
              <w:t>0,00</w:t>
            </w:r>
          </w:p>
        </w:tc>
        <w:tc>
          <w:tcPr>
            <w:tcW w:w="1660" w:type="dxa"/>
            <w:tcBorders>
              <w:top w:val="nil"/>
              <w:left w:val="nil"/>
              <w:bottom w:val="single" w:sz="4" w:space="0" w:color="auto"/>
              <w:right w:val="single" w:sz="4" w:space="0" w:color="auto"/>
            </w:tcBorders>
            <w:noWrap/>
            <w:vAlign w:val="center"/>
            <w:hideMark/>
          </w:tcPr>
          <w:p w14:paraId="32C88281" w14:textId="77777777" w:rsidR="00416D67" w:rsidRPr="00416D67" w:rsidRDefault="00416D67" w:rsidP="00416D67">
            <w:pPr>
              <w:jc w:val="right"/>
              <w:rPr>
                <w:color w:val="000000"/>
                <w:sz w:val="20"/>
                <w:szCs w:val="20"/>
              </w:rPr>
            </w:pPr>
            <w:r w:rsidRPr="00416D67">
              <w:rPr>
                <w:color w:val="000000"/>
                <w:sz w:val="20"/>
                <w:szCs w:val="20"/>
              </w:rPr>
              <w:t>0,00%</w:t>
            </w:r>
          </w:p>
        </w:tc>
      </w:tr>
    </w:tbl>
    <w:p w14:paraId="1F88106C" w14:textId="77777777" w:rsidR="00416D67" w:rsidRPr="00416D67" w:rsidRDefault="00416D67" w:rsidP="00416D67">
      <w:pPr>
        <w:ind w:firstLine="708"/>
        <w:jc w:val="both"/>
      </w:pPr>
    </w:p>
    <w:p w14:paraId="41EAC106" w14:textId="77777777" w:rsidR="00416D67" w:rsidRPr="00416D67" w:rsidRDefault="00416D67" w:rsidP="00416D67">
      <w:pPr>
        <w:ind w:firstLine="708"/>
        <w:jc w:val="both"/>
      </w:pPr>
      <w:r w:rsidRPr="00416D67">
        <w:t xml:space="preserve">Do povećanja izdvajanja došlo je radi povećanja osnovice za plaće nastavnika u produženom boravku. Istarska županija sufinancira troškove nastavnika produženog boravka sa 50% </w:t>
      </w:r>
    </w:p>
    <w:p w14:paraId="65FBC916" w14:textId="77777777" w:rsidR="00416D67" w:rsidRPr="00416D67" w:rsidRDefault="00416D67" w:rsidP="00416D67">
      <w:pPr>
        <w:ind w:firstLine="708"/>
        <w:jc w:val="both"/>
      </w:pPr>
      <w:r w:rsidRPr="00416D67">
        <w:t>Mjesečni iznos izdvajanja po djetetu kod sufinanciranja boravka u ostalim školama nije se mijenjao u odnosu na prethodnu godinu.</w:t>
      </w:r>
    </w:p>
    <w:p w14:paraId="075E3CE5" w14:textId="77777777" w:rsidR="00416D67" w:rsidRPr="00416D67" w:rsidRDefault="00416D67" w:rsidP="00416D67">
      <w:pPr>
        <w:ind w:firstLine="708"/>
        <w:jc w:val="both"/>
      </w:pPr>
      <w:r w:rsidRPr="00416D67">
        <w:t xml:space="preserve">Kapitalni projekt sufinanciranje izgradnje i rekonstrukcije OŠ i školske sportske dvorane u </w:t>
      </w:r>
      <w:proofErr w:type="spellStart"/>
      <w:r w:rsidRPr="00416D67">
        <w:t>Marčani</w:t>
      </w:r>
      <w:proofErr w:type="spellEnd"/>
      <w:r w:rsidRPr="00416D67">
        <w:t xml:space="preserve"> realizirati će se tijekom 2026/2027  godine.</w:t>
      </w:r>
    </w:p>
    <w:p w14:paraId="4552BFE2" w14:textId="77777777" w:rsidR="00416D67" w:rsidRPr="00416D67" w:rsidRDefault="00416D67" w:rsidP="00416D67">
      <w:pPr>
        <w:ind w:firstLine="708"/>
        <w:jc w:val="both"/>
      </w:pPr>
    </w:p>
    <w:p w14:paraId="12981EC4" w14:textId="77777777" w:rsidR="00416D67" w:rsidRPr="00416D67" w:rsidRDefault="00416D67" w:rsidP="00416D67">
      <w:pPr>
        <w:ind w:firstLine="708"/>
        <w:jc w:val="both"/>
      </w:pPr>
    </w:p>
    <w:p w14:paraId="70E0FAA0" w14:textId="77777777" w:rsidR="00416D67" w:rsidRPr="00416D67" w:rsidRDefault="00416D67" w:rsidP="00416D67">
      <w:pPr>
        <w:ind w:firstLine="708"/>
        <w:jc w:val="both"/>
      </w:pPr>
    </w:p>
    <w:p w14:paraId="01FBB986" w14:textId="77777777" w:rsidR="00416D67" w:rsidRPr="00416D67" w:rsidRDefault="00416D67" w:rsidP="00416D67">
      <w:pPr>
        <w:ind w:firstLine="708"/>
        <w:jc w:val="both"/>
      </w:pPr>
    </w:p>
    <w:p w14:paraId="310904A6" w14:textId="77777777" w:rsidR="00416D67" w:rsidRPr="00416D67" w:rsidRDefault="00416D67" w:rsidP="00416D67">
      <w:pPr>
        <w:ind w:firstLine="708"/>
        <w:jc w:val="both"/>
      </w:pPr>
    </w:p>
    <w:p w14:paraId="42042C46" w14:textId="77777777" w:rsidR="00416D67" w:rsidRPr="00416D67" w:rsidRDefault="00416D67" w:rsidP="00416D67">
      <w:pPr>
        <w:ind w:firstLine="708"/>
        <w:jc w:val="both"/>
      </w:pPr>
    </w:p>
    <w:p w14:paraId="35234D5A" w14:textId="77777777" w:rsidR="00416D67" w:rsidRPr="00416D67" w:rsidRDefault="00416D67" w:rsidP="00416D67">
      <w:pPr>
        <w:ind w:firstLine="708"/>
        <w:jc w:val="both"/>
      </w:pPr>
    </w:p>
    <w:p w14:paraId="265B39F5" w14:textId="77777777" w:rsidR="00416D67" w:rsidRPr="00416D67" w:rsidRDefault="00416D67" w:rsidP="00416D67">
      <w:pPr>
        <w:ind w:firstLine="708"/>
        <w:jc w:val="both"/>
      </w:pPr>
    </w:p>
    <w:p w14:paraId="14CB31B1" w14:textId="77777777" w:rsidR="00416D67" w:rsidRPr="00416D67" w:rsidRDefault="00416D67" w:rsidP="00416D67">
      <w:pPr>
        <w:ind w:firstLine="708"/>
        <w:jc w:val="both"/>
      </w:pPr>
    </w:p>
    <w:p w14:paraId="523E03EE" w14:textId="77777777" w:rsidR="00416D67" w:rsidRPr="00416D67" w:rsidRDefault="00416D67" w:rsidP="00416D67">
      <w:pPr>
        <w:ind w:firstLine="708"/>
        <w:jc w:val="both"/>
      </w:pPr>
    </w:p>
    <w:p w14:paraId="302996E1" w14:textId="77777777" w:rsidR="00416D67" w:rsidRPr="00416D67" w:rsidRDefault="00416D67" w:rsidP="00416D67">
      <w:pPr>
        <w:ind w:firstLine="708"/>
        <w:jc w:val="both"/>
        <w:rPr>
          <w:b/>
        </w:rPr>
      </w:pPr>
      <w:r w:rsidRPr="00416D67">
        <w:rPr>
          <w:b/>
        </w:rPr>
        <w:t>Program javnih potreba u kulturi</w:t>
      </w:r>
    </w:p>
    <w:p w14:paraId="468E1246" w14:textId="77777777" w:rsidR="00416D67" w:rsidRPr="00416D67" w:rsidRDefault="00416D67" w:rsidP="00416D67">
      <w:pPr>
        <w:ind w:firstLine="708"/>
        <w:jc w:val="both"/>
      </w:pPr>
      <w:r w:rsidRPr="00416D67">
        <w:lastRenderedPageBreak/>
        <w:t>Program javnih potreba u kulturi ostvaren je u iznosu od 195.470,87 EUR (ostvarenje 2024.godina 121.845,14 EUR).</w:t>
      </w:r>
    </w:p>
    <w:p w14:paraId="535FEDC8" w14:textId="77777777" w:rsidR="00416D67" w:rsidRPr="00416D67" w:rsidRDefault="00416D67" w:rsidP="00416D67">
      <w:pPr>
        <w:ind w:firstLine="708"/>
        <w:jc w:val="both"/>
      </w:pPr>
      <w:r w:rsidRPr="00416D67">
        <w:t>Pregled ostvarenja 2025/2024. po aktivnostima:</w:t>
      </w:r>
    </w:p>
    <w:tbl>
      <w:tblPr>
        <w:tblW w:w="9840" w:type="dxa"/>
        <w:tblInd w:w="93" w:type="dxa"/>
        <w:tblLook w:val="04A0" w:firstRow="1" w:lastRow="0" w:firstColumn="1" w:lastColumn="0" w:noHBand="0" w:noVBand="1"/>
      </w:tblPr>
      <w:tblGrid>
        <w:gridCol w:w="961"/>
        <w:gridCol w:w="3165"/>
        <w:gridCol w:w="1660"/>
        <w:gridCol w:w="1440"/>
        <w:gridCol w:w="1420"/>
        <w:gridCol w:w="1300"/>
      </w:tblGrid>
      <w:tr w:rsidR="00416D67" w:rsidRPr="00416D67" w14:paraId="74E3BB89" w14:textId="77777777" w:rsidTr="00BB1392">
        <w:trPr>
          <w:trHeight w:val="300"/>
        </w:trPr>
        <w:tc>
          <w:tcPr>
            <w:tcW w:w="4020" w:type="dxa"/>
            <w:gridSpan w:val="2"/>
            <w:tcBorders>
              <w:top w:val="single" w:sz="4" w:space="0" w:color="auto"/>
              <w:left w:val="single" w:sz="4" w:space="0" w:color="auto"/>
              <w:bottom w:val="single" w:sz="4" w:space="0" w:color="auto"/>
              <w:right w:val="single" w:sz="4" w:space="0" w:color="auto"/>
            </w:tcBorders>
            <w:noWrap/>
            <w:vAlign w:val="center"/>
            <w:hideMark/>
          </w:tcPr>
          <w:p w14:paraId="2231F025" w14:textId="77777777" w:rsidR="00416D67" w:rsidRPr="00416D67" w:rsidRDefault="00416D67" w:rsidP="00416D67">
            <w:pPr>
              <w:jc w:val="center"/>
              <w:rPr>
                <w:color w:val="000000"/>
                <w:sz w:val="20"/>
                <w:szCs w:val="20"/>
              </w:rPr>
            </w:pPr>
            <w:r w:rsidRPr="00416D67">
              <w:rPr>
                <w:color w:val="000000"/>
                <w:sz w:val="20"/>
                <w:szCs w:val="20"/>
              </w:rPr>
              <w:t>Brojčana oznaka / naziv aktivnosti</w:t>
            </w:r>
          </w:p>
        </w:tc>
        <w:tc>
          <w:tcPr>
            <w:tcW w:w="1660" w:type="dxa"/>
            <w:tcBorders>
              <w:top w:val="single" w:sz="4" w:space="0" w:color="auto"/>
              <w:left w:val="nil"/>
              <w:bottom w:val="single" w:sz="4" w:space="0" w:color="auto"/>
              <w:right w:val="single" w:sz="4" w:space="0" w:color="auto"/>
            </w:tcBorders>
            <w:noWrap/>
            <w:vAlign w:val="center"/>
            <w:hideMark/>
          </w:tcPr>
          <w:p w14:paraId="70D670CA" w14:textId="77777777" w:rsidR="00416D67" w:rsidRPr="00416D67" w:rsidRDefault="00416D67" w:rsidP="00416D67">
            <w:pPr>
              <w:jc w:val="center"/>
              <w:rPr>
                <w:color w:val="000000"/>
                <w:sz w:val="20"/>
                <w:szCs w:val="20"/>
              </w:rPr>
            </w:pPr>
            <w:r w:rsidRPr="00416D67">
              <w:rPr>
                <w:color w:val="000000"/>
                <w:sz w:val="20"/>
                <w:szCs w:val="20"/>
              </w:rPr>
              <w:t>Ostvarenje 2024.</w:t>
            </w:r>
          </w:p>
        </w:tc>
        <w:tc>
          <w:tcPr>
            <w:tcW w:w="1440" w:type="dxa"/>
            <w:tcBorders>
              <w:top w:val="single" w:sz="4" w:space="0" w:color="auto"/>
              <w:left w:val="nil"/>
              <w:bottom w:val="single" w:sz="4" w:space="0" w:color="auto"/>
              <w:right w:val="single" w:sz="4" w:space="0" w:color="auto"/>
            </w:tcBorders>
            <w:noWrap/>
            <w:vAlign w:val="center"/>
            <w:hideMark/>
          </w:tcPr>
          <w:p w14:paraId="6DB1DBCF" w14:textId="77777777" w:rsidR="00416D67" w:rsidRPr="00416D67" w:rsidRDefault="00416D67" w:rsidP="00416D67">
            <w:pPr>
              <w:jc w:val="center"/>
              <w:rPr>
                <w:color w:val="000000"/>
                <w:sz w:val="20"/>
                <w:szCs w:val="20"/>
              </w:rPr>
            </w:pPr>
            <w:r w:rsidRPr="00416D67">
              <w:rPr>
                <w:color w:val="000000"/>
                <w:sz w:val="20"/>
                <w:szCs w:val="20"/>
              </w:rPr>
              <w:t>Plan 2025.</w:t>
            </w:r>
          </w:p>
        </w:tc>
        <w:tc>
          <w:tcPr>
            <w:tcW w:w="1420" w:type="dxa"/>
            <w:tcBorders>
              <w:top w:val="single" w:sz="4" w:space="0" w:color="auto"/>
              <w:left w:val="nil"/>
              <w:bottom w:val="single" w:sz="4" w:space="0" w:color="auto"/>
              <w:right w:val="single" w:sz="4" w:space="0" w:color="auto"/>
            </w:tcBorders>
            <w:noWrap/>
            <w:vAlign w:val="center"/>
            <w:hideMark/>
          </w:tcPr>
          <w:p w14:paraId="5B4A79BA" w14:textId="77777777" w:rsidR="00416D67" w:rsidRPr="00416D67" w:rsidRDefault="00416D67" w:rsidP="00416D67">
            <w:pPr>
              <w:jc w:val="center"/>
              <w:rPr>
                <w:color w:val="000000"/>
                <w:sz w:val="20"/>
                <w:szCs w:val="20"/>
              </w:rPr>
            </w:pPr>
            <w:r w:rsidRPr="00416D67">
              <w:rPr>
                <w:color w:val="000000"/>
                <w:sz w:val="20"/>
                <w:szCs w:val="20"/>
              </w:rPr>
              <w:t>Ostvarenje 2025.</w:t>
            </w:r>
          </w:p>
        </w:tc>
        <w:tc>
          <w:tcPr>
            <w:tcW w:w="1300" w:type="dxa"/>
            <w:tcBorders>
              <w:top w:val="single" w:sz="4" w:space="0" w:color="auto"/>
              <w:left w:val="nil"/>
              <w:bottom w:val="single" w:sz="4" w:space="0" w:color="auto"/>
              <w:right w:val="single" w:sz="4" w:space="0" w:color="auto"/>
            </w:tcBorders>
            <w:noWrap/>
            <w:vAlign w:val="center"/>
            <w:hideMark/>
          </w:tcPr>
          <w:p w14:paraId="532CB334" w14:textId="77777777" w:rsidR="00416D67" w:rsidRPr="00416D67" w:rsidRDefault="00416D67" w:rsidP="00416D67">
            <w:pPr>
              <w:jc w:val="center"/>
              <w:rPr>
                <w:color w:val="000000"/>
                <w:sz w:val="20"/>
                <w:szCs w:val="20"/>
              </w:rPr>
            </w:pPr>
            <w:r w:rsidRPr="00416D67">
              <w:rPr>
                <w:color w:val="000000"/>
                <w:sz w:val="20"/>
                <w:szCs w:val="20"/>
              </w:rPr>
              <w:t>Indeks 25/24</w:t>
            </w:r>
          </w:p>
        </w:tc>
      </w:tr>
      <w:tr w:rsidR="00416D67" w:rsidRPr="00416D67" w14:paraId="4678F577" w14:textId="77777777" w:rsidTr="00BB1392">
        <w:trPr>
          <w:trHeight w:val="300"/>
        </w:trPr>
        <w:tc>
          <w:tcPr>
            <w:tcW w:w="4020"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9E7B51" w14:textId="77777777" w:rsidR="00416D67" w:rsidRPr="00416D67" w:rsidRDefault="00416D67" w:rsidP="00416D67">
            <w:pPr>
              <w:rPr>
                <w:b/>
                <w:bCs/>
                <w:color w:val="000000"/>
                <w:sz w:val="20"/>
                <w:szCs w:val="20"/>
              </w:rPr>
            </w:pPr>
            <w:r w:rsidRPr="00416D67">
              <w:rPr>
                <w:b/>
                <w:bCs/>
                <w:color w:val="000000"/>
                <w:sz w:val="20"/>
                <w:szCs w:val="20"/>
              </w:rPr>
              <w:t>Ukupno</w:t>
            </w:r>
          </w:p>
        </w:tc>
        <w:tc>
          <w:tcPr>
            <w:tcW w:w="1660" w:type="dxa"/>
            <w:tcBorders>
              <w:top w:val="nil"/>
              <w:left w:val="nil"/>
              <w:bottom w:val="single" w:sz="4" w:space="0" w:color="auto"/>
              <w:right w:val="single" w:sz="4" w:space="0" w:color="auto"/>
            </w:tcBorders>
            <w:shd w:val="clear" w:color="000000" w:fill="FFFFFF"/>
            <w:noWrap/>
            <w:vAlign w:val="center"/>
            <w:hideMark/>
          </w:tcPr>
          <w:p w14:paraId="5DEDB8B4" w14:textId="77777777" w:rsidR="00416D67" w:rsidRPr="00416D67" w:rsidRDefault="00416D67" w:rsidP="00416D67">
            <w:pPr>
              <w:jc w:val="right"/>
              <w:rPr>
                <w:b/>
                <w:bCs/>
                <w:color w:val="000000"/>
                <w:sz w:val="20"/>
                <w:szCs w:val="20"/>
              </w:rPr>
            </w:pPr>
            <w:r w:rsidRPr="00416D67">
              <w:rPr>
                <w:b/>
                <w:bCs/>
                <w:color w:val="000000"/>
                <w:sz w:val="20"/>
                <w:szCs w:val="20"/>
              </w:rPr>
              <w:t>121.845,14</w:t>
            </w:r>
          </w:p>
        </w:tc>
        <w:tc>
          <w:tcPr>
            <w:tcW w:w="1440" w:type="dxa"/>
            <w:tcBorders>
              <w:top w:val="nil"/>
              <w:left w:val="nil"/>
              <w:bottom w:val="single" w:sz="4" w:space="0" w:color="auto"/>
              <w:right w:val="single" w:sz="4" w:space="0" w:color="auto"/>
            </w:tcBorders>
            <w:shd w:val="clear" w:color="000000" w:fill="FFFFFF"/>
            <w:noWrap/>
            <w:vAlign w:val="center"/>
            <w:hideMark/>
          </w:tcPr>
          <w:p w14:paraId="03D3A8E9" w14:textId="77777777" w:rsidR="00416D67" w:rsidRPr="00416D67" w:rsidRDefault="00416D67" w:rsidP="00416D67">
            <w:pPr>
              <w:jc w:val="right"/>
              <w:rPr>
                <w:b/>
                <w:bCs/>
                <w:color w:val="000000"/>
                <w:sz w:val="20"/>
                <w:szCs w:val="20"/>
              </w:rPr>
            </w:pPr>
            <w:r w:rsidRPr="00416D67">
              <w:rPr>
                <w:b/>
                <w:bCs/>
                <w:color w:val="000000"/>
                <w:sz w:val="20"/>
                <w:szCs w:val="20"/>
              </w:rPr>
              <w:t>209.652,39</w:t>
            </w:r>
          </w:p>
        </w:tc>
        <w:tc>
          <w:tcPr>
            <w:tcW w:w="1420" w:type="dxa"/>
            <w:tcBorders>
              <w:top w:val="nil"/>
              <w:left w:val="nil"/>
              <w:bottom w:val="single" w:sz="4" w:space="0" w:color="auto"/>
              <w:right w:val="single" w:sz="4" w:space="0" w:color="auto"/>
            </w:tcBorders>
            <w:shd w:val="clear" w:color="000000" w:fill="FFFFFF"/>
            <w:noWrap/>
            <w:vAlign w:val="center"/>
            <w:hideMark/>
          </w:tcPr>
          <w:p w14:paraId="6A03AC1D" w14:textId="77777777" w:rsidR="00416D67" w:rsidRPr="00416D67" w:rsidRDefault="00416D67" w:rsidP="00416D67">
            <w:pPr>
              <w:jc w:val="right"/>
              <w:rPr>
                <w:b/>
                <w:bCs/>
                <w:color w:val="000000"/>
                <w:sz w:val="20"/>
                <w:szCs w:val="20"/>
              </w:rPr>
            </w:pPr>
            <w:r w:rsidRPr="00416D67">
              <w:rPr>
                <w:b/>
                <w:bCs/>
                <w:color w:val="000000"/>
                <w:sz w:val="20"/>
                <w:szCs w:val="20"/>
              </w:rPr>
              <w:t>195.470,87</w:t>
            </w:r>
          </w:p>
        </w:tc>
        <w:tc>
          <w:tcPr>
            <w:tcW w:w="1300" w:type="dxa"/>
            <w:tcBorders>
              <w:top w:val="nil"/>
              <w:left w:val="nil"/>
              <w:bottom w:val="single" w:sz="4" w:space="0" w:color="auto"/>
              <w:right w:val="single" w:sz="4" w:space="0" w:color="auto"/>
            </w:tcBorders>
            <w:noWrap/>
            <w:vAlign w:val="center"/>
            <w:hideMark/>
          </w:tcPr>
          <w:p w14:paraId="29EEBA97" w14:textId="77777777" w:rsidR="00416D67" w:rsidRPr="00416D67" w:rsidRDefault="00416D67" w:rsidP="00416D67">
            <w:pPr>
              <w:jc w:val="right"/>
              <w:rPr>
                <w:b/>
                <w:bCs/>
                <w:color w:val="000000"/>
                <w:sz w:val="20"/>
                <w:szCs w:val="20"/>
              </w:rPr>
            </w:pPr>
            <w:r w:rsidRPr="00416D67">
              <w:rPr>
                <w:b/>
                <w:bCs/>
                <w:color w:val="000000"/>
                <w:sz w:val="20"/>
                <w:szCs w:val="20"/>
              </w:rPr>
              <w:t>160,43%</w:t>
            </w:r>
          </w:p>
        </w:tc>
      </w:tr>
      <w:tr w:rsidR="00416D67" w:rsidRPr="00416D67" w14:paraId="796C1FFD" w14:textId="77777777" w:rsidTr="00BB1392">
        <w:trPr>
          <w:trHeight w:val="510"/>
        </w:trPr>
        <w:tc>
          <w:tcPr>
            <w:tcW w:w="855" w:type="dxa"/>
            <w:tcBorders>
              <w:top w:val="nil"/>
              <w:left w:val="single" w:sz="4" w:space="0" w:color="auto"/>
              <w:bottom w:val="single" w:sz="4" w:space="0" w:color="auto"/>
              <w:right w:val="single" w:sz="4" w:space="0" w:color="auto"/>
            </w:tcBorders>
            <w:shd w:val="clear" w:color="000000" w:fill="FFFFFF"/>
            <w:noWrap/>
            <w:vAlign w:val="center"/>
            <w:hideMark/>
          </w:tcPr>
          <w:p w14:paraId="296DC26E" w14:textId="77777777" w:rsidR="00416D67" w:rsidRPr="00416D67" w:rsidRDefault="00416D67" w:rsidP="00416D67">
            <w:pPr>
              <w:rPr>
                <w:color w:val="000000"/>
                <w:sz w:val="20"/>
                <w:szCs w:val="20"/>
              </w:rPr>
            </w:pPr>
            <w:r w:rsidRPr="00416D67">
              <w:rPr>
                <w:color w:val="000000"/>
                <w:sz w:val="20"/>
                <w:szCs w:val="20"/>
              </w:rPr>
              <w:t>A100001</w:t>
            </w:r>
          </w:p>
        </w:tc>
        <w:tc>
          <w:tcPr>
            <w:tcW w:w="3165" w:type="dxa"/>
            <w:tcBorders>
              <w:top w:val="nil"/>
              <w:left w:val="nil"/>
              <w:bottom w:val="single" w:sz="4" w:space="0" w:color="auto"/>
              <w:right w:val="single" w:sz="4" w:space="0" w:color="auto"/>
            </w:tcBorders>
            <w:shd w:val="clear" w:color="000000" w:fill="FFFFFF"/>
            <w:vAlign w:val="center"/>
            <w:hideMark/>
          </w:tcPr>
          <w:p w14:paraId="72C8B486" w14:textId="77777777" w:rsidR="00416D67" w:rsidRPr="00416D67" w:rsidRDefault="00416D67" w:rsidP="00416D67">
            <w:pPr>
              <w:rPr>
                <w:color w:val="000000"/>
                <w:sz w:val="20"/>
                <w:szCs w:val="20"/>
              </w:rPr>
            </w:pPr>
            <w:r w:rsidRPr="00416D67">
              <w:rPr>
                <w:color w:val="000000"/>
                <w:sz w:val="20"/>
                <w:szCs w:val="20"/>
              </w:rPr>
              <w:t>Financiranje programa i projekata udruga u kulturi</w:t>
            </w:r>
          </w:p>
        </w:tc>
        <w:tc>
          <w:tcPr>
            <w:tcW w:w="1660" w:type="dxa"/>
            <w:tcBorders>
              <w:top w:val="nil"/>
              <w:left w:val="nil"/>
              <w:bottom w:val="single" w:sz="4" w:space="0" w:color="auto"/>
              <w:right w:val="single" w:sz="4" w:space="0" w:color="auto"/>
            </w:tcBorders>
            <w:shd w:val="clear" w:color="000000" w:fill="FFFFFF"/>
            <w:noWrap/>
            <w:vAlign w:val="center"/>
            <w:hideMark/>
          </w:tcPr>
          <w:p w14:paraId="18C26C39" w14:textId="77777777" w:rsidR="00416D67" w:rsidRPr="00416D67" w:rsidRDefault="00416D67" w:rsidP="00416D67">
            <w:pPr>
              <w:jc w:val="right"/>
              <w:rPr>
                <w:color w:val="000000"/>
                <w:sz w:val="20"/>
                <w:szCs w:val="20"/>
              </w:rPr>
            </w:pPr>
            <w:r w:rsidRPr="00416D67">
              <w:rPr>
                <w:color w:val="000000"/>
                <w:sz w:val="20"/>
                <w:szCs w:val="20"/>
              </w:rPr>
              <w:t>13.000,00</w:t>
            </w:r>
          </w:p>
        </w:tc>
        <w:tc>
          <w:tcPr>
            <w:tcW w:w="1440" w:type="dxa"/>
            <w:tcBorders>
              <w:top w:val="nil"/>
              <w:left w:val="nil"/>
              <w:bottom w:val="single" w:sz="4" w:space="0" w:color="auto"/>
              <w:right w:val="single" w:sz="4" w:space="0" w:color="auto"/>
            </w:tcBorders>
            <w:shd w:val="clear" w:color="000000" w:fill="FFFFFF"/>
            <w:noWrap/>
            <w:vAlign w:val="center"/>
            <w:hideMark/>
          </w:tcPr>
          <w:p w14:paraId="75BE7DC7" w14:textId="77777777" w:rsidR="00416D67" w:rsidRPr="00416D67" w:rsidRDefault="00416D67" w:rsidP="00416D67">
            <w:pPr>
              <w:jc w:val="right"/>
              <w:rPr>
                <w:color w:val="000000"/>
                <w:sz w:val="20"/>
                <w:szCs w:val="20"/>
              </w:rPr>
            </w:pPr>
            <w:r w:rsidRPr="00416D67">
              <w:rPr>
                <w:color w:val="000000"/>
                <w:sz w:val="20"/>
                <w:szCs w:val="20"/>
              </w:rPr>
              <w:t>16.000,00</w:t>
            </w:r>
          </w:p>
        </w:tc>
        <w:tc>
          <w:tcPr>
            <w:tcW w:w="1420" w:type="dxa"/>
            <w:tcBorders>
              <w:top w:val="nil"/>
              <w:left w:val="nil"/>
              <w:bottom w:val="single" w:sz="4" w:space="0" w:color="auto"/>
              <w:right w:val="single" w:sz="4" w:space="0" w:color="auto"/>
            </w:tcBorders>
            <w:shd w:val="clear" w:color="000000" w:fill="FFFFFF"/>
            <w:noWrap/>
            <w:vAlign w:val="center"/>
            <w:hideMark/>
          </w:tcPr>
          <w:p w14:paraId="27EC288A" w14:textId="77777777" w:rsidR="00416D67" w:rsidRPr="00416D67" w:rsidRDefault="00416D67" w:rsidP="00416D67">
            <w:pPr>
              <w:jc w:val="right"/>
              <w:rPr>
                <w:color w:val="000000"/>
                <w:sz w:val="20"/>
                <w:szCs w:val="20"/>
              </w:rPr>
            </w:pPr>
            <w:r w:rsidRPr="00416D67">
              <w:rPr>
                <w:color w:val="000000"/>
                <w:sz w:val="20"/>
                <w:szCs w:val="20"/>
              </w:rPr>
              <w:t>16.000,00</w:t>
            </w:r>
          </w:p>
        </w:tc>
        <w:tc>
          <w:tcPr>
            <w:tcW w:w="1300" w:type="dxa"/>
            <w:tcBorders>
              <w:top w:val="nil"/>
              <w:left w:val="nil"/>
              <w:bottom w:val="single" w:sz="4" w:space="0" w:color="auto"/>
              <w:right w:val="single" w:sz="4" w:space="0" w:color="auto"/>
            </w:tcBorders>
            <w:noWrap/>
            <w:vAlign w:val="center"/>
            <w:hideMark/>
          </w:tcPr>
          <w:p w14:paraId="29DC09AE" w14:textId="77777777" w:rsidR="00416D67" w:rsidRPr="00416D67" w:rsidRDefault="00416D67" w:rsidP="00416D67">
            <w:pPr>
              <w:jc w:val="right"/>
              <w:rPr>
                <w:color w:val="000000"/>
                <w:sz w:val="20"/>
                <w:szCs w:val="20"/>
              </w:rPr>
            </w:pPr>
            <w:r w:rsidRPr="00416D67">
              <w:rPr>
                <w:color w:val="000000"/>
                <w:sz w:val="20"/>
                <w:szCs w:val="20"/>
              </w:rPr>
              <w:t>123,08%</w:t>
            </w:r>
          </w:p>
        </w:tc>
      </w:tr>
      <w:tr w:rsidR="00416D67" w:rsidRPr="00416D67" w14:paraId="5BB00DAC" w14:textId="77777777" w:rsidTr="00BB1392">
        <w:trPr>
          <w:trHeight w:val="300"/>
        </w:trPr>
        <w:tc>
          <w:tcPr>
            <w:tcW w:w="855" w:type="dxa"/>
            <w:tcBorders>
              <w:top w:val="nil"/>
              <w:left w:val="single" w:sz="4" w:space="0" w:color="auto"/>
              <w:bottom w:val="single" w:sz="4" w:space="0" w:color="auto"/>
              <w:right w:val="single" w:sz="4" w:space="0" w:color="auto"/>
            </w:tcBorders>
            <w:shd w:val="clear" w:color="000000" w:fill="FFFFFF"/>
            <w:noWrap/>
            <w:vAlign w:val="center"/>
            <w:hideMark/>
          </w:tcPr>
          <w:p w14:paraId="44142D90" w14:textId="77777777" w:rsidR="00416D67" w:rsidRPr="00416D67" w:rsidRDefault="00416D67" w:rsidP="00416D67">
            <w:pPr>
              <w:rPr>
                <w:color w:val="000000"/>
                <w:sz w:val="20"/>
                <w:szCs w:val="20"/>
              </w:rPr>
            </w:pPr>
            <w:r w:rsidRPr="00416D67">
              <w:rPr>
                <w:color w:val="000000"/>
                <w:sz w:val="20"/>
                <w:szCs w:val="20"/>
              </w:rPr>
              <w:t>A100004</w:t>
            </w:r>
          </w:p>
        </w:tc>
        <w:tc>
          <w:tcPr>
            <w:tcW w:w="3165" w:type="dxa"/>
            <w:tcBorders>
              <w:top w:val="nil"/>
              <w:left w:val="nil"/>
              <w:bottom w:val="single" w:sz="4" w:space="0" w:color="auto"/>
              <w:right w:val="single" w:sz="4" w:space="0" w:color="auto"/>
            </w:tcBorders>
            <w:shd w:val="clear" w:color="000000" w:fill="FFFFFF"/>
            <w:noWrap/>
            <w:vAlign w:val="center"/>
            <w:hideMark/>
          </w:tcPr>
          <w:p w14:paraId="5524C281" w14:textId="77777777" w:rsidR="00416D67" w:rsidRPr="00416D67" w:rsidRDefault="00416D67" w:rsidP="00416D67">
            <w:pPr>
              <w:rPr>
                <w:color w:val="000000"/>
                <w:sz w:val="20"/>
                <w:szCs w:val="20"/>
              </w:rPr>
            </w:pPr>
            <w:r w:rsidRPr="00416D67">
              <w:rPr>
                <w:color w:val="000000"/>
                <w:sz w:val="20"/>
                <w:szCs w:val="20"/>
              </w:rPr>
              <w:t>Obilježavanje dana starijih osoba</w:t>
            </w:r>
          </w:p>
        </w:tc>
        <w:tc>
          <w:tcPr>
            <w:tcW w:w="1660" w:type="dxa"/>
            <w:tcBorders>
              <w:top w:val="nil"/>
              <w:left w:val="nil"/>
              <w:bottom w:val="single" w:sz="4" w:space="0" w:color="auto"/>
              <w:right w:val="single" w:sz="4" w:space="0" w:color="auto"/>
            </w:tcBorders>
            <w:shd w:val="clear" w:color="000000" w:fill="FFFFFF"/>
            <w:noWrap/>
            <w:vAlign w:val="center"/>
            <w:hideMark/>
          </w:tcPr>
          <w:p w14:paraId="7E46BCDB" w14:textId="77777777" w:rsidR="00416D67" w:rsidRPr="00416D67" w:rsidRDefault="00416D67" w:rsidP="00416D67">
            <w:pPr>
              <w:jc w:val="right"/>
              <w:rPr>
                <w:color w:val="000000"/>
                <w:sz w:val="20"/>
                <w:szCs w:val="20"/>
              </w:rPr>
            </w:pPr>
            <w:r w:rsidRPr="00416D67">
              <w:rPr>
                <w:color w:val="000000"/>
                <w:sz w:val="20"/>
                <w:szCs w:val="20"/>
              </w:rPr>
              <w:t>372,34</w:t>
            </w:r>
          </w:p>
        </w:tc>
        <w:tc>
          <w:tcPr>
            <w:tcW w:w="1440" w:type="dxa"/>
            <w:tcBorders>
              <w:top w:val="nil"/>
              <w:left w:val="nil"/>
              <w:bottom w:val="single" w:sz="4" w:space="0" w:color="auto"/>
              <w:right w:val="single" w:sz="4" w:space="0" w:color="auto"/>
            </w:tcBorders>
            <w:shd w:val="clear" w:color="000000" w:fill="FFFFFF"/>
            <w:noWrap/>
            <w:vAlign w:val="center"/>
            <w:hideMark/>
          </w:tcPr>
          <w:p w14:paraId="7AC81045" w14:textId="77777777" w:rsidR="00416D67" w:rsidRPr="00416D67" w:rsidRDefault="00416D67" w:rsidP="00416D67">
            <w:pPr>
              <w:jc w:val="right"/>
              <w:rPr>
                <w:color w:val="000000"/>
                <w:sz w:val="20"/>
                <w:szCs w:val="20"/>
              </w:rPr>
            </w:pPr>
            <w:r w:rsidRPr="00416D67">
              <w:rPr>
                <w:color w:val="000000"/>
                <w:sz w:val="20"/>
                <w:szCs w:val="20"/>
              </w:rPr>
              <w:t>500,00</w:t>
            </w:r>
          </w:p>
        </w:tc>
        <w:tc>
          <w:tcPr>
            <w:tcW w:w="1420" w:type="dxa"/>
            <w:tcBorders>
              <w:top w:val="nil"/>
              <w:left w:val="nil"/>
              <w:bottom w:val="single" w:sz="4" w:space="0" w:color="auto"/>
              <w:right w:val="single" w:sz="4" w:space="0" w:color="auto"/>
            </w:tcBorders>
            <w:shd w:val="clear" w:color="000000" w:fill="FFFFFF"/>
            <w:noWrap/>
            <w:vAlign w:val="center"/>
            <w:hideMark/>
          </w:tcPr>
          <w:p w14:paraId="68252ADD" w14:textId="77777777" w:rsidR="00416D67" w:rsidRPr="00416D67" w:rsidRDefault="00416D67" w:rsidP="00416D67">
            <w:pPr>
              <w:jc w:val="right"/>
              <w:rPr>
                <w:color w:val="000000"/>
                <w:sz w:val="20"/>
                <w:szCs w:val="20"/>
              </w:rPr>
            </w:pPr>
            <w:r w:rsidRPr="00416D67">
              <w:rPr>
                <w:color w:val="000000"/>
                <w:sz w:val="20"/>
                <w:szCs w:val="20"/>
              </w:rPr>
              <w:t>0,00</w:t>
            </w:r>
          </w:p>
        </w:tc>
        <w:tc>
          <w:tcPr>
            <w:tcW w:w="1300" w:type="dxa"/>
            <w:tcBorders>
              <w:top w:val="nil"/>
              <w:left w:val="nil"/>
              <w:bottom w:val="single" w:sz="4" w:space="0" w:color="auto"/>
              <w:right w:val="single" w:sz="4" w:space="0" w:color="auto"/>
            </w:tcBorders>
            <w:noWrap/>
            <w:vAlign w:val="center"/>
            <w:hideMark/>
          </w:tcPr>
          <w:p w14:paraId="74EA4D9A" w14:textId="77777777" w:rsidR="00416D67" w:rsidRPr="00416D67" w:rsidRDefault="00416D67" w:rsidP="00416D67">
            <w:pPr>
              <w:jc w:val="right"/>
              <w:rPr>
                <w:color w:val="000000"/>
                <w:sz w:val="20"/>
                <w:szCs w:val="20"/>
              </w:rPr>
            </w:pPr>
            <w:r w:rsidRPr="00416D67">
              <w:rPr>
                <w:color w:val="000000"/>
                <w:sz w:val="20"/>
                <w:szCs w:val="20"/>
              </w:rPr>
              <w:t>0,00%</w:t>
            </w:r>
          </w:p>
        </w:tc>
      </w:tr>
      <w:tr w:rsidR="00416D67" w:rsidRPr="00416D67" w14:paraId="6007364B" w14:textId="77777777" w:rsidTr="00BB1392">
        <w:trPr>
          <w:trHeight w:val="300"/>
        </w:trPr>
        <w:tc>
          <w:tcPr>
            <w:tcW w:w="855" w:type="dxa"/>
            <w:tcBorders>
              <w:top w:val="nil"/>
              <w:left w:val="single" w:sz="4" w:space="0" w:color="auto"/>
              <w:bottom w:val="single" w:sz="4" w:space="0" w:color="auto"/>
              <w:right w:val="single" w:sz="4" w:space="0" w:color="auto"/>
            </w:tcBorders>
            <w:shd w:val="clear" w:color="000000" w:fill="FFFFFF"/>
            <w:noWrap/>
            <w:vAlign w:val="center"/>
            <w:hideMark/>
          </w:tcPr>
          <w:p w14:paraId="0C095BB9" w14:textId="77777777" w:rsidR="00416D67" w:rsidRPr="00416D67" w:rsidRDefault="00416D67" w:rsidP="00416D67">
            <w:pPr>
              <w:rPr>
                <w:color w:val="000000"/>
                <w:sz w:val="20"/>
                <w:szCs w:val="20"/>
              </w:rPr>
            </w:pPr>
            <w:r w:rsidRPr="00416D67">
              <w:rPr>
                <w:color w:val="000000"/>
                <w:sz w:val="20"/>
                <w:szCs w:val="20"/>
              </w:rPr>
              <w:t>A100005</w:t>
            </w:r>
          </w:p>
        </w:tc>
        <w:tc>
          <w:tcPr>
            <w:tcW w:w="3165" w:type="dxa"/>
            <w:tcBorders>
              <w:top w:val="nil"/>
              <w:left w:val="nil"/>
              <w:bottom w:val="single" w:sz="4" w:space="0" w:color="auto"/>
              <w:right w:val="single" w:sz="4" w:space="0" w:color="auto"/>
            </w:tcBorders>
            <w:shd w:val="clear" w:color="000000" w:fill="FFFFFF"/>
            <w:noWrap/>
            <w:vAlign w:val="center"/>
            <w:hideMark/>
          </w:tcPr>
          <w:p w14:paraId="5E1092AF" w14:textId="77777777" w:rsidR="00416D67" w:rsidRPr="00416D67" w:rsidRDefault="00416D67" w:rsidP="00416D67">
            <w:pPr>
              <w:rPr>
                <w:color w:val="000000"/>
                <w:sz w:val="20"/>
                <w:szCs w:val="20"/>
              </w:rPr>
            </w:pPr>
            <w:proofErr w:type="spellStart"/>
            <w:r w:rsidRPr="00416D67">
              <w:rPr>
                <w:color w:val="000000"/>
                <w:sz w:val="20"/>
                <w:szCs w:val="20"/>
              </w:rPr>
              <w:t>Obiježavanje</w:t>
            </w:r>
            <w:proofErr w:type="spellEnd"/>
            <w:r w:rsidRPr="00416D67">
              <w:rPr>
                <w:color w:val="000000"/>
                <w:sz w:val="20"/>
                <w:szCs w:val="20"/>
              </w:rPr>
              <w:t xml:space="preserve"> djela Mije Mirkovića</w:t>
            </w:r>
          </w:p>
        </w:tc>
        <w:tc>
          <w:tcPr>
            <w:tcW w:w="1660" w:type="dxa"/>
            <w:tcBorders>
              <w:top w:val="nil"/>
              <w:left w:val="nil"/>
              <w:bottom w:val="single" w:sz="4" w:space="0" w:color="auto"/>
              <w:right w:val="single" w:sz="4" w:space="0" w:color="auto"/>
            </w:tcBorders>
            <w:shd w:val="clear" w:color="000000" w:fill="FFFFFF"/>
            <w:noWrap/>
            <w:vAlign w:val="center"/>
            <w:hideMark/>
          </w:tcPr>
          <w:p w14:paraId="3CD8328B" w14:textId="77777777" w:rsidR="00416D67" w:rsidRPr="00416D67" w:rsidRDefault="00416D67" w:rsidP="00416D67">
            <w:pPr>
              <w:jc w:val="right"/>
              <w:rPr>
                <w:color w:val="000000"/>
                <w:sz w:val="20"/>
                <w:szCs w:val="20"/>
              </w:rPr>
            </w:pPr>
            <w:r w:rsidRPr="00416D67">
              <w:rPr>
                <w:color w:val="000000"/>
                <w:sz w:val="20"/>
                <w:szCs w:val="20"/>
              </w:rPr>
              <w:t>4.562,71</w:t>
            </w:r>
          </w:p>
        </w:tc>
        <w:tc>
          <w:tcPr>
            <w:tcW w:w="1440" w:type="dxa"/>
            <w:tcBorders>
              <w:top w:val="nil"/>
              <w:left w:val="nil"/>
              <w:bottom w:val="single" w:sz="4" w:space="0" w:color="auto"/>
              <w:right w:val="single" w:sz="4" w:space="0" w:color="auto"/>
            </w:tcBorders>
            <w:shd w:val="clear" w:color="000000" w:fill="FFFFFF"/>
            <w:noWrap/>
            <w:vAlign w:val="center"/>
            <w:hideMark/>
          </w:tcPr>
          <w:p w14:paraId="4D17D8B6" w14:textId="77777777" w:rsidR="00416D67" w:rsidRPr="00416D67" w:rsidRDefault="00416D67" w:rsidP="00416D67">
            <w:pPr>
              <w:jc w:val="right"/>
              <w:rPr>
                <w:color w:val="000000"/>
                <w:sz w:val="20"/>
                <w:szCs w:val="20"/>
              </w:rPr>
            </w:pPr>
            <w:r w:rsidRPr="00416D67">
              <w:rPr>
                <w:color w:val="000000"/>
                <w:sz w:val="20"/>
                <w:szCs w:val="20"/>
              </w:rPr>
              <w:t>17.000,00</w:t>
            </w:r>
          </w:p>
        </w:tc>
        <w:tc>
          <w:tcPr>
            <w:tcW w:w="1420" w:type="dxa"/>
            <w:tcBorders>
              <w:top w:val="nil"/>
              <w:left w:val="nil"/>
              <w:bottom w:val="single" w:sz="4" w:space="0" w:color="auto"/>
              <w:right w:val="single" w:sz="4" w:space="0" w:color="auto"/>
            </w:tcBorders>
            <w:shd w:val="clear" w:color="000000" w:fill="FFFFFF"/>
            <w:noWrap/>
            <w:vAlign w:val="center"/>
            <w:hideMark/>
          </w:tcPr>
          <w:p w14:paraId="26E18C45" w14:textId="77777777" w:rsidR="00416D67" w:rsidRPr="00416D67" w:rsidRDefault="00416D67" w:rsidP="00416D67">
            <w:pPr>
              <w:jc w:val="right"/>
              <w:rPr>
                <w:color w:val="000000"/>
                <w:sz w:val="20"/>
                <w:szCs w:val="20"/>
              </w:rPr>
            </w:pPr>
            <w:r w:rsidRPr="00416D67">
              <w:rPr>
                <w:color w:val="000000"/>
                <w:sz w:val="20"/>
                <w:szCs w:val="20"/>
              </w:rPr>
              <w:t>9.772,38</w:t>
            </w:r>
          </w:p>
        </w:tc>
        <w:tc>
          <w:tcPr>
            <w:tcW w:w="1300" w:type="dxa"/>
            <w:tcBorders>
              <w:top w:val="nil"/>
              <w:left w:val="nil"/>
              <w:bottom w:val="single" w:sz="4" w:space="0" w:color="auto"/>
              <w:right w:val="single" w:sz="4" w:space="0" w:color="auto"/>
            </w:tcBorders>
            <w:noWrap/>
            <w:vAlign w:val="center"/>
            <w:hideMark/>
          </w:tcPr>
          <w:p w14:paraId="35CEF7DA" w14:textId="77777777" w:rsidR="00416D67" w:rsidRPr="00416D67" w:rsidRDefault="00416D67" w:rsidP="00416D67">
            <w:pPr>
              <w:jc w:val="right"/>
              <w:rPr>
                <w:color w:val="000000"/>
                <w:sz w:val="20"/>
                <w:szCs w:val="20"/>
              </w:rPr>
            </w:pPr>
            <w:r w:rsidRPr="00416D67">
              <w:rPr>
                <w:color w:val="000000"/>
                <w:sz w:val="20"/>
                <w:szCs w:val="20"/>
              </w:rPr>
              <w:t>214,18%</w:t>
            </w:r>
          </w:p>
        </w:tc>
      </w:tr>
      <w:tr w:rsidR="00416D67" w:rsidRPr="00416D67" w14:paraId="4ED56524" w14:textId="77777777" w:rsidTr="00BB1392">
        <w:trPr>
          <w:trHeight w:val="765"/>
        </w:trPr>
        <w:tc>
          <w:tcPr>
            <w:tcW w:w="855" w:type="dxa"/>
            <w:tcBorders>
              <w:top w:val="nil"/>
              <w:left w:val="single" w:sz="4" w:space="0" w:color="auto"/>
              <w:bottom w:val="single" w:sz="4" w:space="0" w:color="auto"/>
              <w:right w:val="single" w:sz="4" w:space="0" w:color="auto"/>
            </w:tcBorders>
            <w:shd w:val="clear" w:color="000000" w:fill="FFFFFF"/>
            <w:noWrap/>
            <w:vAlign w:val="center"/>
            <w:hideMark/>
          </w:tcPr>
          <w:p w14:paraId="0FBABBC2" w14:textId="77777777" w:rsidR="00416D67" w:rsidRPr="00416D67" w:rsidRDefault="00416D67" w:rsidP="00416D67">
            <w:pPr>
              <w:rPr>
                <w:color w:val="000000"/>
                <w:sz w:val="20"/>
                <w:szCs w:val="20"/>
              </w:rPr>
            </w:pPr>
            <w:r w:rsidRPr="00416D67">
              <w:rPr>
                <w:color w:val="000000"/>
                <w:sz w:val="20"/>
                <w:szCs w:val="20"/>
              </w:rPr>
              <w:t>A100006</w:t>
            </w:r>
          </w:p>
        </w:tc>
        <w:tc>
          <w:tcPr>
            <w:tcW w:w="3165" w:type="dxa"/>
            <w:tcBorders>
              <w:top w:val="nil"/>
              <w:left w:val="nil"/>
              <w:bottom w:val="single" w:sz="4" w:space="0" w:color="auto"/>
              <w:right w:val="single" w:sz="4" w:space="0" w:color="auto"/>
            </w:tcBorders>
            <w:shd w:val="clear" w:color="000000" w:fill="FFFFFF"/>
            <w:vAlign w:val="center"/>
            <w:hideMark/>
          </w:tcPr>
          <w:p w14:paraId="09C1B328" w14:textId="77777777" w:rsidR="00416D67" w:rsidRPr="00416D67" w:rsidRDefault="00416D67" w:rsidP="00416D67">
            <w:pPr>
              <w:rPr>
                <w:color w:val="000000"/>
                <w:sz w:val="20"/>
                <w:szCs w:val="20"/>
              </w:rPr>
            </w:pPr>
            <w:r w:rsidRPr="00416D67">
              <w:rPr>
                <w:color w:val="000000"/>
                <w:sz w:val="20"/>
                <w:szCs w:val="20"/>
              </w:rPr>
              <w:t>izrada autorskih fotografija za potrebe izrade monografije Općine Marčana</w:t>
            </w:r>
          </w:p>
        </w:tc>
        <w:tc>
          <w:tcPr>
            <w:tcW w:w="1660" w:type="dxa"/>
            <w:tcBorders>
              <w:top w:val="nil"/>
              <w:left w:val="nil"/>
              <w:bottom w:val="single" w:sz="4" w:space="0" w:color="auto"/>
              <w:right w:val="single" w:sz="4" w:space="0" w:color="auto"/>
            </w:tcBorders>
            <w:shd w:val="clear" w:color="000000" w:fill="FFFFFF"/>
            <w:noWrap/>
            <w:vAlign w:val="center"/>
            <w:hideMark/>
          </w:tcPr>
          <w:p w14:paraId="6702C96A" w14:textId="77777777" w:rsidR="00416D67" w:rsidRPr="00416D67" w:rsidRDefault="00416D67" w:rsidP="00416D67">
            <w:pPr>
              <w:jc w:val="right"/>
              <w:rPr>
                <w:color w:val="000000"/>
                <w:sz w:val="20"/>
                <w:szCs w:val="20"/>
              </w:rPr>
            </w:pPr>
            <w:r w:rsidRPr="00416D67">
              <w:rPr>
                <w:color w:val="000000"/>
                <w:sz w:val="20"/>
                <w:szCs w:val="20"/>
              </w:rPr>
              <w:t>0,00</w:t>
            </w:r>
          </w:p>
        </w:tc>
        <w:tc>
          <w:tcPr>
            <w:tcW w:w="1440" w:type="dxa"/>
            <w:tcBorders>
              <w:top w:val="nil"/>
              <w:left w:val="nil"/>
              <w:bottom w:val="single" w:sz="4" w:space="0" w:color="auto"/>
              <w:right w:val="single" w:sz="4" w:space="0" w:color="auto"/>
            </w:tcBorders>
            <w:shd w:val="clear" w:color="000000" w:fill="FFFFFF"/>
            <w:noWrap/>
            <w:vAlign w:val="center"/>
            <w:hideMark/>
          </w:tcPr>
          <w:p w14:paraId="70F5D713" w14:textId="77777777" w:rsidR="00416D67" w:rsidRPr="00416D67" w:rsidRDefault="00416D67" w:rsidP="00416D67">
            <w:pPr>
              <w:jc w:val="right"/>
              <w:rPr>
                <w:color w:val="000000"/>
                <w:sz w:val="20"/>
                <w:szCs w:val="20"/>
              </w:rPr>
            </w:pPr>
            <w:r w:rsidRPr="00416D67">
              <w:rPr>
                <w:color w:val="000000"/>
                <w:sz w:val="20"/>
                <w:szCs w:val="20"/>
              </w:rPr>
              <w:t>11.600,00</w:t>
            </w:r>
          </w:p>
        </w:tc>
        <w:tc>
          <w:tcPr>
            <w:tcW w:w="1420" w:type="dxa"/>
            <w:tcBorders>
              <w:top w:val="nil"/>
              <w:left w:val="nil"/>
              <w:bottom w:val="single" w:sz="4" w:space="0" w:color="auto"/>
              <w:right w:val="single" w:sz="4" w:space="0" w:color="auto"/>
            </w:tcBorders>
            <w:shd w:val="clear" w:color="000000" w:fill="FFFFFF"/>
            <w:noWrap/>
            <w:vAlign w:val="center"/>
            <w:hideMark/>
          </w:tcPr>
          <w:p w14:paraId="2248DF80" w14:textId="77777777" w:rsidR="00416D67" w:rsidRPr="00416D67" w:rsidRDefault="00416D67" w:rsidP="00416D67">
            <w:pPr>
              <w:jc w:val="right"/>
              <w:rPr>
                <w:color w:val="000000"/>
                <w:sz w:val="20"/>
                <w:szCs w:val="20"/>
              </w:rPr>
            </w:pPr>
            <w:r w:rsidRPr="00416D67">
              <w:rPr>
                <w:color w:val="000000"/>
                <w:sz w:val="20"/>
                <w:szCs w:val="20"/>
              </w:rPr>
              <w:t>11.595,80</w:t>
            </w:r>
          </w:p>
        </w:tc>
        <w:tc>
          <w:tcPr>
            <w:tcW w:w="1300" w:type="dxa"/>
            <w:tcBorders>
              <w:top w:val="nil"/>
              <w:left w:val="nil"/>
              <w:bottom w:val="single" w:sz="4" w:space="0" w:color="auto"/>
              <w:right w:val="single" w:sz="4" w:space="0" w:color="auto"/>
            </w:tcBorders>
            <w:noWrap/>
            <w:vAlign w:val="center"/>
            <w:hideMark/>
          </w:tcPr>
          <w:p w14:paraId="60B3050B" w14:textId="77777777" w:rsidR="00416D67" w:rsidRPr="00416D67" w:rsidRDefault="00416D67" w:rsidP="00416D67">
            <w:pPr>
              <w:jc w:val="right"/>
              <w:rPr>
                <w:color w:val="000000"/>
                <w:sz w:val="20"/>
                <w:szCs w:val="20"/>
              </w:rPr>
            </w:pPr>
            <w:r w:rsidRPr="00416D67">
              <w:rPr>
                <w:color w:val="000000"/>
                <w:sz w:val="20"/>
                <w:szCs w:val="20"/>
              </w:rPr>
              <w:t>0,00%</w:t>
            </w:r>
          </w:p>
        </w:tc>
      </w:tr>
      <w:tr w:rsidR="00416D67" w:rsidRPr="00416D67" w14:paraId="4F463766" w14:textId="77777777" w:rsidTr="00BB1392">
        <w:trPr>
          <w:trHeight w:val="510"/>
        </w:trPr>
        <w:tc>
          <w:tcPr>
            <w:tcW w:w="855" w:type="dxa"/>
            <w:tcBorders>
              <w:top w:val="nil"/>
              <w:left w:val="single" w:sz="4" w:space="0" w:color="auto"/>
              <w:bottom w:val="single" w:sz="4" w:space="0" w:color="auto"/>
              <w:right w:val="single" w:sz="4" w:space="0" w:color="auto"/>
            </w:tcBorders>
            <w:shd w:val="clear" w:color="000000" w:fill="FFFFFF"/>
            <w:noWrap/>
            <w:vAlign w:val="center"/>
            <w:hideMark/>
          </w:tcPr>
          <w:p w14:paraId="6B95F05D" w14:textId="77777777" w:rsidR="00416D67" w:rsidRPr="00416D67" w:rsidRDefault="00416D67" w:rsidP="00416D67">
            <w:pPr>
              <w:rPr>
                <w:color w:val="000000"/>
                <w:sz w:val="20"/>
                <w:szCs w:val="20"/>
              </w:rPr>
            </w:pPr>
            <w:r w:rsidRPr="00416D67">
              <w:rPr>
                <w:color w:val="000000"/>
                <w:sz w:val="20"/>
                <w:szCs w:val="20"/>
              </w:rPr>
              <w:t>A100007</w:t>
            </w:r>
          </w:p>
        </w:tc>
        <w:tc>
          <w:tcPr>
            <w:tcW w:w="3165" w:type="dxa"/>
            <w:tcBorders>
              <w:top w:val="nil"/>
              <w:left w:val="nil"/>
              <w:bottom w:val="single" w:sz="4" w:space="0" w:color="auto"/>
              <w:right w:val="single" w:sz="4" w:space="0" w:color="auto"/>
            </w:tcBorders>
            <w:shd w:val="clear" w:color="000000" w:fill="FFFFFF"/>
            <w:vAlign w:val="center"/>
            <w:hideMark/>
          </w:tcPr>
          <w:p w14:paraId="72331B44" w14:textId="77777777" w:rsidR="00416D67" w:rsidRPr="00416D67" w:rsidRDefault="00416D67" w:rsidP="00416D67">
            <w:pPr>
              <w:rPr>
                <w:color w:val="000000"/>
                <w:sz w:val="20"/>
                <w:szCs w:val="20"/>
              </w:rPr>
            </w:pPr>
            <w:proofErr w:type="spellStart"/>
            <w:r w:rsidRPr="00416D67">
              <w:rPr>
                <w:color w:val="000000"/>
                <w:sz w:val="20"/>
                <w:szCs w:val="20"/>
              </w:rPr>
              <w:t>Samanj</w:t>
            </w:r>
            <w:proofErr w:type="spellEnd"/>
            <w:r w:rsidRPr="00416D67">
              <w:rPr>
                <w:color w:val="000000"/>
                <w:sz w:val="20"/>
                <w:szCs w:val="20"/>
              </w:rPr>
              <w:t xml:space="preserve"> istarskih proizvoda i izložba </w:t>
            </w:r>
            <w:proofErr w:type="spellStart"/>
            <w:r w:rsidRPr="00416D67">
              <w:rPr>
                <w:color w:val="000000"/>
                <w:sz w:val="20"/>
                <w:szCs w:val="20"/>
              </w:rPr>
              <w:t>Oldtimera</w:t>
            </w:r>
            <w:proofErr w:type="spellEnd"/>
            <w:r w:rsidRPr="00416D67">
              <w:rPr>
                <w:color w:val="000000"/>
                <w:sz w:val="20"/>
                <w:szCs w:val="20"/>
              </w:rPr>
              <w:t xml:space="preserve"> </w:t>
            </w:r>
          </w:p>
        </w:tc>
        <w:tc>
          <w:tcPr>
            <w:tcW w:w="1660" w:type="dxa"/>
            <w:tcBorders>
              <w:top w:val="nil"/>
              <w:left w:val="nil"/>
              <w:bottom w:val="single" w:sz="4" w:space="0" w:color="auto"/>
              <w:right w:val="single" w:sz="4" w:space="0" w:color="auto"/>
            </w:tcBorders>
            <w:shd w:val="clear" w:color="000000" w:fill="FFFFFF"/>
            <w:noWrap/>
            <w:vAlign w:val="center"/>
            <w:hideMark/>
          </w:tcPr>
          <w:p w14:paraId="2DA9E6BB" w14:textId="77777777" w:rsidR="00416D67" w:rsidRPr="00416D67" w:rsidRDefault="00416D67" w:rsidP="00416D67">
            <w:pPr>
              <w:jc w:val="right"/>
              <w:rPr>
                <w:color w:val="000000"/>
                <w:sz w:val="20"/>
                <w:szCs w:val="20"/>
              </w:rPr>
            </w:pPr>
            <w:r w:rsidRPr="00416D67">
              <w:rPr>
                <w:color w:val="000000"/>
                <w:sz w:val="20"/>
                <w:szCs w:val="20"/>
              </w:rPr>
              <w:t>0,00</w:t>
            </w:r>
          </w:p>
        </w:tc>
        <w:tc>
          <w:tcPr>
            <w:tcW w:w="1440" w:type="dxa"/>
            <w:tcBorders>
              <w:top w:val="nil"/>
              <w:left w:val="nil"/>
              <w:bottom w:val="single" w:sz="4" w:space="0" w:color="auto"/>
              <w:right w:val="single" w:sz="4" w:space="0" w:color="auto"/>
            </w:tcBorders>
            <w:shd w:val="clear" w:color="000000" w:fill="FFFFFF"/>
            <w:noWrap/>
            <w:vAlign w:val="center"/>
            <w:hideMark/>
          </w:tcPr>
          <w:p w14:paraId="6A05647B" w14:textId="77777777" w:rsidR="00416D67" w:rsidRPr="00416D67" w:rsidRDefault="00416D67" w:rsidP="00416D67">
            <w:pPr>
              <w:jc w:val="right"/>
              <w:rPr>
                <w:color w:val="000000"/>
                <w:sz w:val="20"/>
                <w:szCs w:val="20"/>
              </w:rPr>
            </w:pPr>
            <w:r w:rsidRPr="00416D67">
              <w:rPr>
                <w:color w:val="000000"/>
                <w:sz w:val="20"/>
                <w:szCs w:val="20"/>
              </w:rPr>
              <w:t>900,00</w:t>
            </w:r>
          </w:p>
        </w:tc>
        <w:tc>
          <w:tcPr>
            <w:tcW w:w="1420" w:type="dxa"/>
            <w:tcBorders>
              <w:top w:val="nil"/>
              <w:left w:val="nil"/>
              <w:bottom w:val="single" w:sz="4" w:space="0" w:color="auto"/>
              <w:right w:val="single" w:sz="4" w:space="0" w:color="auto"/>
            </w:tcBorders>
            <w:shd w:val="clear" w:color="000000" w:fill="FFFFFF"/>
            <w:noWrap/>
            <w:vAlign w:val="center"/>
            <w:hideMark/>
          </w:tcPr>
          <w:p w14:paraId="6BECA6A3" w14:textId="77777777" w:rsidR="00416D67" w:rsidRPr="00416D67" w:rsidRDefault="00416D67" w:rsidP="00416D67">
            <w:pPr>
              <w:jc w:val="right"/>
              <w:rPr>
                <w:color w:val="000000"/>
                <w:sz w:val="20"/>
                <w:szCs w:val="20"/>
              </w:rPr>
            </w:pPr>
            <w:r w:rsidRPr="00416D67">
              <w:rPr>
                <w:color w:val="000000"/>
                <w:sz w:val="20"/>
                <w:szCs w:val="20"/>
              </w:rPr>
              <w:t>894,17</w:t>
            </w:r>
          </w:p>
        </w:tc>
        <w:tc>
          <w:tcPr>
            <w:tcW w:w="1300" w:type="dxa"/>
            <w:tcBorders>
              <w:top w:val="nil"/>
              <w:left w:val="nil"/>
              <w:bottom w:val="single" w:sz="4" w:space="0" w:color="auto"/>
              <w:right w:val="single" w:sz="4" w:space="0" w:color="auto"/>
            </w:tcBorders>
            <w:noWrap/>
            <w:vAlign w:val="center"/>
            <w:hideMark/>
          </w:tcPr>
          <w:p w14:paraId="70C1A0E4" w14:textId="77777777" w:rsidR="00416D67" w:rsidRPr="00416D67" w:rsidRDefault="00416D67" w:rsidP="00416D67">
            <w:pPr>
              <w:jc w:val="right"/>
              <w:rPr>
                <w:color w:val="000000"/>
                <w:sz w:val="20"/>
                <w:szCs w:val="20"/>
              </w:rPr>
            </w:pPr>
            <w:r w:rsidRPr="00416D67">
              <w:rPr>
                <w:color w:val="000000"/>
                <w:sz w:val="20"/>
                <w:szCs w:val="20"/>
              </w:rPr>
              <w:t>0,00%</w:t>
            </w:r>
          </w:p>
        </w:tc>
      </w:tr>
      <w:tr w:rsidR="00416D67" w:rsidRPr="00416D67" w14:paraId="00E59ED5" w14:textId="77777777" w:rsidTr="00BB1392">
        <w:trPr>
          <w:trHeight w:val="300"/>
        </w:trPr>
        <w:tc>
          <w:tcPr>
            <w:tcW w:w="855" w:type="dxa"/>
            <w:tcBorders>
              <w:top w:val="nil"/>
              <w:left w:val="single" w:sz="4" w:space="0" w:color="auto"/>
              <w:bottom w:val="single" w:sz="4" w:space="0" w:color="auto"/>
              <w:right w:val="single" w:sz="4" w:space="0" w:color="auto"/>
            </w:tcBorders>
            <w:shd w:val="clear" w:color="000000" w:fill="FFFFFF"/>
            <w:noWrap/>
            <w:vAlign w:val="center"/>
            <w:hideMark/>
          </w:tcPr>
          <w:p w14:paraId="53C82589" w14:textId="77777777" w:rsidR="00416D67" w:rsidRPr="00416D67" w:rsidRDefault="00416D67" w:rsidP="00416D67">
            <w:pPr>
              <w:rPr>
                <w:color w:val="000000"/>
                <w:sz w:val="20"/>
                <w:szCs w:val="20"/>
              </w:rPr>
            </w:pPr>
            <w:r w:rsidRPr="00416D67">
              <w:rPr>
                <w:color w:val="000000"/>
                <w:sz w:val="20"/>
                <w:szCs w:val="20"/>
              </w:rPr>
              <w:t>A100009</w:t>
            </w:r>
          </w:p>
        </w:tc>
        <w:tc>
          <w:tcPr>
            <w:tcW w:w="3165" w:type="dxa"/>
            <w:tcBorders>
              <w:top w:val="nil"/>
              <w:left w:val="nil"/>
              <w:bottom w:val="single" w:sz="4" w:space="0" w:color="auto"/>
              <w:right w:val="single" w:sz="4" w:space="0" w:color="auto"/>
            </w:tcBorders>
            <w:shd w:val="clear" w:color="000000" w:fill="FFFFFF"/>
            <w:vAlign w:val="center"/>
            <w:hideMark/>
          </w:tcPr>
          <w:p w14:paraId="4054DEAC" w14:textId="77777777" w:rsidR="00416D67" w:rsidRPr="00416D67" w:rsidRDefault="00416D67" w:rsidP="00416D67">
            <w:pPr>
              <w:rPr>
                <w:color w:val="000000"/>
                <w:sz w:val="20"/>
                <w:szCs w:val="20"/>
              </w:rPr>
            </w:pPr>
            <w:r w:rsidRPr="00416D67">
              <w:rPr>
                <w:color w:val="000000"/>
                <w:sz w:val="20"/>
                <w:szCs w:val="20"/>
              </w:rPr>
              <w:t>Sufinanciranje festivala MIK</w:t>
            </w:r>
          </w:p>
        </w:tc>
        <w:tc>
          <w:tcPr>
            <w:tcW w:w="1660" w:type="dxa"/>
            <w:tcBorders>
              <w:top w:val="nil"/>
              <w:left w:val="nil"/>
              <w:bottom w:val="single" w:sz="4" w:space="0" w:color="auto"/>
              <w:right w:val="single" w:sz="4" w:space="0" w:color="auto"/>
            </w:tcBorders>
            <w:shd w:val="clear" w:color="000000" w:fill="FFFFFF"/>
            <w:noWrap/>
            <w:vAlign w:val="center"/>
            <w:hideMark/>
          </w:tcPr>
          <w:p w14:paraId="12EF4786" w14:textId="77777777" w:rsidR="00416D67" w:rsidRPr="00416D67" w:rsidRDefault="00416D67" w:rsidP="00416D67">
            <w:pPr>
              <w:jc w:val="right"/>
              <w:rPr>
                <w:color w:val="000000"/>
                <w:sz w:val="20"/>
                <w:szCs w:val="20"/>
              </w:rPr>
            </w:pPr>
            <w:r w:rsidRPr="00416D67">
              <w:rPr>
                <w:color w:val="000000"/>
                <w:sz w:val="20"/>
                <w:szCs w:val="20"/>
              </w:rPr>
              <w:t>2.520,54</w:t>
            </w:r>
          </w:p>
        </w:tc>
        <w:tc>
          <w:tcPr>
            <w:tcW w:w="1440" w:type="dxa"/>
            <w:tcBorders>
              <w:top w:val="nil"/>
              <w:left w:val="nil"/>
              <w:bottom w:val="single" w:sz="4" w:space="0" w:color="auto"/>
              <w:right w:val="single" w:sz="4" w:space="0" w:color="auto"/>
            </w:tcBorders>
            <w:shd w:val="clear" w:color="000000" w:fill="FFFFFF"/>
            <w:noWrap/>
            <w:vAlign w:val="center"/>
            <w:hideMark/>
          </w:tcPr>
          <w:p w14:paraId="0097ADC2" w14:textId="77777777" w:rsidR="00416D67" w:rsidRPr="00416D67" w:rsidRDefault="00416D67" w:rsidP="00416D67">
            <w:pPr>
              <w:jc w:val="right"/>
              <w:rPr>
                <w:color w:val="000000"/>
                <w:sz w:val="20"/>
                <w:szCs w:val="20"/>
              </w:rPr>
            </w:pPr>
            <w:r w:rsidRPr="00416D67">
              <w:rPr>
                <w:color w:val="000000"/>
                <w:sz w:val="20"/>
                <w:szCs w:val="20"/>
              </w:rPr>
              <w:t>15.741,00</w:t>
            </w:r>
          </w:p>
        </w:tc>
        <w:tc>
          <w:tcPr>
            <w:tcW w:w="1420" w:type="dxa"/>
            <w:tcBorders>
              <w:top w:val="nil"/>
              <w:left w:val="nil"/>
              <w:bottom w:val="single" w:sz="4" w:space="0" w:color="auto"/>
              <w:right w:val="single" w:sz="4" w:space="0" w:color="auto"/>
            </w:tcBorders>
            <w:shd w:val="clear" w:color="000000" w:fill="FFFFFF"/>
            <w:noWrap/>
            <w:vAlign w:val="center"/>
            <w:hideMark/>
          </w:tcPr>
          <w:p w14:paraId="55F1A94B" w14:textId="77777777" w:rsidR="00416D67" w:rsidRPr="00416D67" w:rsidRDefault="00416D67" w:rsidP="00416D67">
            <w:pPr>
              <w:jc w:val="right"/>
              <w:rPr>
                <w:color w:val="000000"/>
                <w:sz w:val="20"/>
                <w:szCs w:val="20"/>
              </w:rPr>
            </w:pPr>
            <w:r w:rsidRPr="00416D67">
              <w:rPr>
                <w:color w:val="000000"/>
                <w:sz w:val="20"/>
                <w:szCs w:val="20"/>
              </w:rPr>
              <w:t>15.733,74</w:t>
            </w:r>
          </w:p>
        </w:tc>
        <w:tc>
          <w:tcPr>
            <w:tcW w:w="1300" w:type="dxa"/>
            <w:tcBorders>
              <w:top w:val="nil"/>
              <w:left w:val="nil"/>
              <w:bottom w:val="single" w:sz="4" w:space="0" w:color="auto"/>
              <w:right w:val="single" w:sz="4" w:space="0" w:color="auto"/>
            </w:tcBorders>
            <w:noWrap/>
            <w:vAlign w:val="center"/>
            <w:hideMark/>
          </w:tcPr>
          <w:p w14:paraId="32F87678" w14:textId="77777777" w:rsidR="00416D67" w:rsidRPr="00416D67" w:rsidRDefault="00416D67" w:rsidP="00416D67">
            <w:pPr>
              <w:jc w:val="right"/>
              <w:rPr>
                <w:color w:val="000000"/>
                <w:sz w:val="20"/>
                <w:szCs w:val="20"/>
              </w:rPr>
            </w:pPr>
            <w:r w:rsidRPr="00416D67">
              <w:rPr>
                <w:color w:val="000000"/>
                <w:sz w:val="20"/>
                <w:szCs w:val="20"/>
              </w:rPr>
              <w:t>624,22%</w:t>
            </w:r>
          </w:p>
        </w:tc>
      </w:tr>
      <w:tr w:rsidR="00416D67" w:rsidRPr="00416D67" w14:paraId="0515F65C" w14:textId="77777777" w:rsidTr="00BB1392">
        <w:trPr>
          <w:trHeight w:val="510"/>
        </w:trPr>
        <w:tc>
          <w:tcPr>
            <w:tcW w:w="855" w:type="dxa"/>
            <w:tcBorders>
              <w:top w:val="nil"/>
              <w:left w:val="single" w:sz="4" w:space="0" w:color="auto"/>
              <w:bottom w:val="single" w:sz="4" w:space="0" w:color="auto"/>
              <w:right w:val="single" w:sz="4" w:space="0" w:color="auto"/>
            </w:tcBorders>
            <w:shd w:val="clear" w:color="000000" w:fill="FFFFFF"/>
            <w:noWrap/>
            <w:vAlign w:val="center"/>
            <w:hideMark/>
          </w:tcPr>
          <w:p w14:paraId="040AFE91" w14:textId="77777777" w:rsidR="00416D67" w:rsidRPr="00416D67" w:rsidRDefault="00416D67" w:rsidP="00416D67">
            <w:pPr>
              <w:rPr>
                <w:color w:val="000000"/>
                <w:sz w:val="20"/>
                <w:szCs w:val="20"/>
              </w:rPr>
            </w:pPr>
            <w:r w:rsidRPr="00416D67">
              <w:rPr>
                <w:color w:val="000000"/>
                <w:sz w:val="20"/>
                <w:szCs w:val="20"/>
              </w:rPr>
              <w:t>A100010</w:t>
            </w:r>
          </w:p>
        </w:tc>
        <w:tc>
          <w:tcPr>
            <w:tcW w:w="3165" w:type="dxa"/>
            <w:tcBorders>
              <w:top w:val="nil"/>
              <w:left w:val="nil"/>
              <w:bottom w:val="single" w:sz="4" w:space="0" w:color="auto"/>
              <w:right w:val="single" w:sz="4" w:space="0" w:color="auto"/>
            </w:tcBorders>
            <w:shd w:val="clear" w:color="000000" w:fill="FFFFFF"/>
            <w:vAlign w:val="center"/>
            <w:hideMark/>
          </w:tcPr>
          <w:p w14:paraId="34D4A219" w14:textId="77777777" w:rsidR="00416D67" w:rsidRPr="00416D67" w:rsidRDefault="00416D67" w:rsidP="00416D67">
            <w:pPr>
              <w:rPr>
                <w:color w:val="000000"/>
                <w:sz w:val="20"/>
                <w:szCs w:val="20"/>
              </w:rPr>
            </w:pPr>
            <w:r w:rsidRPr="00416D67">
              <w:rPr>
                <w:color w:val="000000"/>
                <w:sz w:val="20"/>
                <w:szCs w:val="20"/>
              </w:rPr>
              <w:t xml:space="preserve">Potpora pripremi izdavanja i otkup </w:t>
            </w:r>
            <w:proofErr w:type="spellStart"/>
            <w:r w:rsidRPr="00416D67">
              <w:rPr>
                <w:color w:val="000000"/>
                <w:sz w:val="20"/>
                <w:szCs w:val="20"/>
              </w:rPr>
              <w:t>knjga</w:t>
            </w:r>
            <w:proofErr w:type="spellEnd"/>
          </w:p>
        </w:tc>
        <w:tc>
          <w:tcPr>
            <w:tcW w:w="1660" w:type="dxa"/>
            <w:tcBorders>
              <w:top w:val="nil"/>
              <w:left w:val="nil"/>
              <w:bottom w:val="single" w:sz="4" w:space="0" w:color="auto"/>
              <w:right w:val="single" w:sz="4" w:space="0" w:color="auto"/>
            </w:tcBorders>
            <w:shd w:val="clear" w:color="000000" w:fill="FFFFFF"/>
            <w:noWrap/>
            <w:vAlign w:val="center"/>
            <w:hideMark/>
          </w:tcPr>
          <w:p w14:paraId="5C5B5881" w14:textId="77777777" w:rsidR="00416D67" w:rsidRPr="00416D67" w:rsidRDefault="00416D67" w:rsidP="00416D67">
            <w:pPr>
              <w:jc w:val="right"/>
              <w:rPr>
                <w:color w:val="000000"/>
                <w:sz w:val="20"/>
                <w:szCs w:val="20"/>
              </w:rPr>
            </w:pPr>
            <w:r w:rsidRPr="00416D67">
              <w:rPr>
                <w:color w:val="000000"/>
                <w:sz w:val="20"/>
                <w:szCs w:val="20"/>
              </w:rPr>
              <w:t>0,00</w:t>
            </w:r>
          </w:p>
        </w:tc>
        <w:tc>
          <w:tcPr>
            <w:tcW w:w="1440" w:type="dxa"/>
            <w:tcBorders>
              <w:top w:val="nil"/>
              <w:left w:val="nil"/>
              <w:bottom w:val="single" w:sz="4" w:space="0" w:color="auto"/>
              <w:right w:val="single" w:sz="4" w:space="0" w:color="auto"/>
            </w:tcBorders>
            <w:shd w:val="clear" w:color="000000" w:fill="FFFFFF"/>
            <w:noWrap/>
            <w:vAlign w:val="center"/>
            <w:hideMark/>
          </w:tcPr>
          <w:p w14:paraId="375F28FD" w14:textId="77777777" w:rsidR="00416D67" w:rsidRPr="00416D67" w:rsidRDefault="00416D67" w:rsidP="00416D67">
            <w:pPr>
              <w:jc w:val="right"/>
              <w:rPr>
                <w:color w:val="000000"/>
                <w:sz w:val="20"/>
                <w:szCs w:val="20"/>
              </w:rPr>
            </w:pPr>
            <w:r w:rsidRPr="00416D67">
              <w:rPr>
                <w:color w:val="000000"/>
                <w:sz w:val="20"/>
                <w:szCs w:val="20"/>
              </w:rPr>
              <w:t>5.550,00</w:t>
            </w:r>
          </w:p>
        </w:tc>
        <w:tc>
          <w:tcPr>
            <w:tcW w:w="1420" w:type="dxa"/>
            <w:tcBorders>
              <w:top w:val="nil"/>
              <w:left w:val="nil"/>
              <w:bottom w:val="single" w:sz="4" w:space="0" w:color="auto"/>
              <w:right w:val="single" w:sz="4" w:space="0" w:color="auto"/>
            </w:tcBorders>
            <w:shd w:val="clear" w:color="000000" w:fill="FFFFFF"/>
            <w:noWrap/>
            <w:vAlign w:val="center"/>
            <w:hideMark/>
          </w:tcPr>
          <w:p w14:paraId="58B44514" w14:textId="77777777" w:rsidR="00416D67" w:rsidRPr="00416D67" w:rsidRDefault="00416D67" w:rsidP="00416D67">
            <w:pPr>
              <w:jc w:val="right"/>
              <w:rPr>
                <w:color w:val="000000"/>
                <w:sz w:val="20"/>
                <w:szCs w:val="20"/>
              </w:rPr>
            </w:pPr>
            <w:r w:rsidRPr="00416D67">
              <w:rPr>
                <w:color w:val="000000"/>
                <w:sz w:val="20"/>
                <w:szCs w:val="20"/>
              </w:rPr>
              <w:t>4.550,00</w:t>
            </w:r>
          </w:p>
        </w:tc>
        <w:tc>
          <w:tcPr>
            <w:tcW w:w="1300" w:type="dxa"/>
            <w:tcBorders>
              <w:top w:val="nil"/>
              <w:left w:val="nil"/>
              <w:bottom w:val="single" w:sz="4" w:space="0" w:color="auto"/>
              <w:right w:val="single" w:sz="4" w:space="0" w:color="auto"/>
            </w:tcBorders>
            <w:noWrap/>
            <w:vAlign w:val="center"/>
            <w:hideMark/>
          </w:tcPr>
          <w:p w14:paraId="16CB01EF" w14:textId="77777777" w:rsidR="00416D67" w:rsidRPr="00416D67" w:rsidRDefault="00416D67" w:rsidP="00416D67">
            <w:pPr>
              <w:jc w:val="right"/>
              <w:rPr>
                <w:color w:val="000000"/>
                <w:sz w:val="20"/>
                <w:szCs w:val="20"/>
              </w:rPr>
            </w:pPr>
            <w:r w:rsidRPr="00416D67">
              <w:rPr>
                <w:color w:val="000000"/>
                <w:sz w:val="20"/>
                <w:szCs w:val="20"/>
              </w:rPr>
              <w:t>0,00%</w:t>
            </w:r>
          </w:p>
        </w:tc>
      </w:tr>
      <w:tr w:rsidR="00416D67" w:rsidRPr="00416D67" w14:paraId="64F73B1D" w14:textId="77777777" w:rsidTr="00BB1392">
        <w:trPr>
          <w:trHeight w:val="765"/>
        </w:trPr>
        <w:tc>
          <w:tcPr>
            <w:tcW w:w="855" w:type="dxa"/>
            <w:tcBorders>
              <w:top w:val="nil"/>
              <w:left w:val="single" w:sz="4" w:space="0" w:color="auto"/>
              <w:bottom w:val="single" w:sz="4" w:space="0" w:color="auto"/>
              <w:right w:val="single" w:sz="4" w:space="0" w:color="auto"/>
            </w:tcBorders>
            <w:shd w:val="clear" w:color="000000" w:fill="FFFFFF"/>
            <w:noWrap/>
            <w:vAlign w:val="center"/>
            <w:hideMark/>
          </w:tcPr>
          <w:p w14:paraId="3698D44E" w14:textId="77777777" w:rsidR="00416D67" w:rsidRPr="00416D67" w:rsidRDefault="00416D67" w:rsidP="00416D67">
            <w:pPr>
              <w:rPr>
                <w:color w:val="000000"/>
                <w:sz w:val="20"/>
                <w:szCs w:val="20"/>
              </w:rPr>
            </w:pPr>
            <w:r w:rsidRPr="00416D67">
              <w:rPr>
                <w:color w:val="000000"/>
                <w:sz w:val="20"/>
                <w:szCs w:val="20"/>
              </w:rPr>
              <w:t>A100011</w:t>
            </w:r>
          </w:p>
        </w:tc>
        <w:tc>
          <w:tcPr>
            <w:tcW w:w="3165" w:type="dxa"/>
            <w:tcBorders>
              <w:top w:val="nil"/>
              <w:left w:val="nil"/>
              <w:bottom w:val="single" w:sz="4" w:space="0" w:color="auto"/>
              <w:right w:val="single" w:sz="4" w:space="0" w:color="auto"/>
            </w:tcBorders>
            <w:shd w:val="clear" w:color="000000" w:fill="FFFFFF"/>
            <w:vAlign w:val="center"/>
            <w:hideMark/>
          </w:tcPr>
          <w:p w14:paraId="2015869C" w14:textId="77777777" w:rsidR="00416D67" w:rsidRPr="00416D67" w:rsidRDefault="00416D67" w:rsidP="00416D67">
            <w:pPr>
              <w:rPr>
                <w:color w:val="000000"/>
                <w:sz w:val="20"/>
                <w:szCs w:val="20"/>
              </w:rPr>
            </w:pPr>
            <w:r w:rsidRPr="00416D67">
              <w:rPr>
                <w:color w:val="000000"/>
                <w:sz w:val="20"/>
                <w:szCs w:val="20"/>
              </w:rPr>
              <w:t>Sufinanciranje organizacije zabavno kulturnih manifestacija</w:t>
            </w:r>
          </w:p>
        </w:tc>
        <w:tc>
          <w:tcPr>
            <w:tcW w:w="1660" w:type="dxa"/>
            <w:tcBorders>
              <w:top w:val="nil"/>
              <w:left w:val="nil"/>
              <w:bottom w:val="single" w:sz="4" w:space="0" w:color="auto"/>
              <w:right w:val="single" w:sz="4" w:space="0" w:color="auto"/>
            </w:tcBorders>
            <w:shd w:val="clear" w:color="000000" w:fill="FFFFFF"/>
            <w:noWrap/>
            <w:vAlign w:val="center"/>
            <w:hideMark/>
          </w:tcPr>
          <w:p w14:paraId="74D9D314" w14:textId="77777777" w:rsidR="00416D67" w:rsidRPr="00416D67" w:rsidRDefault="00416D67" w:rsidP="00416D67">
            <w:pPr>
              <w:jc w:val="right"/>
              <w:rPr>
                <w:color w:val="000000"/>
                <w:sz w:val="20"/>
                <w:szCs w:val="20"/>
              </w:rPr>
            </w:pPr>
            <w:r w:rsidRPr="00416D67">
              <w:rPr>
                <w:color w:val="000000"/>
                <w:sz w:val="20"/>
                <w:szCs w:val="20"/>
              </w:rPr>
              <w:t>25.782,01</w:t>
            </w:r>
          </w:p>
        </w:tc>
        <w:tc>
          <w:tcPr>
            <w:tcW w:w="1440" w:type="dxa"/>
            <w:tcBorders>
              <w:top w:val="nil"/>
              <w:left w:val="nil"/>
              <w:bottom w:val="single" w:sz="4" w:space="0" w:color="auto"/>
              <w:right w:val="single" w:sz="4" w:space="0" w:color="auto"/>
            </w:tcBorders>
            <w:shd w:val="clear" w:color="000000" w:fill="FFFFFF"/>
            <w:noWrap/>
            <w:vAlign w:val="center"/>
            <w:hideMark/>
          </w:tcPr>
          <w:p w14:paraId="6383A03F" w14:textId="77777777" w:rsidR="00416D67" w:rsidRPr="00416D67" w:rsidRDefault="00416D67" w:rsidP="00416D67">
            <w:pPr>
              <w:jc w:val="right"/>
              <w:rPr>
                <w:color w:val="000000"/>
                <w:sz w:val="20"/>
                <w:szCs w:val="20"/>
              </w:rPr>
            </w:pPr>
            <w:r w:rsidRPr="00416D67">
              <w:rPr>
                <w:color w:val="000000"/>
                <w:sz w:val="20"/>
                <w:szCs w:val="20"/>
              </w:rPr>
              <w:t>60.500,00</w:t>
            </w:r>
          </w:p>
        </w:tc>
        <w:tc>
          <w:tcPr>
            <w:tcW w:w="1420" w:type="dxa"/>
            <w:tcBorders>
              <w:top w:val="nil"/>
              <w:left w:val="nil"/>
              <w:bottom w:val="single" w:sz="4" w:space="0" w:color="auto"/>
              <w:right w:val="single" w:sz="4" w:space="0" w:color="auto"/>
            </w:tcBorders>
            <w:shd w:val="clear" w:color="000000" w:fill="FFFFFF"/>
            <w:noWrap/>
            <w:vAlign w:val="center"/>
            <w:hideMark/>
          </w:tcPr>
          <w:p w14:paraId="4BA78600" w14:textId="77777777" w:rsidR="00416D67" w:rsidRPr="00416D67" w:rsidRDefault="00416D67" w:rsidP="00416D67">
            <w:pPr>
              <w:jc w:val="right"/>
              <w:rPr>
                <w:color w:val="000000"/>
                <w:sz w:val="20"/>
                <w:szCs w:val="20"/>
              </w:rPr>
            </w:pPr>
            <w:r w:rsidRPr="00416D67">
              <w:rPr>
                <w:color w:val="000000"/>
                <w:sz w:val="20"/>
                <w:szCs w:val="20"/>
              </w:rPr>
              <w:t>59.330,00</w:t>
            </w:r>
          </w:p>
        </w:tc>
        <w:tc>
          <w:tcPr>
            <w:tcW w:w="1300" w:type="dxa"/>
            <w:tcBorders>
              <w:top w:val="nil"/>
              <w:left w:val="nil"/>
              <w:bottom w:val="single" w:sz="4" w:space="0" w:color="auto"/>
              <w:right w:val="single" w:sz="4" w:space="0" w:color="auto"/>
            </w:tcBorders>
            <w:noWrap/>
            <w:vAlign w:val="center"/>
            <w:hideMark/>
          </w:tcPr>
          <w:p w14:paraId="74CC842A" w14:textId="77777777" w:rsidR="00416D67" w:rsidRPr="00416D67" w:rsidRDefault="00416D67" w:rsidP="00416D67">
            <w:pPr>
              <w:jc w:val="right"/>
              <w:rPr>
                <w:color w:val="000000"/>
                <w:sz w:val="20"/>
                <w:szCs w:val="20"/>
              </w:rPr>
            </w:pPr>
            <w:r w:rsidRPr="00416D67">
              <w:rPr>
                <w:color w:val="000000"/>
                <w:sz w:val="20"/>
                <w:szCs w:val="20"/>
              </w:rPr>
              <w:t>230,12%</w:t>
            </w:r>
          </w:p>
        </w:tc>
      </w:tr>
      <w:tr w:rsidR="00416D67" w:rsidRPr="00416D67" w14:paraId="65E2327B" w14:textId="77777777" w:rsidTr="00BB1392">
        <w:trPr>
          <w:trHeight w:val="510"/>
        </w:trPr>
        <w:tc>
          <w:tcPr>
            <w:tcW w:w="855" w:type="dxa"/>
            <w:tcBorders>
              <w:top w:val="nil"/>
              <w:left w:val="single" w:sz="4" w:space="0" w:color="auto"/>
              <w:bottom w:val="single" w:sz="4" w:space="0" w:color="auto"/>
              <w:right w:val="single" w:sz="4" w:space="0" w:color="auto"/>
            </w:tcBorders>
            <w:shd w:val="clear" w:color="000000" w:fill="FFFFFF"/>
            <w:noWrap/>
            <w:vAlign w:val="center"/>
            <w:hideMark/>
          </w:tcPr>
          <w:p w14:paraId="7BA3AB1D" w14:textId="77777777" w:rsidR="00416D67" w:rsidRPr="00416D67" w:rsidRDefault="00416D67" w:rsidP="00416D67">
            <w:pPr>
              <w:rPr>
                <w:color w:val="000000"/>
                <w:sz w:val="20"/>
                <w:szCs w:val="20"/>
              </w:rPr>
            </w:pPr>
            <w:r w:rsidRPr="00416D67">
              <w:rPr>
                <w:color w:val="000000"/>
                <w:sz w:val="20"/>
                <w:szCs w:val="20"/>
              </w:rPr>
              <w:t>A100012</w:t>
            </w:r>
          </w:p>
        </w:tc>
        <w:tc>
          <w:tcPr>
            <w:tcW w:w="3165" w:type="dxa"/>
            <w:tcBorders>
              <w:top w:val="nil"/>
              <w:left w:val="nil"/>
              <w:bottom w:val="single" w:sz="4" w:space="0" w:color="auto"/>
              <w:right w:val="single" w:sz="4" w:space="0" w:color="auto"/>
            </w:tcBorders>
            <w:shd w:val="clear" w:color="000000" w:fill="FFFFFF"/>
            <w:vAlign w:val="center"/>
            <w:hideMark/>
          </w:tcPr>
          <w:p w14:paraId="50E860BC" w14:textId="77777777" w:rsidR="00416D67" w:rsidRPr="00416D67" w:rsidRDefault="00416D67" w:rsidP="00416D67">
            <w:pPr>
              <w:rPr>
                <w:color w:val="000000"/>
                <w:sz w:val="20"/>
                <w:szCs w:val="20"/>
              </w:rPr>
            </w:pPr>
            <w:r w:rsidRPr="00416D67">
              <w:rPr>
                <w:color w:val="000000"/>
                <w:sz w:val="20"/>
                <w:szCs w:val="20"/>
              </w:rPr>
              <w:t>Hitne i nepredviđene potrebe u kulturi</w:t>
            </w:r>
          </w:p>
        </w:tc>
        <w:tc>
          <w:tcPr>
            <w:tcW w:w="1660" w:type="dxa"/>
            <w:tcBorders>
              <w:top w:val="nil"/>
              <w:left w:val="nil"/>
              <w:bottom w:val="single" w:sz="4" w:space="0" w:color="auto"/>
              <w:right w:val="single" w:sz="4" w:space="0" w:color="auto"/>
            </w:tcBorders>
            <w:shd w:val="clear" w:color="000000" w:fill="FFFFFF"/>
            <w:noWrap/>
            <w:vAlign w:val="center"/>
            <w:hideMark/>
          </w:tcPr>
          <w:p w14:paraId="7DD3E708" w14:textId="77777777" w:rsidR="00416D67" w:rsidRPr="00416D67" w:rsidRDefault="00416D67" w:rsidP="00416D67">
            <w:pPr>
              <w:jc w:val="right"/>
              <w:rPr>
                <w:color w:val="000000"/>
                <w:sz w:val="20"/>
                <w:szCs w:val="20"/>
              </w:rPr>
            </w:pPr>
            <w:r w:rsidRPr="00416D67">
              <w:rPr>
                <w:color w:val="000000"/>
                <w:sz w:val="20"/>
                <w:szCs w:val="20"/>
              </w:rPr>
              <w:t>800,00</w:t>
            </w:r>
          </w:p>
        </w:tc>
        <w:tc>
          <w:tcPr>
            <w:tcW w:w="1440" w:type="dxa"/>
            <w:tcBorders>
              <w:top w:val="nil"/>
              <w:left w:val="nil"/>
              <w:bottom w:val="single" w:sz="4" w:space="0" w:color="auto"/>
              <w:right w:val="single" w:sz="4" w:space="0" w:color="auto"/>
            </w:tcBorders>
            <w:shd w:val="clear" w:color="000000" w:fill="FFFFFF"/>
            <w:noWrap/>
            <w:vAlign w:val="center"/>
            <w:hideMark/>
          </w:tcPr>
          <w:p w14:paraId="45531CD6" w14:textId="77777777" w:rsidR="00416D67" w:rsidRPr="00416D67" w:rsidRDefault="00416D67" w:rsidP="00416D67">
            <w:pPr>
              <w:jc w:val="right"/>
              <w:rPr>
                <w:color w:val="000000"/>
                <w:sz w:val="20"/>
                <w:szCs w:val="20"/>
              </w:rPr>
            </w:pPr>
            <w:r w:rsidRPr="00416D67">
              <w:rPr>
                <w:color w:val="000000"/>
                <w:sz w:val="20"/>
                <w:szCs w:val="20"/>
              </w:rPr>
              <w:t>2.500,00</w:t>
            </w:r>
          </w:p>
        </w:tc>
        <w:tc>
          <w:tcPr>
            <w:tcW w:w="1420" w:type="dxa"/>
            <w:tcBorders>
              <w:top w:val="nil"/>
              <w:left w:val="nil"/>
              <w:bottom w:val="single" w:sz="4" w:space="0" w:color="auto"/>
              <w:right w:val="single" w:sz="4" w:space="0" w:color="auto"/>
            </w:tcBorders>
            <w:shd w:val="clear" w:color="000000" w:fill="FFFFFF"/>
            <w:noWrap/>
            <w:vAlign w:val="center"/>
            <w:hideMark/>
          </w:tcPr>
          <w:p w14:paraId="20860C32" w14:textId="77777777" w:rsidR="00416D67" w:rsidRPr="00416D67" w:rsidRDefault="00416D67" w:rsidP="00416D67">
            <w:pPr>
              <w:jc w:val="right"/>
              <w:rPr>
                <w:color w:val="000000"/>
                <w:sz w:val="20"/>
                <w:szCs w:val="20"/>
              </w:rPr>
            </w:pPr>
            <w:r w:rsidRPr="00416D67">
              <w:rPr>
                <w:color w:val="000000"/>
                <w:sz w:val="20"/>
                <w:szCs w:val="20"/>
              </w:rPr>
              <w:t>2.160,00</w:t>
            </w:r>
          </w:p>
        </w:tc>
        <w:tc>
          <w:tcPr>
            <w:tcW w:w="1300" w:type="dxa"/>
            <w:tcBorders>
              <w:top w:val="nil"/>
              <w:left w:val="nil"/>
              <w:bottom w:val="single" w:sz="4" w:space="0" w:color="auto"/>
              <w:right w:val="single" w:sz="4" w:space="0" w:color="auto"/>
            </w:tcBorders>
            <w:noWrap/>
            <w:vAlign w:val="center"/>
            <w:hideMark/>
          </w:tcPr>
          <w:p w14:paraId="518E9475" w14:textId="77777777" w:rsidR="00416D67" w:rsidRPr="00416D67" w:rsidRDefault="00416D67" w:rsidP="00416D67">
            <w:pPr>
              <w:jc w:val="right"/>
              <w:rPr>
                <w:color w:val="000000"/>
                <w:sz w:val="20"/>
                <w:szCs w:val="20"/>
              </w:rPr>
            </w:pPr>
            <w:r w:rsidRPr="00416D67">
              <w:rPr>
                <w:color w:val="000000"/>
                <w:sz w:val="20"/>
                <w:szCs w:val="20"/>
              </w:rPr>
              <w:t>270,00%</w:t>
            </w:r>
          </w:p>
        </w:tc>
      </w:tr>
      <w:tr w:rsidR="00416D67" w:rsidRPr="00416D67" w14:paraId="433DE83E" w14:textId="77777777" w:rsidTr="00BB1392">
        <w:trPr>
          <w:trHeight w:val="510"/>
        </w:trPr>
        <w:tc>
          <w:tcPr>
            <w:tcW w:w="855" w:type="dxa"/>
            <w:tcBorders>
              <w:top w:val="nil"/>
              <w:left w:val="single" w:sz="4" w:space="0" w:color="auto"/>
              <w:bottom w:val="single" w:sz="4" w:space="0" w:color="auto"/>
              <w:right w:val="single" w:sz="4" w:space="0" w:color="auto"/>
            </w:tcBorders>
            <w:shd w:val="clear" w:color="000000" w:fill="FFFFFF"/>
            <w:noWrap/>
            <w:vAlign w:val="center"/>
            <w:hideMark/>
          </w:tcPr>
          <w:p w14:paraId="31B77AB1" w14:textId="77777777" w:rsidR="00416D67" w:rsidRPr="00416D67" w:rsidRDefault="00416D67" w:rsidP="00416D67">
            <w:pPr>
              <w:rPr>
                <w:color w:val="000000"/>
                <w:sz w:val="20"/>
                <w:szCs w:val="20"/>
              </w:rPr>
            </w:pPr>
            <w:r w:rsidRPr="00416D67">
              <w:rPr>
                <w:color w:val="000000"/>
                <w:sz w:val="20"/>
                <w:szCs w:val="20"/>
              </w:rPr>
              <w:t>A100013</w:t>
            </w:r>
          </w:p>
        </w:tc>
        <w:tc>
          <w:tcPr>
            <w:tcW w:w="3165" w:type="dxa"/>
            <w:tcBorders>
              <w:top w:val="nil"/>
              <w:left w:val="nil"/>
              <w:bottom w:val="single" w:sz="4" w:space="0" w:color="auto"/>
              <w:right w:val="single" w:sz="4" w:space="0" w:color="auto"/>
            </w:tcBorders>
            <w:shd w:val="clear" w:color="000000" w:fill="FFFFFF"/>
            <w:vAlign w:val="center"/>
            <w:hideMark/>
          </w:tcPr>
          <w:p w14:paraId="66EAA241" w14:textId="77777777" w:rsidR="00416D67" w:rsidRPr="00416D67" w:rsidRDefault="00416D67" w:rsidP="00416D67">
            <w:pPr>
              <w:rPr>
                <w:color w:val="000000"/>
                <w:sz w:val="20"/>
                <w:szCs w:val="20"/>
              </w:rPr>
            </w:pPr>
            <w:r w:rsidRPr="00416D67">
              <w:rPr>
                <w:color w:val="000000"/>
                <w:sz w:val="20"/>
                <w:szCs w:val="20"/>
              </w:rPr>
              <w:t>Sufinanciranje manifestacije Dan mladih Istarske županije</w:t>
            </w:r>
          </w:p>
        </w:tc>
        <w:tc>
          <w:tcPr>
            <w:tcW w:w="1660" w:type="dxa"/>
            <w:tcBorders>
              <w:top w:val="nil"/>
              <w:left w:val="nil"/>
              <w:bottom w:val="single" w:sz="4" w:space="0" w:color="auto"/>
              <w:right w:val="single" w:sz="4" w:space="0" w:color="auto"/>
            </w:tcBorders>
            <w:shd w:val="clear" w:color="000000" w:fill="FFFFFF"/>
            <w:noWrap/>
            <w:vAlign w:val="center"/>
            <w:hideMark/>
          </w:tcPr>
          <w:p w14:paraId="525F7C2B" w14:textId="77777777" w:rsidR="00416D67" w:rsidRPr="00416D67" w:rsidRDefault="00416D67" w:rsidP="00416D67">
            <w:pPr>
              <w:jc w:val="right"/>
              <w:rPr>
                <w:color w:val="000000"/>
                <w:sz w:val="20"/>
                <w:szCs w:val="20"/>
              </w:rPr>
            </w:pPr>
            <w:r w:rsidRPr="00416D67">
              <w:rPr>
                <w:color w:val="000000"/>
                <w:sz w:val="20"/>
                <w:szCs w:val="20"/>
              </w:rPr>
              <w:t>265,45</w:t>
            </w:r>
          </w:p>
        </w:tc>
        <w:tc>
          <w:tcPr>
            <w:tcW w:w="1440" w:type="dxa"/>
            <w:tcBorders>
              <w:top w:val="nil"/>
              <w:left w:val="nil"/>
              <w:bottom w:val="single" w:sz="4" w:space="0" w:color="auto"/>
              <w:right w:val="single" w:sz="4" w:space="0" w:color="auto"/>
            </w:tcBorders>
            <w:shd w:val="clear" w:color="000000" w:fill="FFFFFF"/>
            <w:noWrap/>
            <w:vAlign w:val="center"/>
            <w:hideMark/>
          </w:tcPr>
          <w:p w14:paraId="342B4E52" w14:textId="77777777" w:rsidR="00416D67" w:rsidRPr="00416D67" w:rsidRDefault="00416D67" w:rsidP="00416D67">
            <w:pPr>
              <w:jc w:val="right"/>
              <w:rPr>
                <w:color w:val="000000"/>
                <w:sz w:val="20"/>
                <w:szCs w:val="20"/>
              </w:rPr>
            </w:pPr>
            <w:r w:rsidRPr="00416D67">
              <w:rPr>
                <w:color w:val="000000"/>
                <w:sz w:val="20"/>
                <w:szCs w:val="20"/>
              </w:rPr>
              <w:t>265,45</w:t>
            </w:r>
          </w:p>
        </w:tc>
        <w:tc>
          <w:tcPr>
            <w:tcW w:w="1420" w:type="dxa"/>
            <w:tcBorders>
              <w:top w:val="nil"/>
              <w:left w:val="nil"/>
              <w:bottom w:val="single" w:sz="4" w:space="0" w:color="auto"/>
              <w:right w:val="single" w:sz="4" w:space="0" w:color="auto"/>
            </w:tcBorders>
            <w:shd w:val="clear" w:color="000000" w:fill="FFFFFF"/>
            <w:noWrap/>
            <w:vAlign w:val="center"/>
            <w:hideMark/>
          </w:tcPr>
          <w:p w14:paraId="7C686B50" w14:textId="77777777" w:rsidR="00416D67" w:rsidRPr="00416D67" w:rsidRDefault="00416D67" w:rsidP="00416D67">
            <w:pPr>
              <w:jc w:val="right"/>
              <w:rPr>
                <w:color w:val="000000"/>
                <w:sz w:val="20"/>
                <w:szCs w:val="20"/>
              </w:rPr>
            </w:pPr>
            <w:r w:rsidRPr="00416D67">
              <w:rPr>
                <w:color w:val="000000"/>
                <w:sz w:val="20"/>
                <w:szCs w:val="20"/>
              </w:rPr>
              <w:t>0,00</w:t>
            </w:r>
          </w:p>
        </w:tc>
        <w:tc>
          <w:tcPr>
            <w:tcW w:w="1300" w:type="dxa"/>
            <w:tcBorders>
              <w:top w:val="nil"/>
              <w:left w:val="nil"/>
              <w:bottom w:val="single" w:sz="4" w:space="0" w:color="auto"/>
              <w:right w:val="single" w:sz="4" w:space="0" w:color="auto"/>
            </w:tcBorders>
            <w:noWrap/>
            <w:vAlign w:val="center"/>
            <w:hideMark/>
          </w:tcPr>
          <w:p w14:paraId="4CE9DFDC" w14:textId="77777777" w:rsidR="00416D67" w:rsidRPr="00416D67" w:rsidRDefault="00416D67" w:rsidP="00416D67">
            <w:pPr>
              <w:jc w:val="right"/>
              <w:rPr>
                <w:color w:val="000000"/>
                <w:sz w:val="20"/>
                <w:szCs w:val="20"/>
              </w:rPr>
            </w:pPr>
            <w:r w:rsidRPr="00416D67">
              <w:rPr>
                <w:color w:val="000000"/>
                <w:sz w:val="20"/>
                <w:szCs w:val="20"/>
              </w:rPr>
              <w:t>0,00%</w:t>
            </w:r>
          </w:p>
        </w:tc>
      </w:tr>
      <w:tr w:rsidR="00416D67" w:rsidRPr="00416D67" w14:paraId="4B166E69" w14:textId="77777777" w:rsidTr="00BB1392">
        <w:trPr>
          <w:trHeight w:val="510"/>
        </w:trPr>
        <w:tc>
          <w:tcPr>
            <w:tcW w:w="855" w:type="dxa"/>
            <w:tcBorders>
              <w:top w:val="nil"/>
              <w:left w:val="single" w:sz="4" w:space="0" w:color="auto"/>
              <w:bottom w:val="single" w:sz="4" w:space="0" w:color="auto"/>
              <w:right w:val="single" w:sz="4" w:space="0" w:color="auto"/>
            </w:tcBorders>
            <w:shd w:val="clear" w:color="000000" w:fill="FFFFFF"/>
            <w:noWrap/>
            <w:vAlign w:val="center"/>
            <w:hideMark/>
          </w:tcPr>
          <w:p w14:paraId="39036CE3" w14:textId="77777777" w:rsidR="00416D67" w:rsidRPr="00416D67" w:rsidRDefault="00416D67" w:rsidP="00416D67">
            <w:pPr>
              <w:rPr>
                <w:color w:val="000000"/>
                <w:sz w:val="20"/>
                <w:szCs w:val="20"/>
              </w:rPr>
            </w:pPr>
            <w:r w:rsidRPr="00416D67">
              <w:rPr>
                <w:color w:val="000000"/>
                <w:sz w:val="20"/>
                <w:szCs w:val="20"/>
              </w:rPr>
              <w:t>A100014</w:t>
            </w:r>
          </w:p>
        </w:tc>
        <w:tc>
          <w:tcPr>
            <w:tcW w:w="3165" w:type="dxa"/>
            <w:tcBorders>
              <w:top w:val="nil"/>
              <w:left w:val="nil"/>
              <w:bottom w:val="single" w:sz="4" w:space="0" w:color="auto"/>
              <w:right w:val="single" w:sz="4" w:space="0" w:color="auto"/>
            </w:tcBorders>
            <w:shd w:val="clear" w:color="000000" w:fill="FFFFFF"/>
            <w:vAlign w:val="center"/>
            <w:hideMark/>
          </w:tcPr>
          <w:p w14:paraId="53751C8D" w14:textId="77777777" w:rsidR="00416D67" w:rsidRPr="00416D67" w:rsidRDefault="00416D67" w:rsidP="00416D67">
            <w:pPr>
              <w:rPr>
                <w:color w:val="000000"/>
                <w:sz w:val="20"/>
                <w:szCs w:val="20"/>
              </w:rPr>
            </w:pPr>
            <w:r w:rsidRPr="00416D67">
              <w:rPr>
                <w:color w:val="000000"/>
                <w:sz w:val="20"/>
                <w:szCs w:val="20"/>
              </w:rPr>
              <w:t xml:space="preserve">Sufinanciranje </w:t>
            </w:r>
            <w:proofErr w:type="spellStart"/>
            <w:r w:rsidRPr="00416D67">
              <w:rPr>
                <w:color w:val="000000"/>
                <w:sz w:val="20"/>
                <w:szCs w:val="20"/>
              </w:rPr>
              <w:t>manifestaije</w:t>
            </w:r>
            <w:proofErr w:type="spellEnd"/>
            <w:r w:rsidRPr="00416D67">
              <w:rPr>
                <w:color w:val="000000"/>
                <w:sz w:val="20"/>
                <w:szCs w:val="20"/>
              </w:rPr>
              <w:t xml:space="preserve"> Jerolimova</w:t>
            </w:r>
          </w:p>
        </w:tc>
        <w:tc>
          <w:tcPr>
            <w:tcW w:w="1660" w:type="dxa"/>
            <w:tcBorders>
              <w:top w:val="nil"/>
              <w:left w:val="nil"/>
              <w:bottom w:val="single" w:sz="4" w:space="0" w:color="auto"/>
              <w:right w:val="single" w:sz="4" w:space="0" w:color="auto"/>
            </w:tcBorders>
            <w:shd w:val="clear" w:color="000000" w:fill="FFFFFF"/>
            <w:noWrap/>
            <w:vAlign w:val="center"/>
            <w:hideMark/>
          </w:tcPr>
          <w:p w14:paraId="4ED53021" w14:textId="77777777" w:rsidR="00416D67" w:rsidRPr="00416D67" w:rsidRDefault="00416D67" w:rsidP="00416D67">
            <w:pPr>
              <w:jc w:val="right"/>
              <w:rPr>
                <w:color w:val="000000"/>
                <w:sz w:val="20"/>
                <w:szCs w:val="20"/>
              </w:rPr>
            </w:pPr>
            <w:r w:rsidRPr="00416D67">
              <w:rPr>
                <w:color w:val="000000"/>
                <w:sz w:val="20"/>
                <w:szCs w:val="20"/>
              </w:rPr>
              <w:t>0,00</w:t>
            </w:r>
          </w:p>
        </w:tc>
        <w:tc>
          <w:tcPr>
            <w:tcW w:w="1440" w:type="dxa"/>
            <w:tcBorders>
              <w:top w:val="nil"/>
              <w:left w:val="nil"/>
              <w:bottom w:val="single" w:sz="4" w:space="0" w:color="auto"/>
              <w:right w:val="single" w:sz="4" w:space="0" w:color="auto"/>
            </w:tcBorders>
            <w:shd w:val="clear" w:color="000000" w:fill="FFFFFF"/>
            <w:noWrap/>
            <w:vAlign w:val="center"/>
            <w:hideMark/>
          </w:tcPr>
          <w:p w14:paraId="63A432D6" w14:textId="77777777" w:rsidR="00416D67" w:rsidRPr="00416D67" w:rsidRDefault="00416D67" w:rsidP="00416D67">
            <w:pPr>
              <w:jc w:val="right"/>
              <w:rPr>
                <w:color w:val="000000"/>
                <w:sz w:val="20"/>
                <w:szCs w:val="20"/>
              </w:rPr>
            </w:pPr>
            <w:r w:rsidRPr="00416D67">
              <w:rPr>
                <w:color w:val="000000"/>
                <w:sz w:val="20"/>
                <w:szCs w:val="20"/>
              </w:rPr>
              <w:t>2.500,00</w:t>
            </w:r>
          </w:p>
        </w:tc>
        <w:tc>
          <w:tcPr>
            <w:tcW w:w="1420" w:type="dxa"/>
            <w:tcBorders>
              <w:top w:val="nil"/>
              <w:left w:val="nil"/>
              <w:bottom w:val="single" w:sz="4" w:space="0" w:color="auto"/>
              <w:right w:val="single" w:sz="4" w:space="0" w:color="auto"/>
            </w:tcBorders>
            <w:shd w:val="clear" w:color="000000" w:fill="FFFFFF"/>
            <w:noWrap/>
            <w:vAlign w:val="center"/>
            <w:hideMark/>
          </w:tcPr>
          <w:p w14:paraId="2D3F1535" w14:textId="77777777" w:rsidR="00416D67" w:rsidRPr="00416D67" w:rsidRDefault="00416D67" w:rsidP="00416D67">
            <w:pPr>
              <w:jc w:val="right"/>
              <w:rPr>
                <w:color w:val="000000"/>
                <w:sz w:val="20"/>
                <w:szCs w:val="20"/>
              </w:rPr>
            </w:pPr>
            <w:r w:rsidRPr="00416D67">
              <w:rPr>
                <w:color w:val="000000"/>
                <w:sz w:val="20"/>
                <w:szCs w:val="20"/>
              </w:rPr>
              <w:t>1.709,49</w:t>
            </w:r>
          </w:p>
        </w:tc>
        <w:tc>
          <w:tcPr>
            <w:tcW w:w="1300" w:type="dxa"/>
            <w:tcBorders>
              <w:top w:val="nil"/>
              <w:left w:val="nil"/>
              <w:bottom w:val="single" w:sz="4" w:space="0" w:color="auto"/>
              <w:right w:val="single" w:sz="4" w:space="0" w:color="auto"/>
            </w:tcBorders>
            <w:noWrap/>
            <w:vAlign w:val="center"/>
            <w:hideMark/>
          </w:tcPr>
          <w:p w14:paraId="681D6772" w14:textId="77777777" w:rsidR="00416D67" w:rsidRPr="00416D67" w:rsidRDefault="00416D67" w:rsidP="00416D67">
            <w:pPr>
              <w:jc w:val="right"/>
              <w:rPr>
                <w:color w:val="000000"/>
                <w:sz w:val="20"/>
                <w:szCs w:val="20"/>
              </w:rPr>
            </w:pPr>
            <w:r w:rsidRPr="00416D67">
              <w:rPr>
                <w:color w:val="000000"/>
                <w:sz w:val="20"/>
                <w:szCs w:val="20"/>
              </w:rPr>
              <w:t>0,00%</w:t>
            </w:r>
          </w:p>
        </w:tc>
      </w:tr>
      <w:tr w:rsidR="00416D67" w:rsidRPr="00416D67" w14:paraId="5198580D" w14:textId="77777777" w:rsidTr="00BB1392">
        <w:trPr>
          <w:trHeight w:val="510"/>
        </w:trPr>
        <w:tc>
          <w:tcPr>
            <w:tcW w:w="855" w:type="dxa"/>
            <w:tcBorders>
              <w:top w:val="nil"/>
              <w:left w:val="single" w:sz="4" w:space="0" w:color="auto"/>
              <w:bottom w:val="single" w:sz="4" w:space="0" w:color="auto"/>
              <w:right w:val="single" w:sz="4" w:space="0" w:color="auto"/>
            </w:tcBorders>
            <w:shd w:val="clear" w:color="000000" w:fill="FFFFFF"/>
            <w:noWrap/>
            <w:vAlign w:val="center"/>
            <w:hideMark/>
          </w:tcPr>
          <w:p w14:paraId="36967E7F" w14:textId="77777777" w:rsidR="00416D67" w:rsidRPr="00416D67" w:rsidRDefault="00416D67" w:rsidP="00416D67">
            <w:pPr>
              <w:rPr>
                <w:color w:val="000000"/>
                <w:sz w:val="20"/>
                <w:szCs w:val="20"/>
              </w:rPr>
            </w:pPr>
            <w:r w:rsidRPr="00416D67">
              <w:rPr>
                <w:color w:val="000000"/>
                <w:sz w:val="20"/>
                <w:szCs w:val="20"/>
              </w:rPr>
              <w:t>A100015</w:t>
            </w:r>
          </w:p>
        </w:tc>
        <w:tc>
          <w:tcPr>
            <w:tcW w:w="3165" w:type="dxa"/>
            <w:tcBorders>
              <w:top w:val="nil"/>
              <w:left w:val="nil"/>
              <w:bottom w:val="single" w:sz="4" w:space="0" w:color="auto"/>
              <w:right w:val="single" w:sz="4" w:space="0" w:color="auto"/>
            </w:tcBorders>
            <w:shd w:val="clear" w:color="000000" w:fill="FFFFFF"/>
            <w:vAlign w:val="center"/>
            <w:hideMark/>
          </w:tcPr>
          <w:p w14:paraId="467FAB7F" w14:textId="77777777" w:rsidR="00416D67" w:rsidRPr="00416D67" w:rsidRDefault="00416D67" w:rsidP="00416D67">
            <w:pPr>
              <w:rPr>
                <w:color w:val="000000"/>
                <w:sz w:val="20"/>
                <w:szCs w:val="20"/>
              </w:rPr>
            </w:pPr>
            <w:r w:rsidRPr="00416D67">
              <w:rPr>
                <w:color w:val="000000"/>
                <w:sz w:val="20"/>
                <w:szCs w:val="20"/>
              </w:rPr>
              <w:t xml:space="preserve">Sufinanciranje manifestacije </w:t>
            </w:r>
            <w:proofErr w:type="spellStart"/>
            <w:r w:rsidRPr="00416D67">
              <w:rPr>
                <w:color w:val="000000"/>
                <w:sz w:val="20"/>
                <w:szCs w:val="20"/>
              </w:rPr>
              <w:t>Zakantajmo</w:t>
            </w:r>
            <w:proofErr w:type="spellEnd"/>
            <w:r w:rsidRPr="00416D67">
              <w:rPr>
                <w:color w:val="000000"/>
                <w:sz w:val="20"/>
                <w:szCs w:val="20"/>
              </w:rPr>
              <w:t xml:space="preserve"> po domaću</w:t>
            </w:r>
          </w:p>
        </w:tc>
        <w:tc>
          <w:tcPr>
            <w:tcW w:w="1660" w:type="dxa"/>
            <w:tcBorders>
              <w:top w:val="nil"/>
              <w:left w:val="nil"/>
              <w:bottom w:val="single" w:sz="4" w:space="0" w:color="auto"/>
              <w:right w:val="single" w:sz="4" w:space="0" w:color="auto"/>
            </w:tcBorders>
            <w:shd w:val="clear" w:color="000000" w:fill="FFFFFF"/>
            <w:noWrap/>
            <w:vAlign w:val="center"/>
            <w:hideMark/>
          </w:tcPr>
          <w:p w14:paraId="2AE30D6A" w14:textId="77777777" w:rsidR="00416D67" w:rsidRPr="00416D67" w:rsidRDefault="00416D67" w:rsidP="00416D67">
            <w:pPr>
              <w:jc w:val="right"/>
              <w:rPr>
                <w:color w:val="000000"/>
                <w:sz w:val="20"/>
                <w:szCs w:val="20"/>
              </w:rPr>
            </w:pPr>
            <w:r w:rsidRPr="00416D67">
              <w:rPr>
                <w:color w:val="000000"/>
                <w:sz w:val="20"/>
                <w:szCs w:val="20"/>
              </w:rPr>
              <w:t>0,00</w:t>
            </w:r>
          </w:p>
        </w:tc>
        <w:tc>
          <w:tcPr>
            <w:tcW w:w="1440" w:type="dxa"/>
            <w:tcBorders>
              <w:top w:val="nil"/>
              <w:left w:val="nil"/>
              <w:bottom w:val="single" w:sz="4" w:space="0" w:color="auto"/>
              <w:right w:val="single" w:sz="4" w:space="0" w:color="auto"/>
            </w:tcBorders>
            <w:shd w:val="clear" w:color="000000" w:fill="FFFFFF"/>
            <w:noWrap/>
            <w:vAlign w:val="center"/>
            <w:hideMark/>
          </w:tcPr>
          <w:p w14:paraId="63867306" w14:textId="77777777" w:rsidR="00416D67" w:rsidRPr="00416D67" w:rsidRDefault="00416D67" w:rsidP="00416D67">
            <w:pPr>
              <w:jc w:val="right"/>
              <w:rPr>
                <w:color w:val="000000"/>
                <w:sz w:val="20"/>
                <w:szCs w:val="20"/>
              </w:rPr>
            </w:pPr>
            <w:r w:rsidRPr="00416D67">
              <w:rPr>
                <w:color w:val="000000"/>
                <w:sz w:val="20"/>
                <w:szCs w:val="20"/>
              </w:rPr>
              <w:t>500,00</w:t>
            </w:r>
          </w:p>
        </w:tc>
        <w:tc>
          <w:tcPr>
            <w:tcW w:w="1420" w:type="dxa"/>
            <w:tcBorders>
              <w:top w:val="nil"/>
              <w:left w:val="nil"/>
              <w:bottom w:val="single" w:sz="4" w:space="0" w:color="auto"/>
              <w:right w:val="single" w:sz="4" w:space="0" w:color="auto"/>
            </w:tcBorders>
            <w:shd w:val="clear" w:color="000000" w:fill="FFFFFF"/>
            <w:noWrap/>
            <w:vAlign w:val="center"/>
            <w:hideMark/>
          </w:tcPr>
          <w:p w14:paraId="37F78D04" w14:textId="77777777" w:rsidR="00416D67" w:rsidRPr="00416D67" w:rsidRDefault="00416D67" w:rsidP="00416D67">
            <w:pPr>
              <w:jc w:val="right"/>
              <w:rPr>
                <w:color w:val="000000"/>
                <w:sz w:val="20"/>
                <w:szCs w:val="20"/>
              </w:rPr>
            </w:pPr>
            <w:r w:rsidRPr="00416D67">
              <w:rPr>
                <w:color w:val="000000"/>
                <w:sz w:val="20"/>
                <w:szCs w:val="20"/>
              </w:rPr>
              <w:t>499,35</w:t>
            </w:r>
          </w:p>
        </w:tc>
        <w:tc>
          <w:tcPr>
            <w:tcW w:w="1300" w:type="dxa"/>
            <w:tcBorders>
              <w:top w:val="nil"/>
              <w:left w:val="nil"/>
              <w:bottom w:val="single" w:sz="4" w:space="0" w:color="auto"/>
              <w:right w:val="single" w:sz="4" w:space="0" w:color="auto"/>
            </w:tcBorders>
            <w:noWrap/>
            <w:vAlign w:val="center"/>
            <w:hideMark/>
          </w:tcPr>
          <w:p w14:paraId="2EE99225" w14:textId="77777777" w:rsidR="00416D67" w:rsidRPr="00416D67" w:rsidRDefault="00416D67" w:rsidP="00416D67">
            <w:pPr>
              <w:jc w:val="right"/>
              <w:rPr>
                <w:color w:val="000000"/>
                <w:sz w:val="20"/>
                <w:szCs w:val="20"/>
              </w:rPr>
            </w:pPr>
            <w:r w:rsidRPr="00416D67">
              <w:rPr>
                <w:color w:val="000000"/>
                <w:sz w:val="20"/>
                <w:szCs w:val="20"/>
              </w:rPr>
              <w:t>0,00%</w:t>
            </w:r>
          </w:p>
        </w:tc>
      </w:tr>
      <w:tr w:rsidR="00416D67" w:rsidRPr="00416D67" w14:paraId="5CCD2026" w14:textId="77777777" w:rsidTr="00BB1392">
        <w:trPr>
          <w:trHeight w:val="300"/>
        </w:trPr>
        <w:tc>
          <w:tcPr>
            <w:tcW w:w="855" w:type="dxa"/>
            <w:tcBorders>
              <w:top w:val="nil"/>
              <w:left w:val="single" w:sz="4" w:space="0" w:color="auto"/>
              <w:bottom w:val="single" w:sz="4" w:space="0" w:color="auto"/>
              <w:right w:val="single" w:sz="4" w:space="0" w:color="auto"/>
            </w:tcBorders>
            <w:shd w:val="clear" w:color="000000" w:fill="FFFFFF"/>
            <w:noWrap/>
            <w:vAlign w:val="center"/>
            <w:hideMark/>
          </w:tcPr>
          <w:p w14:paraId="5C76D6EB" w14:textId="77777777" w:rsidR="00416D67" w:rsidRPr="00416D67" w:rsidRDefault="00416D67" w:rsidP="00416D67">
            <w:pPr>
              <w:rPr>
                <w:color w:val="000000"/>
                <w:sz w:val="20"/>
                <w:szCs w:val="20"/>
              </w:rPr>
            </w:pPr>
            <w:r w:rsidRPr="00416D67">
              <w:rPr>
                <w:color w:val="000000"/>
                <w:sz w:val="20"/>
                <w:szCs w:val="20"/>
              </w:rPr>
              <w:t>K100001</w:t>
            </w:r>
          </w:p>
        </w:tc>
        <w:tc>
          <w:tcPr>
            <w:tcW w:w="3165" w:type="dxa"/>
            <w:tcBorders>
              <w:top w:val="nil"/>
              <w:left w:val="nil"/>
              <w:bottom w:val="single" w:sz="4" w:space="0" w:color="auto"/>
              <w:right w:val="single" w:sz="4" w:space="0" w:color="auto"/>
            </w:tcBorders>
            <w:shd w:val="clear" w:color="000000" w:fill="FFFFFF"/>
            <w:vAlign w:val="center"/>
            <w:hideMark/>
          </w:tcPr>
          <w:p w14:paraId="561FDA4C" w14:textId="77777777" w:rsidR="00416D67" w:rsidRPr="00416D67" w:rsidRDefault="00416D67" w:rsidP="00416D67">
            <w:pPr>
              <w:rPr>
                <w:color w:val="000000"/>
                <w:sz w:val="20"/>
                <w:szCs w:val="20"/>
              </w:rPr>
            </w:pPr>
            <w:proofErr w:type="spellStart"/>
            <w:r w:rsidRPr="00416D67">
              <w:rPr>
                <w:color w:val="000000"/>
                <w:sz w:val="20"/>
                <w:szCs w:val="20"/>
              </w:rPr>
              <w:t>Arehološki</w:t>
            </w:r>
            <w:proofErr w:type="spellEnd"/>
            <w:r w:rsidRPr="00416D67">
              <w:rPr>
                <w:color w:val="000000"/>
                <w:sz w:val="20"/>
                <w:szCs w:val="20"/>
              </w:rPr>
              <w:t xml:space="preserve"> lokalitet "Stari </w:t>
            </w:r>
            <w:proofErr w:type="spellStart"/>
            <w:r w:rsidRPr="00416D67">
              <w:rPr>
                <w:color w:val="000000"/>
                <w:sz w:val="20"/>
                <w:szCs w:val="20"/>
              </w:rPr>
              <w:t>Rakalj</w:t>
            </w:r>
            <w:proofErr w:type="spellEnd"/>
            <w:r w:rsidRPr="00416D67">
              <w:rPr>
                <w:color w:val="000000"/>
                <w:sz w:val="20"/>
                <w:szCs w:val="20"/>
              </w:rPr>
              <w:t>"</w:t>
            </w:r>
          </w:p>
        </w:tc>
        <w:tc>
          <w:tcPr>
            <w:tcW w:w="1660" w:type="dxa"/>
            <w:tcBorders>
              <w:top w:val="nil"/>
              <w:left w:val="nil"/>
              <w:bottom w:val="single" w:sz="4" w:space="0" w:color="auto"/>
              <w:right w:val="single" w:sz="4" w:space="0" w:color="auto"/>
            </w:tcBorders>
            <w:shd w:val="clear" w:color="000000" w:fill="FFFFFF"/>
            <w:noWrap/>
            <w:vAlign w:val="center"/>
            <w:hideMark/>
          </w:tcPr>
          <w:p w14:paraId="1F068927" w14:textId="77777777" w:rsidR="00416D67" w:rsidRPr="00416D67" w:rsidRDefault="00416D67" w:rsidP="00416D67">
            <w:pPr>
              <w:jc w:val="right"/>
              <w:rPr>
                <w:color w:val="000000"/>
                <w:sz w:val="20"/>
                <w:szCs w:val="20"/>
              </w:rPr>
            </w:pPr>
            <w:r w:rsidRPr="00416D67">
              <w:rPr>
                <w:color w:val="000000"/>
                <w:sz w:val="20"/>
                <w:szCs w:val="20"/>
              </w:rPr>
              <w:t>36.068,25</w:t>
            </w:r>
          </w:p>
        </w:tc>
        <w:tc>
          <w:tcPr>
            <w:tcW w:w="1440" w:type="dxa"/>
            <w:tcBorders>
              <w:top w:val="nil"/>
              <w:left w:val="nil"/>
              <w:bottom w:val="single" w:sz="4" w:space="0" w:color="auto"/>
              <w:right w:val="single" w:sz="4" w:space="0" w:color="auto"/>
            </w:tcBorders>
            <w:shd w:val="clear" w:color="000000" w:fill="FFFFFF"/>
            <w:noWrap/>
            <w:vAlign w:val="center"/>
            <w:hideMark/>
          </w:tcPr>
          <w:p w14:paraId="58C85417" w14:textId="77777777" w:rsidR="00416D67" w:rsidRPr="00416D67" w:rsidRDefault="00416D67" w:rsidP="00416D67">
            <w:pPr>
              <w:jc w:val="right"/>
              <w:rPr>
                <w:color w:val="000000"/>
                <w:sz w:val="20"/>
                <w:szCs w:val="20"/>
              </w:rPr>
            </w:pPr>
            <w:r w:rsidRPr="00416D67">
              <w:rPr>
                <w:color w:val="000000"/>
                <w:sz w:val="20"/>
                <w:szCs w:val="20"/>
              </w:rPr>
              <w:t>38.380,00</w:t>
            </w:r>
          </w:p>
        </w:tc>
        <w:tc>
          <w:tcPr>
            <w:tcW w:w="1420" w:type="dxa"/>
            <w:tcBorders>
              <w:top w:val="nil"/>
              <w:left w:val="nil"/>
              <w:bottom w:val="single" w:sz="4" w:space="0" w:color="auto"/>
              <w:right w:val="single" w:sz="4" w:space="0" w:color="auto"/>
            </w:tcBorders>
            <w:shd w:val="clear" w:color="000000" w:fill="FFFFFF"/>
            <w:noWrap/>
            <w:vAlign w:val="center"/>
            <w:hideMark/>
          </w:tcPr>
          <w:p w14:paraId="184ED5AB" w14:textId="77777777" w:rsidR="00416D67" w:rsidRPr="00416D67" w:rsidRDefault="00416D67" w:rsidP="00416D67">
            <w:pPr>
              <w:jc w:val="right"/>
              <w:rPr>
                <w:color w:val="000000"/>
                <w:sz w:val="20"/>
                <w:szCs w:val="20"/>
              </w:rPr>
            </w:pPr>
            <w:r w:rsidRPr="00416D67">
              <w:rPr>
                <w:color w:val="000000"/>
                <w:sz w:val="20"/>
                <w:szCs w:val="20"/>
              </w:rPr>
              <w:t>35.510,00</w:t>
            </w:r>
          </w:p>
        </w:tc>
        <w:tc>
          <w:tcPr>
            <w:tcW w:w="1300" w:type="dxa"/>
            <w:tcBorders>
              <w:top w:val="nil"/>
              <w:left w:val="nil"/>
              <w:bottom w:val="single" w:sz="4" w:space="0" w:color="auto"/>
              <w:right w:val="single" w:sz="4" w:space="0" w:color="auto"/>
            </w:tcBorders>
            <w:noWrap/>
            <w:vAlign w:val="center"/>
            <w:hideMark/>
          </w:tcPr>
          <w:p w14:paraId="2367B666" w14:textId="77777777" w:rsidR="00416D67" w:rsidRPr="00416D67" w:rsidRDefault="00416D67" w:rsidP="00416D67">
            <w:pPr>
              <w:jc w:val="right"/>
              <w:rPr>
                <w:color w:val="000000"/>
                <w:sz w:val="20"/>
                <w:szCs w:val="20"/>
              </w:rPr>
            </w:pPr>
            <w:r w:rsidRPr="00416D67">
              <w:rPr>
                <w:color w:val="000000"/>
                <w:sz w:val="20"/>
                <w:szCs w:val="20"/>
              </w:rPr>
              <w:t>98,45%</w:t>
            </w:r>
          </w:p>
        </w:tc>
      </w:tr>
      <w:tr w:rsidR="00416D67" w:rsidRPr="00416D67" w14:paraId="4B8AFBCB" w14:textId="77777777" w:rsidTr="00BB1392">
        <w:trPr>
          <w:trHeight w:val="510"/>
        </w:trPr>
        <w:tc>
          <w:tcPr>
            <w:tcW w:w="855" w:type="dxa"/>
            <w:tcBorders>
              <w:top w:val="nil"/>
              <w:left w:val="single" w:sz="4" w:space="0" w:color="auto"/>
              <w:bottom w:val="single" w:sz="4" w:space="0" w:color="auto"/>
              <w:right w:val="single" w:sz="4" w:space="0" w:color="auto"/>
            </w:tcBorders>
            <w:shd w:val="clear" w:color="000000" w:fill="FFFFFF"/>
            <w:noWrap/>
            <w:vAlign w:val="center"/>
            <w:hideMark/>
          </w:tcPr>
          <w:p w14:paraId="44573B61" w14:textId="77777777" w:rsidR="00416D67" w:rsidRPr="00416D67" w:rsidRDefault="00416D67" w:rsidP="00416D67">
            <w:pPr>
              <w:rPr>
                <w:color w:val="000000"/>
                <w:sz w:val="20"/>
                <w:szCs w:val="20"/>
              </w:rPr>
            </w:pPr>
            <w:r w:rsidRPr="00416D67">
              <w:rPr>
                <w:color w:val="000000"/>
                <w:sz w:val="20"/>
                <w:szCs w:val="20"/>
              </w:rPr>
              <w:t>K100002</w:t>
            </w:r>
          </w:p>
        </w:tc>
        <w:tc>
          <w:tcPr>
            <w:tcW w:w="3165" w:type="dxa"/>
            <w:tcBorders>
              <w:top w:val="nil"/>
              <w:left w:val="nil"/>
              <w:bottom w:val="single" w:sz="4" w:space="0" w:color="auto"/>
              <w:right w:val="single" w:sz="4" w:space="0" w:color="auto"/>
            </w:tcBorders>
            <w:shd w:val="clear" w:color="000000" w:fill="FFFFFF"/>
            <w:vAlign w:val="center"/>
            <w:hideMark/>
          </w:tcPr>
          <w:p w14:paraId="618DCF74" w14:textId="77777777" w:rsidR="00416D67" w:rsidRPr="00416D67" w:rsidRDefault="00416D67" w:rsidP="00416D67">
            <w:pPr>
              <w:rPr>
                <w:color w:val="000000"/>
                <w:sz w:val="20"/>
                <w:szCs w:val="20"/>
              </w:rPr>
            </w:pPr>
            <w:r w:rsidRPr="00416D67">
              <w:rPr>
                <w:color w:val="000000"/>
                <w:sz w:val="20"/>
                <w:szCs w:val="20"/>
              </w:rPr>
              <w:t>Arheološka istraživanja Hrvatski restauratorski zavod</w:t>
            </w:r>
          </w:p>
        </w:tc>
        <w:tc>
          <w:tcPr>
            <w:tcW w:w="1660" w:type="dxa"/>
            <w:tcBorders>
              <w:top w:val="nil"/>
              <w:left w:val="nil"/>
              <w:bottom w:val="single" w:sz="4" w:space="0" w:color="auto"/>
              <w:right w:val="single" w:sz="4" w:space="0" w:color="auto"/>
            </w:tcBorders>
            <w:shd w:val="clear" w:color="000000" w:fill="FFFFFF"/>
            <w:noWrap/>
            <w:vAlign w:val="center"/>
            <w:hideMark/>
          </w:tcPr>
          <w:p w14:paraId="185C7F77" w14:textId="77777777" w:rsidR="00416D67" w:rsidRPr="00416D67" w:rsidRDefault="00416D67" w:rsidP="00416D67">
            <w:pPr>
              <w:jc w:val="right"/>
              <w:rPr>
                <w:color w:val="000000"/>
                <w:sz w:val="20"/>
                <w:szCs w:val="20"/>
              </w:rPr>
            </w:pPr>
            <w:r w:rsidRPr="00416D67">
              <w:rPr>
                <w:color w:val="000000"/>
                <w:sz w:val="20"/>
                <w:szCs w:val="20"/>
              </w:rPr>
              <w:t>5.500,00</w:t>
            </w:r>
          </w:p>
        </w:tc>
        <w:tc>
          <w:tcPr>
            <w:tcW w:w="1440" w:type="dxa"/>
            <w:tcBorders>
              <w:top w:val="nil"/>
              <w:left w:val="nil"/>
              <w:bottom w:val="single" w:sz="4" w:space="0" w:color="auto"/>
              <w:right w:val="single" w:sz="4" w:space="0" w:color="auto"/>
            </w:tcBorders>
            <w:shd w:val="clear" w:color="000000" w:fill="FFFFFF"/>
            <w:noWrap/>
            <w:vAlign w:val="center"/>
            <w:hideMark/>
          </w:tcPr>
          <w:p w14:paraId="2F92C868" w14:textId="77777777" w:rsidR="00416D67" w:rsidRPr="00416D67" w:rsidRDefault="00416D67" w:rsidP="00416D67">
            <w:pPr>
              <w:jc w:val="right"/>
              <w:rPr>
                <w:color w:val="000000"/>
                <w:sz w:val="20"/>
                <w:szCs w:val="20"/>
              </w:rPr>
            </w:pPr>
            <w:r w:rsidRPr="00416D67">
              <w:rPr>
                <w:color w:val="000000"/>
                <w:sz w:val="20"/>
                <w:szCs w:val="20"/>
              </w:rPr>
              <w:t>0,00</w:t>
            </w:r>
          </w:p>
        </w:tc>
        <w:tc>
          <w:tcPr>
            <w:tcW w:w="1420" w:type="dxa"/>
            <w:tcBorders>
              <w:top w:val="nil"/>
              <w:left w:val="nil"/>
              <w:bottom w:val="single" w:sz="4" w:space="0" w:color="auto"/>
              <w:right w:val="single" w:sz="4" w:space="0" w:color="auto"/>
            </w:tcBorders>
            <w:shd w:val="clear" w:color="000000" w:fill="FFFFFF"/>
            <w:noWrap/>
            <w:vAlign w:val="center"/>
            <w:hideMark/>
          </w:tcPr>
          <w:p w14:paraId="2D1EFEE5" w14:textId="77777777" w:rsidR="00416D67" w:rsidRPr="00416D67" w:rsidRDefault="00416D67" w:rsidP="00416D67">
            <w:pPr>
              <w:jc w:val="right"/>
              <w:rPr>
                <w:color w:val="000000"/>
                <w:sz w:val="20"/>
                <w:szCs w:val="20"/>
              </w:rPr>
            </w:pPr>
            <w:r w:rsidRPr="00416D67">
              <w:rPr>
                <w:color w:val="000000"/>
                <w:sz w:val="20"/>
                <w:szCs w:val="20"/>
              </w:rPr>
              <w:t>0,00</w:t>
            </w:r>
          </w:p>
        </w:tc>
        <w:tc>
          <w:tcPr>
            <w:tcW w:w="1300" w:type="dxa"/>
            <w:tcBorders>
              <w:top w:val="nil"/>
              <w:left w:val="nil"/>
              <w:bottom w:val="single" w:sz="4" w:space="0" w:color="auto"/>
              <w:right w:val="single" w:sz="4" w:space="0" w:color="auto"/>
            </w:tcBorders>
            <w:noWrap/>
            <w:vAlign w:val="center"/>
            <w:hideMark/>
          </w:tcPr>
          <w:p w14:paraId="19256B1D" w14:textId="77777777" w:rsidR="00416D67" w:rsidRPr="00416D67" w:rsidRDefault="00416D67" w:rsidP="00416D67">
            <w:pPr>
              <w:jc w:val="right"/>
              <w:rPr>
                <w:color w:val="000000"/>
                <w:sz w:val="20"/>
                <w:szCs w:val="20"/>
              </w:rPr>
            </w:pPr>
            <w:r w:rsidRPr="00416D67">
              <w:rPr>
                <w:color w:val="000000"/>
                <w:sz w:val="20"/>
                <w:szCs w:val="20"/>
              </w:rPr>
              <w:t>0,00%</w:t>
            </w:r>
          </w:p>
        </w:tc>
      </w:tr>
      <w:tr w:rsidR="00416D67" w:rsidRPr="00416D67" w14:paraId="1512B06E" w14:textId="77777777" w:rsidTr="00BB1392">
        <w:trPr>
          <w:trHeight w:val="510"/>
        </w:trPr>
        <w:tc>
          <w:tcPr>
            <w:tcW w:w="855" w:type="dxa"/>
            <w:tcBorders>
              <w:top w:val="nil"/>
              <w:left w:val="single" w:sz="4" w:space="0" w:color="auto"/>
              <w:bottom w:val="single" w:sz="4" w:space="0" w:color="auto"/>
              <w:right w:val="single" w:sz="4" w:space="0" w:color="auto"/>
            </w:tcBorders>
            <w:shd w:val="clear" w:color="000000" w:fill="FFFFFF"/>
            <w:noWrap/>
            <w:vAlign w:val="center"/>
            <w:hideMark/>
          </w:tcPr>
          <w:p w14:paraId="2DEA86CB" w14:textId="77777777" w:rsidR="00416D67" w:rsidRPr="00416D67" w:rsidRDefault="00416D67" w:rsidP="00416D67">
            <w:pPr>
              <w:rPr>
                <w:color w:val="000000"/>
                <w:sz w:val="20"/>
                <w:szCs w:val="20"/>
              </w:rPr>
            </w:pPr>
            <w:r w:rsidRPr="00416D67">
              <w:rPr>
                <w:color w:val="000000"/>
                <w:sz w:val="20"/>
                <w:szCs w:val="20"/>
              </w:rPr>
              <w:t>K100016</w:t>
            </w:r>
          </w:p>
        </w:tc>
        <w:tc>
          <w:tcPr>
            <w:tcW w:w="3165" w:type="dxa"/>
            <w:tcBorders>
              <w:top w:val="nil"/>
              <w:left w:val="nil"/>
              <w:bottom w:val="single" w:sz="4" w:space="0" w:color="auto"/>
              <w:right w:val="single" w:sz="4" w:space="0" w:color="auto"/>
            </w:tcBorders>
            <w:shd w:val="clear" w:color="000000" w:fill="FFFFFF"/>
            <w:vAlign w:val="center"/>
            <w:hideMark/>
          </w:tcPr>
          <w:p w14:paraId="1941F0BE" w14:textId="77777777" w:rsidR="00416D67" w:rsidRPr="00416D67" w:rsidRDefault="00416D67" w:rsidP="00416D67">
            <w:pPr>
              <w:rPr>
                <w:color w:val="000000"/>
                <w:sz w:val="20"/>
                <w:szCs w:val="20"/>
              </w:rPr>
            </w:pPr>
            <w:r w:rsidRPr="00416D67">
              <w:rPr>
                <w:color w:val="000000"/>
                <w:sz w:val="20"/>
                <w:szCs w:val="20"/>
              </w:rPr>
              <w:t xml:space="preserve">Sanacija kulturne baštine </w:t>
            </w:r>
            <w:proofErr w:type="spellStart"/>
            <w:r w:rsidRPr="00416D67">
              <w:rPr>
                <w:color w:val="000000"/>
                <w:sz w:val="20"/>
                <w:szCs w:val="20"/>
              </w:rPr>
              <w:t>Mutvoran</w:t>
            </w:r>
            <w:proofErr w:type="spellEnd"/>
          </w:p>
        </w:tc>
        <w:tc>
          <w:tcPr>
            <w:tcW w:w="1660" w:type="dxa"/>
            <w:tcBorders>
              <w:top w:val="nil"/>
              <w:left w:val="nil"/>
              <w:bottom w:val="single" w:sz="4" w:space="0" w:color="auto"/>
              <w:right w:val="single" w:sz="4" w:space="0" w:color="auto"/>
            </w:tcBorders>
            <w:shd w:val="clear" w:color="000000" w:fill="FFFFFF"/>
            <w:noWrap/>
            <w:vAlign w:val="center"/>
            <w:hideMark/>
          </w:tcPr>
          <w:p w14:paraId="11BD5815" w14:textId="77777777" w:rsidR="00416D67" w:rsidRPr="00416D67" w:rsidRDefault="00416D67" w:rsidP="00416D67">
            <w:pPr>
              <w:jc w:val="right"/>
              <w:rPr>
                <w:color w:val="000000"/>
                <w:sz w:val="20"/>
                <w:szCs w:val="20"/>
              </w:rPr>
            </w:pPr>
            <w:r w:rsidRPr="00416D67">
              <w:rPr>
                <w:color w:val="000000"/>
                <w:sz w:val="20"/>
                <w:szCs w:val="20"/>
              </w:rPr>
              <w:t>19.766,88</w:t>
            </w:r>
          </w:p>
        </w:tc>
        <w:tc>
          <w:tcPr>
            <w:tcW w:w="1440" w:type="dxa"/>
            <w:tcBorders>
              <w:top w:val="nil"/>
              <w:left w:val="nil"/>
              <w:bottom w:val="single" w:sz="4" w:space="0" w:color="auto"/>
              <w:right w:val="single" w:sz="4" w:space="0" w:color="auto"/>
            </w:tcBorders>
            <w:shd w:val="clear" w:color="000000" w:fill="FFFFFF"/>
            <w:noWrap/>
            <w:vAlign w:val="center"/>
            <w:hideMark/>
          </w:tcPr>
          <w:p w14:paraId="27E8D3CE" w14:textId="77777777" w:rsidR="00416D67" w:rsidRPr="00416D67" w:rsidRDefault="00416D67" w:rsidP="00416D67">
            <w:pPr>
              <w:jc w:val="right"/>
              <w:rPr>
                <w:color w:val="000000"/>
                <w:sz w:val="20"/>
                <w:szCs w:val="20"/>
              </w:rPr>
            </w:pPr>
            <w:r w:rsidRPr="00416D67">
              <w:rPr>
                <w:color w:val="000000"/>
                <w:sz w:val="20"/>
                <w:szCs w:val="20"/>
              </w:rPr>
              <w:t>37.715,94</w:t>
            </w:r>
          </w:p>
        </w:tc>
        <w:tc>
          <w:tcPr>
            <w:tcW w:w="1420" w:type="dxa"/>
            <w:tcBorders>
              <w:top w:val="nil"/>
              <w:left w:val="nil"/>
              <w:bottom w:val="single" w:sz="4" w:space="0" w:color="auto"/>
              <w:right w:val="single" w:sz="4" w:space="0" w:color="auto"/>
            </w:tcBorders>
            <w:shd w:val="clear" w:color="000000" w:fill="FFFFFF"/>
            <w:noWrap/>
            <w:vAlign w:val="center"/>
            <w:hideMark/>
          </w:tcPr>
          <w:p w14:paraId="2A1245D4" w14:textId="77777777" w:rsidR="00416D67" w:rsidRPr="00416D67" w:rsidRDefault="00416D67" w:rsidP="00416D67">
            <w:pPr>
              <w:jc w:val="right"/>
              <w:rPr>
                <w:color w:val="000000"/>
                <w:sz w:val="20"/>
                <w:szCs w:val="20"/>
              </w:rPr>
            </w:pPr>
            <w:r w:rsidRPr="00416D67">
              <w:rPr>
                <w:color w:val="000000"/>
                <w:sz w:val="20"/>
                <w:szCs w:val="20"/>
              </w:rPr>
              <w:t>37.715,94</w:t>
            </w:r>
          </w:p>
        </w:tc>
        <w:tc>
          <w:tcPr>
            <w:tcW w:w="1300" w:type="dxa"/>
            <w:tcBorders>
              <w:top w:val="nil"/>
              <w:left w:val="nil"/>
              <w:bottom w:val="single" w:sz="4" w:space="0" w:color="auto"/>
              <w:right w:val="single" w:sz="4" w:space="0" w:color="auto"/>
            </w:tcBorders>
            <w:noWrap/>
            <w:vAlign w:val="center"/>
            <w:hideMark/>
          </w:tcPr>
          <w:p w14:paraId="1A0D8E24" w14:textId="77777777" w:rsidR="00416D67" w:rsidRPr="00416D67" w:rsidRDefault="00416D67" w:rsidP="00416D67">
            <w:pPr>
              <w:jc w:val="right"/>
              <w:rPr>
                <w:color w:val="000000"/>
                <w:sz w:val="20"/>
                <w:szCs w:val="20"/>
              </w:rPr>
            </w:pPr>
            <w:r w:rsidRPr="00416D67">
              <w:rPr>
                <w:color w:val="000000"/>
                <w:sz w:val="20"/>
                <w:szCs w:val="20"/>
              </w:rPr>
              <w:t>190,80%</w:t>
            </w:r>
          </w:p>
        </w:tc>
      </w:tr>
      <w:tr w:rsidR="00416D67" w:rsidRPr="00416D67" w14:paraId="352A8456" w14:textId="77777777" w:rsidTr="00BB1392">
        <w:trPr>
          <w:trHeight w:val="510"/>
        </w:trPr>
        <w:tc>
          <w:tcPr>
            <w:tcW w:w="855" w:type="dxa"/>
            <w:tcBorders>
              <w:top w:val="nil"/>
              <w:left w:val="single" w:sz="4" w:space="0" w:color="auto"/>
              <w:bottom w:val="single" w:sz="4" w:space="0" w:color="auto"/>
              <w:right w:val="single" w:sz="4" w:space="0" w:color="auto"/>
            </w:tcBorders>
            <w:shd w:val="clear" w:color="000000" w:fill="FFFFFF"/>
            <w:noWrap/>
            <w:vAlign w:val="center"/>
            <w:hideMark/>
          </w:tcPr>
          <w:p w14:paraId="09072C07" w14:textId="77777777" w:rsidR="00416D67" w:rsidRPr="00416D67" w:rsidRDefault="00416D67" w:rsidP="00416D67">
            <w:pPr>
              <w:rPr>
                <w:color w:val="000000"/>
                <w:sz w:val="20"/>
                <w:szCs w:val="20"/>
              </w:rPr>
            </w:pPr>
            <w:r w:rsidRPr="00416D67">
              <w:rPr>
                <w:color w:val="000000"/>
                <w:sz w:val="20"/>
                <w:szCs w:val="20"/>
              </w:rPr>
              <w:t>K100020</w:t>
            </w:r>
          </w:p>
        </w:tc>
        <w:tc>
          <w:tcPr>
            <w:tcW w:w="3165" w:type="dxa"/>
            <w:tcBorders>
              <w:top w:val="nil"/>
              <w:left w:val="nil"/>
              <w:bottom w:val="single" w:sz="4" w:space="0" w:color="auto"/>
              <w:right w:val="single" w:sz="4" w:space="0" w:color="auto"/>
            </w:tcBorders>
            <w:vAlign w:val="center"/>
            <w:hideMark/>
          </w:tcPr>
          <w:p w14:paraId="7330C7A1" w14:textId="77777777" w:rsidR="00416D67" w:rsidRPr="00416D67" w:rsidRDefault="00416D67" w:rsidP="00416D67">
            <w:pPr>
              <w:rPr>
                <w:color w:val="000000"/>
                <w:sz w:val="20"/>
                <w:szCs w:val="20"/>
              </w:rPr>
            </w:pPr>
            <w:r w:rsidRPr="00416D67">
              <w:rPr>
                <w:color w:val="000000"/>
                <w:sz w:val="20"/>
                <w:szCs w:val="20"/>
              </w:rPr>
              <w:t xml:space="preserve">Uređenje spomen kuće </w:t>
            </w:r>
            <w:proofErr w:type="spellStart"/>
            <w:r w:rsidRPr="00416D67">
              <w:rPr>
                <w:color w:val="000000"/>
                <w:sz w:val="20"/>
                <w:szCs w:val="20"/>
              </w:rPr>
              <w:t>bicikliizma</w:t>
            </w:r>
            <w:proofErr w:type="spellEnd"/>
            <w:r w:rsidRPr="00416D67">
              <w:rPr>
                <w:color w:val="000000"/>
                <w:sz w:val="20"/>
                <w:szCs w:val="20"/>
              </w:rPr>
              <w:t xml:space="preserve"> u </w:t>
            </w:r>
            <w:proofErr w:type="spellStart"/>
            <w:r w:rsidRPr="00416D67">
              <w:rPr>
                <w:color w:val="000000"/>
                <w:sz w:val="20"/>
                <w:szCs w:val="20"/>
              </w:rPr>
              <w:t>Loborici</w:t>
            </w:r>
            <w:proofErr w:type="spellEnd"/>
          </w:p>
        </w:tc>
        <w:tc>
          <w:tcPr>
            <w:tcW w:w="1660" w:type="dxa"/>
            <w:tcBorders>
              <w:top w:val="nil"/>
              <w:left w:val="nil"/>
              <w:bottom w:val="single" w:sz="4" w:space="0" w:color="auto"/>
              <w:right w:val="single" w:sz="4" w:space="0" w:color="auto"/>
            </w:tcBorders>
            <w:shd w:val="clear" w:color="000000" w:fill="FFFFFF"/>
            <w:noWrap/>
            <w:vAlign w:val="center"/>
            <w:hideMark/>
          </w:tcPr>
          <w:p w14:paraId="31676972" w14:textId="77777777" w:rsidR="00416D67" w:rsidRPr="00416D67" w:rsidRDefault="00416D67" w:rsidP="00416D67">
            <w:pPr>
              <w:jc w:val="right"/>
              <w:rPr>
                <w:color w:val="000000"/>
                <w:sz w:val="20"/>
                <w:szCs w:val="20"/>
              </w:rPr>
            </w:pPr>
            <w:r w:rsidRPr="00416D67">
              <w:rPr>
                <w:color w:val="000000"/>
                <w:sz w:val="20"/>
                <w:szCs w:val="20"/>
              </w:rPr>
              <w:t>13.206,96</w:t>
            </w:r>
          </w:p>
        </w:tc>
        <w:tc>
          <w:tcPr>
            <w:tcW w:w="1440" w:type="dxa"/>
            <w:tcBorders>
              <w:top w:val="nil"/>
              <w:left w:val="nil"/>
              <w:bottom w:val="single" w:sz="4" w:space="0" w:color="auto"/>
              <w:right w:val="single" w:sz="4" w:space="0" w:color="auto"/>
            </w:tcBorders>
            <w:shd w:val="clear" w:color="000000" w:fill="FFFFFF"/>
            <w:noWrap/>
            <w:vAlign w:val="center"/>
            <w:hideMark/>
          </w:tcPr>
          <w:p w14:paraId="6744FAED" w14:textId="77777777" w:rsidR="00416D67" w:rsidRPr="00416D67" w:rsidRDefault="00416D67" w:rsidP="00416D67">
            <w:pPr>
              <w:jc w:val="right"/>
              <w:rPr>
                <w:color w:val="000000"/>
                <w:sz w:val="20"/>
                <w:szCs w:val="20"/>
              </w:rPr>
            </w:pPr>
            <w:r w:rsidRPr="00416D67">
              <w:rPr>
                <w:color w:val="000000"/>
                <w:sz w:val="20"/>
                <w:szCs w:val="20"/>
              </w:rPr>
              <w:t>0,00</w:t>
            </w:r>
          </w:p>
        </w:tc>
        <w:tc>
          <w:tcPr>
            <w:tcW w:w="1420" w:type="dxa"/>
            <w:tcBorders>
              <w:top w:val="nil"/>
              <w:left w:val="nil"/>
              <w:bottom w:val="single" w:sz="4" w:space="0" w:color="auto"/>
              <w:right w:val="single" w:sz="4" w:space="0" w:color="auto"/>
            </w:tcBorders>
            <w:shd w:val="clear" w:color="000000" w:fill="FFFFFF"/>
            <w:noWrap/>
            <w:vAlign w:val="center"/>
            <w:hideMark/>
          </w:tcPr>
          <w:p w14:paraId="5C5B3EFF" w14:textId="77777777" w:rsidR="00416D67" w:rsidRPr="00416D67" w:rsidRDefault="00416D67" w:rsidP="00416D67">
            <w:pPr>
              <w:jc w:val="right"/>
              <w:rPr>
                <w:color w:val="000000"/>
                <w:sz w:val="20"/>
                <w:szCs w:val="20"/>
              </w:rPr>
            </w:pPr>
            <w:r w:rsidRPr="00416D67">
              <w:rPr>
                <w:color w:val="000000"/>
                <w:sz w:val="20"/>
                <w:szCs w:val="20"/>
              </w:rPr>
              <w:t>0,00</w:t>
            </w:r>
          </w:p>
        </w:tc>
        <w:tc>
          <w:tcPr>
            <w:tcW w:w="1300" w:type="dxa"/>
            <w:tcBorders>
              <w:top w:val="nil"/>
              <w:left w:val="nil"/>
              <w:bottom w:val="single" w:sz="4" w:space="0" w:color="auto"/>
              <w:right w:val="single" w:sz="4" w:space="0" w:color="auto"/>
            </w:tcBorders>
            <w:noWrap/>
            <w:vAlign w:val="center"/>
            <w:hideMark/>
          </w:tcPr>
          <w:p w14:paraId="338CA1DE" w14:textId="77777777" w:rsidR="00416D67" w:rsidRPr="00416D67" w:rsidRDefault="00416D67" w:rsidP="00416D67">
            <w:pPr>
              <w:jc w:val="right"/>
              <w:rPr>
                <w:color w:val="000000"/>
                <w:sz w:val="20"/>
                <w:szCs w:val="20"/>
              </w:rPr>
            </w:pPr>
            <w:r w:rsidRPr="00416D67">
              <w:rPr>
                <w:color w:val="000000"/>
                <w:sz w:val="20"/>
                <w:szCs w:val="20"/>
              </w:rPr>
              <w:t>0,00%</w:t>
            </w:r>
          </w:p>
        </w:tc>
      </w:tr>
    </w:tbl>
    <w:p w14:paraId="3B23A40B" w14:textId="77777777" w:rsidR="00416D67" w:rsidRPr="00416D67" w:rsidRDefault="00416D67" w:rsidP="00416D67">
      <w:pPr>
        <w:ind w:firstLine="720"/>
        <w:jc w:val="both"/>
      </w:pPr>
    </w:p>
    <w:p w14:paraId="61591ACD" w14:textId="77777777" w:rsidR="00416D67" w:rsidRPr="00416D67" w:rsidRDefault="00416D67" w:rsidP="00416D67">
      <w:pPr>
        <w:ind w:firstLine="720"/>
        <w:jc w:val="both"/>
        <w:rPr>
          <w:sz w:val="23"/>
          <w:szCs w:val="23"/>
        </w:rPr>
      </w:pPr>
      <w:r w:rsidRPr="00416D67">
        <w:rPr>
          <w:sz w:val="23"/>
          <w:szCs w:val="23"/>
        </w:rPr>
        <w:t>Programom javnih potreba u kulturi osiguravaju se sredstava za  aktivnosti  udruga sa područja kulture u, s time da se sukladno odredbama Zakona o udrugama i pratećim propisima mora provesti javni natječaj  na kojem će navedene udruge ponuditi svoje programe i projekte iz područja koja su utvrđena ovim Programom, a odnose se na:</w:t>
      </w:r>
    </w:p>
    <w:p w14:paraId="32661E63" w14:textId="77777777" w:rsidR="00416D67" w:rsidRPr="00416D67" w:rsidRDefault="00416D67" w:rsidP="00416D67">
      <w:pPr>
        <w:ind w:firstLine="357"/>
        <w:jc w:val="both"/>
        <w:rPr>
          <w:sz w:val="23"/>
          <w:szCs w:val="23"/>
        </w:rPr>
      </w:pPr>
      <w:r w:rsidRPr="00416D67">
        <w:rPr>
          <w:sz w:val="23"/>
          <w:szCs w:val="23"/>
        </w:rPr>
        <w:t xml:space="preserve"> - Promicanje kulture – djelatnost udruga građana na promicanju kulture,</w:t>
      </w:r>
    </w:p>
    <w:p w14:paraId="12A895BB" w14:textId="77777777" w:rsidR="00416D67" w:rsidRPr="00416D67" w:rsidRDefault="00416D67" w:rsidP="00416D67">
      <w:pPr>
        <w:ind w:firstLine="357"/>
        <w:jc w:val="both"/>
        <w:rPr>
          <w:sz w:val="23"/>
          <w:szCs w:val="23"/>
        </w:rPr>
      </w:pPr>
      <w:r w:rsidRPr="00416D67">
        <w:rPr>
          <w:sz w:val="23"/>
          <w:szCs w:val="23"/>
        </w:rPr>
        <w:t xml:space="preserve"> - Programe i projekte usmjerene razvoju kulturnog amaterizma,</w:t>
      </w:r>
    </w:p>
    <w:p w14:paraId="6884F1A3" w14:textId="77777777" w:rsidR="00416D67" w:rsidRPr="00416D67" w:rsidRDefault="00416D67" w:rsidP="00416D67">
      <w:pPr>
        <w:ind w:firstLine="357"/>
        <w:jc w:val="both"/>
        <w:rPr>
          <w:sz w:val="23"/>
          <w:szCs w:val="23"/>
        </w:rPr>
      </w:pPr>
      <w:r w:rsidRPr="00416D67">
        <w:rPr>
          <w:sz w:val="23"/>
          <w:szCs w:val="23"/>
        </w:rPr>
        <w:t xml:space="preserve"> - Programe i projekte u kulturi usmjerene na rad s djecom i mladima</w:t>
      </w:r>
    </w:p>
    <w:p w14:paraId="4F36D7BA" w14:textId="77777777" w:rsidR="00416D67" w:rsidRPr="00416D67" w:rsidRDefault="00416D67" w:rsidP="00416D67">
      <w:pPr>
        <w:ind w:firstLine="708"/>
        <w:jc w:val="both"/>
        <w:rPr>
          <w:color w:val="000000"/>
          <w:sz w:val="23"/>
          <w:szCs w:val="23"/>
        </w:rPr>
      </w:pPr>
      <w:r w:rsidRPr="00416D67">
        <w:rPr>
          <w:color w:val="000000"/>
          <w:sz w:val="23"/>
          <w:szCs w:val="23"/>
        </w:rPr>
        <w:t>Člankom 32. Zakona o udrugama propisano je da se programi i projekti od interesa za opće dobro u Republici Hrvatskoj koje provode udruge mogu se financirati iz državnog proračuna, proračuna jedinica lokalne i područne (regionalne) samouprave, fondova Europske unije i drugih javnih izvora.</w:t>
      </w:r>
    </w:p>
    <w:p w14:paraId="05FEC86D" w14:textId="77777777" w:rsidR="00416D67" w:rsidRPr="00416D67" w:rsidRDefault="00416D67" w:rsidP="00416D67">
      <w:pPr>
        <w:ind w:firstLine="708"/>
        <w:jc w:val="both"/>
        <w:rPr>
          <w:color w:val="000000"/>
          <w:sz w:val="23"/>
          <w:szCs w:val="23"/>
        </w:rPr>
      </w:pPr>
      <w:r w:rsidRPr="00416D67">
        <w:rPr>
          <w:color w:val="000000"/>
          <w:sz w:val="23"/>
          <w:szCs w:val="23"/>
        </w:rPr>
        <w:t xml:space="preserve">Programima i projektima od interesa za opće dobro, u smislu navedenog Zakona, smatraju se zaokruženi i tematski jasno određeni skupovi/skup aktivnosti koje su u skladu s vrednotama propisanima Ustavom Republike Hrvatske, te čije provođenje kroz dugoročni ili vremenski </w:t>
      </w:r>
      <w:r w:rsidRPr="00416D67">
        <w:rPr>
          <w:color w:val="000000"/>
          <w:sz w:val="23"/>
          <w:szCs w:val="23"/>
        </w:rPr>
        <w:lastRenderedPageBreak/>
        <w:t>ograničeni rok djelovanja daje vidljivu dodanu društvenu vrijednost kojom se podiže kvaliteta života pojedinca i unaprjeđuje razvoj šire društvene zajednice.</w:t>
      </w:r>
    </w:p>
    <w:p w14:paraId="1A5BA683" w14:textId="77777777" w:rsidR="00416D67" w:rsidRPr="00416D67" w:rsidRDefault="00416D67" w:rsidP="00416D67">
      <w:pPr>
        <w:ind w:firstLine="708"/>
        <w:jc w:val="both"/>
        <w:rPr>
          <w:color w:val="000000"/>
          <w:sz w:val="23"/>
          <w:szCs w:val="23"/>
        </w:rPr>
      </w:pPr>
      <w:r w:rsidRPr="00416D67">
        <w:rPr>
          <w:color w:val="000000"/>
          <w:sz w:val="23"/>
          <w:szCs w:val="23"/>
        </w:rPr>
        <w:t>Aktivnostima od interesa za opće dobro  u smislu navedenog  Zakona, smatraju se, među ostalim aktivnosti udruga u kulturi i umjetnosti koje se po svojoj prirodi, odnosno po posebnim propisima o financiranju javnih potreba u određenom području mogu smatrati djelovanjem od interesa za opće dobro.</w:t>
      </w:r>
    </w:p>
    <w:p w14:paraId="490FA9CF" w14:textId="77777777" w:rsidR="00416D67" w:rsidRPr="00416D67" w:rsidRDefault="00416D67" w:rsidP="00416D67">
      <w:pPr>
        <w:ind w:firstLine="708"/>
        <w:jc w:val="both"/>
        <w:rPr>
          <w:color w:val="000000"/>
          <w:sz w:val="23"/>
          <w:szCs w:val="23"/>
        </w:rPr>
      </w:pPr>
      <w:r w:rsidRPr="00416D67">
        <w:rPr>
          <w:color w:val="000000"/>
          <w:sz w:val="23"/>
          <w:szCs w:val="23"/>
        </w:rPr>
        <w:t>Odredbama članka 33. navedenoga Zakona  propisano je da nadležna državna tijela, jedinice lokalne i područne (regionalne) samouprave i druge javne institucije financiraju i ugovaraju provedbu programa i projekata od interesa za opće dobro na temelju provedenog javnog poziva, odnosno natječaja ili na temelju posebnog propisa o financiranju javnih potreba, s time da Vlada Republike Hrvatske, uredbom uređuje kriterije, mjerila i postupke financiranja i ugovaranja programa i projekata od interesa za opće dobro koje provode udruge.</w:t>
      </w:r>
    </w:p>
    <w:p w14:paraId="78F24935" w14:textId="77777777" w:rsidR="00416D67" w:rsidRPr="00416D67" w:rsidRDefault="00416D67" w:rsidP="00416D67">
      <w:pPr>
        <w:ind w:firstLine="708"/>
        <w:jc w:val="both"/>
        <w:rPr>
          <w:color w:val="000000"/>
          <w:sz w:val="23"/>
          <w:szCs w:val="23"/>
        </w:rPr>
      </w:pPr>
      <w:r w:rsidRPr="00416D67">
        <w:rPr>
          <w:color w:val="000000"/>
          <w:sz w:val="23"/>
          <w:szCs w:val="23"/>
        </w:rPr>
        <w:t xml:space="preserve">Financijska sredstava za programe i projekte prijavljene na javni natječaj za financiranje programa i projekata u kulturi za 2025. godinu dodijeljena su </w:t>
      </w:r>
    </w:p>
    <w:p w14:paraId="01EF5C63" w14:textId="77777777" w:rsidR="00416D67" w:rsidRPr="00416D67" w:rsidRDefault="00416D67" w:rsidP="00416D67">
      <w:pPr>
        <w:ind w:firstLine="708"/>
        <w:jc w:val="both"/>
        <w:rPr>
          <w:color w:val="000000"/>
          <w:sz w:val="23"/>
          <w:szCs w:val="23"/>
        </w:rPr>
      </w:pPr>
      <w:r w:rsidRPr="00416D67">
        <w:rPr>
          <w:color w:val="000000"/>
          <w:sz w:val="23"/>
          <w:szCs w:val="23"/>
        </w:rPr>
        <w:t xml:space="preserve">-KULTURNO UMJETNIČKOG DRUŠTVA MATE BALOTA, </w:t>
      </w:r>
    </w:p>
    <w:p w14:paraId="56B7E541" w14:textId="77777777" w:rsidR="00416D67" w:rsidRPr="00416D67" w:rsidRDefault="00416D67" w:rsidP="00416D67">
      <w:pPr>
        <w:ind w:firstLine="708"/>
        <w:jc w:val="both"/>
        <w:rPr>
          <w:color w:val="000000"/>
          <w:sz w:val="23"/>
          <w:szCs w:val="23"/>
        </w:rPr>
      </w:pPr>
      <w:r w:rsidRPr="00416D67">
        <w:rPr>
          <w:color w:val="000000"/>
          <w:sz w:val="23"/>
          <w:szCs w:val="23"/>
        </w:rPr>
        <w:t xml:space="preserve">-NACIONALNE ZAJEDNICE BOŠNJAKA ISTRE </w:t>
      </w:r>
    </w:p>
    <w:p w14:paraId="67E2DDA8" w14:textId="77777777" w:rsidR="00416D67" w:rsidRPr="00416D67" w:rsidRDefault="00416D67" w:rsidP="00416D67">
      <w:pPr>
        <w:ind w:firstLine="708"/>
        <w:jc w:val="both"/>
      </w:pPr>
      <w:r w:rsidRPr="00416D67">
        <w:rPr>
          <w:color w:val="000000"/>
          <w:sz w:val="23"/>
          <w:szCs w:val="23"/>
        </w:rPr>
        <w:t>-KLUBA STUDENATA „ISTARSKI KLUB“ RIJEKA – CLUB DEGLI STUDENTI „CLUB ISTRIANO“ FIUME</w:t>
      </w:r>
    </w:p>
    <w:p w14:paraId="055E6E38" w14:textId="77777777" w:rsidR="00416D67" w:rsidRPr="00416D67" w:rsidRDefault="00416D67" w:rsidP="00416D67">
      <w:pPr>
        <w:tabs>
          <w:tab w:val="left" w:pos="3780"/>
        </w:tabs>
        <w:ind w:firstLine="720"/>
        <w:jc w:val="both"/>
      </w:pPr>
    </w:p>
    <w:p w14:paraId="12B71B4F" w14:textId="77777777" w:rsidR="00416D67" w:rsidRPr="00416D67" w:rsidRDefault="00416D67" w:rsidP="00416D67">
      <w:pPr>
        <w:ind w:firstLine="720"/>
        <w:jc w:val="both"/>
      </w:pPr>
    </w:p>
    <w:p w14:paraId="159F6BAF" w14:textId="77777777" w:rsidR="00416D67" w:rsidRPr="00416D67" w:rsidRDefault="00416D67" w:rsidP="00416D67">
      <w:pPr>
        <w:ind w:firstLine="708"/>
        <w:jc w:val="both"/>
        <w:rPr>
          <w:b/>
        </w:rPr>
      </w:pPr>
      <w:r w:rsidRPr="00416D67">
        <w:rPr>
          <w:b/>
        </w:rPr>
        <w:t>Program javnih potreba u sportu</w:t>
      </w:r>
    </w:p>
    <w:p w14:paraId="1FF2E514" w14:textId="77777777" w:rsidR="00416D67" w:rsidRPr="00416D67" w:rsidRDefault="00416D67" w:rsidP="00416D67">
      <w:pPr>
        <w:ind w:firstLine="708"/>
        <w:jc w:val="both"/>
      </w:pPr>
      <w:r w:rsidRPr="00416D67">
        <w:t xml:space="preserve">Program javnih potreba u sportu ostvaren je u iznosu od 735.014,36 EUR (ostvarenje 2024.godina 235.875,26 EUR). </w:t>
      </w:r>
    </w:p>
    <w:p w14:paraId="444AF533" w14:textId="77777777" w:rsidR="00416D67" w:rsidRPr="00416D67" w:rsidRDefault="00416D67" w:rsidP="00416D67">
      <w:pPr>
        <w:ind w:firstLine="708"/>
        <w:jc w:val="both"/>
      </w:pPr>
      <w:r w:rsidRPr="00416D67">
        <w:t>Pregled ostvarenja 2025/2024. po aktivnostima:</w:t>
      </w:r>
    </w:p>
    <w:p w14:paraId="0AAD8391" w14:textId="77777777" w:rsidR="00416D67" w:rsidRPr="00416D67" w:rsidRDefault="00416D67" w:rsidP="00416D67">
      <w:pPr>
        <w:ind w:firstLine="708"/>
        <w:jc w:val="both"/>
      </w:pPr>
    </w:p>
    <w:tbl>
      <w:tblPr>
        <w:tblW w:w="9220" w:type="dxa"/>
        <w:tblInd w:w="93" w:type="dxa"/>
        <w:tblLook w:val="04A0" w:firstRow="1" w:lastRow="0" w:firstColumn="1" w:lastColumn="0" w:noHBand="0" w:noVBand="1"/>
      </w:tblPr>
      <w:tblGrid>
        <w:gridCol w:w="961"/>
        <w:gridCol w:w="1699"/>
        <w:gridCol w:w="1440"/>
        <w:gridCol w:w="1440"/>
        <w:gridCol w:w="1440"/>
        <w:gridCol w:w="1120"/>
        <w:gridCol w:w="1120"/>
      </w:tblGrid>
      <w:tr w:rsidR="00416D67" w:rsidRPr="00416D67" w14:paraId="6CE775E2" w14:textId="77777777" w:rsidTr="00BB1392">
        <w:trPr>
          <w:trHeight w:val="510"/>
        </w:trPr>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3D9D0394" w14:textId="77777777" w:rsidR="00416D67" w:rsidRPr="00416D67" w:rsidRDefault="00416D67" w:rsidP="00416D67">
            <w:pPr>
              <w:jc w:val="center"/>
              <w:rPr>
                <w:color w:val="000000"/>
                <w:sz w:val="20"/>
                <w:szCs w:val="20"/>
              </w:rPr>
            </w:pPr>
            <w:r w:rsidRPr="00416D67">
              <w:rPr>
                <w:color w:val="000000"/>
                <w:sz w:val="20"/>
                <w:szCs w:val="20"/>
              </w:rPr>
              <w:t>Brojčana oznaka / naziv aktivnosti</w:t>
            </w:r>
          </w:p>
        </w:tc>
        <w:tc>
          <w:tcPr>
            <w:tcW w:w="1440" w:type="dxa"/>
            <w:tcBorders>
              <w:top w:val="single" w:sz="4" w:space="0" w:color="auto"/>
              <w:left w:val="nil"/>
              <w:bottom w:val="single" w:sz="4" w:space="0" w:color="auto"/>
              <w:right w:val="single" w:sz="4" w:space="0" w:color="auto"/>
            </w:tcBorders>
            <w:vAlign w:val="center"/>
            <w:hideMark/>
          </w:tcPr>
          <w:p w14:paraId="4B9F1D8E" w14:textId="77777777" w:rsidR="00416D67" w:rsidRPr="00416D67" w:rsidRDefault="00416D67" w:rsidP="00416D67">
            <w:pPr>
              <w:jc w:val="center"/>
              <w:rPr>
                <w:color w:val="000000"/>
                <w:sz w:val="20"/>
                <w:szCs w:val="20"/>
              </w:rPr>
            </w:pPr>
            <w:r w:rsidRPr="00416D67">
              <w:rPr>
                <w:color w:val="000000"/>
                <w:sz w:val="20"/>
                <w:szCs w:val="20"/>
              </w:rPr>
              <w:t>Ostvarenje 2024.</w:t>
            </w:r>
          </w:p>
        </w:tc>
        <w:tc>
          <w:tcPr>
            <w:tcW w:w="1440" w:type="dxa"/>
            <w:tcBorders>
              <w:top w:val="single" w:sz="4" w:space="0" w:color="auto"/>
              <w:left w:val="nil"/>
              <w:bottom w:val="single" w:sz="4" w:space="0" w:color="auto"/>
              <w:right w:val="single" w:sz="4" w:space="0" w:color="auto"/>
            </w:tcBorders>
            <w:vAlign w:val="center"/>
            <w:hideMark/>
          </w:tcPr>
          <w:p w14:paraId="323DB3CB" w14:textId="77777777" w:rsidR="00416D67" w:rsidRPr="00416D67" w:rsidRDefault="00416D67" w:rsidP="00416D67">
            <w:pPr>
              <w:jc w:val="center"/>
              <w:rPr>
                <w:color w:val="000000"/>
                <w:sz w:val="20"/>
                <w:szCs w:val="20"/>
              </w:rPr>
            </w:pPr>
            <w:r w:rsidRPr="00416D67">
              <w:rPr>
                <w:color w:val="000000"/>
                <w:sz w:val="20"/>
                <w:szCs w:val="20"/>
              </w:rPr>
              <w:t>Plan 2025</w:t>
            </w:r>
          </w:p>
        </w:tc>
        <w:tc>
          <w:tcPr>
            <w:tcW w:w="1440" w:type="dxa"/>
            <w:tcBorders>
              <w:top w:val="single" w:sz="4" w:space="0" w:color="auto"/>
              <w:left w:val="nil"/>
              <w:bottom w:val="single" w:sz="4" w:space="0" w:color="auto"/>
              <w:right w:val="single" w:sz="4" w:space="0" w:color="auto"/>
            </w:tcBorders>
            <w:vAlign w:val="center"/>
            <w:hideMark/>
          </w:tcPr>
          <w:p w14:paraId="0427391C" w14:textId="77777777" w:rsidR="00416D67" w:rsidRPr="00416D67" w:rsidRDefault="00416D67" w:rsidP="00416D67">
            <w:pPr>
              <w:jc w:val="center"/>
              <w:rPr>
                <w:color w:val="000000"/>
                <w:sz w:val="20"/>
                <w:szCs w:val="20"/>
              </w:rPr>
            </w:pPr>
            <w:r w:rsidRPr="00416D67">
              <w:rPr>
                <w:color w:val="000000"/>
                <w:sz w:val="20"/>
                <w:szCs w:val="20"/>
              </w:rPr>
              <w:t>Ostvarenje 2025.</w:t>
            </w:r>
          </w:p>
        </w:tc>
        <w:tc>
          <w:tcPr>
            <w:tcW w:w="1120" w:type="dxa"/>
            <w:tcBorders>
              <w:top w:val="single" w:sz="4" w:space="0" w:color="auto"/>
              <w:left w:val="nil"/>
              <w:bottom w:val="single" w:sz="4" w:space="0" w:color="auto"/>
              <w:right w:val="single" w:sz="4" w:space="0" w:color="auto"/>
            </w:tcBorders>
            <w:vAlign w:val="center"/>
            <w:hideMark/>
          </w:tcPr>
          <w:p w14:paraId="6FC689C9" w14:textId="77777777" w:rsidR="00416D67" w:rsidRPr="00416D67" w:rsidRDefault="00416D67" w:rsidP="00416D67">
            <w:pPr>
              <w:jc w:val="center"/>
              <w:rPr>
                <w:color w:val="000000"/>
                <w:sz w:val="20"/>
                <w:szCs w:val="20"/>
              </w:rPr>
            </w:pPr>
            <w:r w:rsidRPr="00416D67">
              <w:rPr>
                <w:color w:val="000000"/>
                <w:sz w:val="20"/>
                <w:szCs w:val="20"/>
              </w:rPr>
              <w:t>Indeks 25/24</w:t>
            </w:r>
          </w:p>
        </w:tc>
        <w:tc>
          <w:tcPr>
            <w:tcW w:w="1120" w:type="dxa"/>
            <w:tcBorders>
              <w:top w:val="single" w:sz="4" w:space="0" w:color="auto"/>
              <w:left w:val="nil"/>
              <w:bottom w:val="single" w:sz="4" w:space="0" w:color="auto"/>
              <w:right w:val="single" w:sz="4" w:space="0" w:color="auto"/>
            </w:tcBorders>
            <w:vAlign w:val="center"/>
            <w:hideMark/>
          </w:tcPr>
          <w:p w14:paraId="2EA0E114" w14:textId="77777777" w:rsidR="00416D67" w:rsidRPr="00416D67" w:rsidRDefault="00416D67" w:rsidP="00416D67">
            <w:pPr>
              <w:jc w:val="center"/>
              <w:rPr>
                <w:color w:val="000000"/>
                <w:sz w:val="20"/>
                <w:szCs w:val="20"/>
              </w:rPr>
            </w:pPr>
            <w:r w:rsidRPr="00416D67">
              <w:rPr>
                <w:color w:val="000000"/>
                <w:sz w:val="20"/>
                <w:szCs w:val="20"/>
              </w:rPr>
              <w:t xml:space="preserve">Indeks </w:t>
            </w:r>
            <w:proofErr w:type="spellStart"/>
            <w:r w:rsidRPr="00416D67">
              <w:rPr>
                <w:color w:val="000000"/>
                <w:sz w:val="20"/>
                <w:szCs w:val="20"/>
              </w:rPr>
              <w:t>ostv</w:t>
            </w:r>
            <w:proofErr w:type="spellEnd"/>
            <w:r w:rsidRPr="00416D67">
              <w:rPr>
                <w:color w:val="000000"/>
                <w:sz w:val="20"/>
                <w:szCs w:val="20"/>
              </w:rPr>
              <w:t>/ plan</w:t>
            </w:r>
          </w:p>
        </w:tc>
      </w:tr>
      <w:tr w:rsidR="00416D67" w:rsidRPr="00416D67" w14:paraId="0C6D5DB1" w14:textId="77777777" w:rsidTr="00BB1392">
        <w:trPr>
          <w:trHeight w:val="300"/>
        </w:trPr>
        <w:tc>
          <w:tcPr>
            <w:tcW w:w="2660" w:type="dxa"/>
            <w:gridSpan w:val="2"/>
            <w:tcBorders>
              <w:top w:val="single" w:sz="4" w:space="0" w:color="auto"/>
              <w:left w:val="single" w:sz="4" w:space="0" w:color="auto"/>
              <w:bottom w:val="single" w:sz="4" w:space="0" w:color="auto"/>
              <w:right w:val="single" w:sz="4" w:space="0" w:color="auto"/>
            </w:tcBorders>
            <w:noWrap/>
            <w:vAlign w:val="center"/>
            <w:hideMark/>
          </w:tcPr>
          <w:p w14:paraId="06A25318" w14:textId="77777777" w:rsidR="00416D67" w:rsidRPr="00416D67" w:rsidRDefault="00416D67" w:rsidP="00416D67">
            <w:pPr>
              <w:rPr>
                <w:b/>
                <w:bCs/>
                <w:color w:val="000000"/>
                <w:sz w:val="20"/>
                <w:szCs w:val="20"/>
              </w:rPr>
            </w:pPr>
            <w:r w:rsidRPr="00416D67">
              <w:rPr>
                <w:b/>
                <w:bCs/>
                <w:color w:val="000000"/>
                <w:sz w:val="20"/>
                <w:szCs w:val="20"/>
              </w:rPr>
              <w:t> UKUPNO</w:t>
            </w:r>
          </w:p>
        </w:tc>
        <w:tc>
          <w:tcPr>
            <w:tcW w:w="1440" w:type="dxa"/>
            <w:tcBorders>
              <w:top w:val="nil"/>
              <w:left w:val="nil"/>
              <w:bottom w:val="single" w:sz="4" w:space="0" w:color="auto"/>
              <w:right w:val="single" w:sz="4" w:space="0" w:color="auto"/>
            </w:tcBorders>
            <w:noWrap/>
            <w:vAlign w:val="center"/>
            <w:hideMark/>
          </w:tcPr>
          <w:p w14:paraId="1C5A7A17" w14:textId="77777777" w:rsidR="00416D67" w:rsidRPr="00416D67" w:rsidRDefault="00416D67" w:rsidP="00416D67">
            <w:pPr>
              <w:jc w:val="right"/>
              <w:rPr>
                <w:b/>
                <w:bCs/>
                <w:color w:val="000000"/>
                <w:sz w:val="20"/>
                <w:szCs w:val="20"/>
              </w:rPr>
            </w:pPr>
            <w:r w:rsidRPr="00416D67">
              <w:rPr>
                <w:b/>
                <w:bCs/>
                <w:color w:val="000000"/>
                <w:sz w:val="20"/>
                <w:szCs w:val="20"/>
              </w:rPr>
              <w:t>235.875,26</w:t>
            </w:r>
          </w:p>
        </w:tc>
        <w:tc>
          <w:tcPr>
            <w:tcW w:w="1440" w:type="dxa"/>
            <w:tcBorders>
              <w:top w:val="nil"/>
              <w:left w:val="nil"/>
              <w:bottom w:val="single" w:sz="4" w:space="0" w:color="auto"/>
              <w:right w:val="single" w:sz="4" w:space="0" w:color="auto"/>
            </w:tcBorders>
            <w:noWrap/>
            <w:vAlign w:val="center"/>
            <w:hideMark/>
          </w:tcPr>
          <w:p w14:paraId="560A8AF0" w14:textId="77777777" w:rsidR="00416D67" w:rsidRPr="00416D67" w:rsidRDefault="00416D67" w:rsidP="00416D67">
            <w:pPr>
              <w:jc w:val="right"/>
              <w:rPr>
                <w:b/>
                <w:bCs/>
                <w:color w:val="000000"/>
                <w:sz w:val="20"/>
                <w:szCs w:val="20"/>
              </w:rPr>
            </w:pPr>
            <w:r w:rsidRPr="00416D67">
              <w:rPr>
                <w:b/>
                <w:bCs/>
                <w:color w:val="000000"/>
                <w:sz w:val="20"/>
                <w:szCs w:val="20"/>
              </w:rPr>
              <w:t>1.245.149,28</w:t>
            </w:r>
          </w:p>
        </w:tc>
        <w:tc>
          <w:tcPr>
            <w:tcW w:w="1440" w:type="dxa"/>
            <w:tcBorders>
              <w:top w:val="nil"/>
              <w:left w:val="nil"/>
              <w:bottom w:val="single" w:sz="4" w:space="0" w:color="auto"/>
              <w:right w:val="single" w:sz="4" w:space="0" w:color="auto"/>
            </w:tcBorders>
            <w:noWrap/>
            <w:vAlign w:val="center"/>
            <w:hideMark/>
          </w:tcPr>
          <w:p w14:paraId="6D80F712" w14:textId="77777777" w:rsidR="00416D67" w:rsidRPr="00416D67" w:rsidRDefault="00416D67" w:rsidP="00416D67">
            <w:pPr>
              <w:jc w:val="right"/>
              <w:rPr>
                <w:b/>
                <w:bCs/>
                <w:color w:val="000000"/>
                <w:sz w:val="20"/>
                <w:szCs w:val="20"/>
              </w:rPr>
            </w:pPr>
            <w:r w:rsidRPr="00416D67">
              <w:rPr>
                <w:b/>
                <w:bCs/>
                <w:color w:val="000000"/>
                <w:sz w:val="20"/>
                <w:szCs w:val="20"/>
              </w:rPr>
              <w:t>735.014,36</w:t>
            </w:r>
          </w:p>
        </w:tc>
        <w:tc>
          <w:tcPr>
            <w:tcW w:w="1120" w:type="dxa"/>
            <w:tcBorders>
              <w:top w:val="nil"/>
              <w:left w:val="nil"/>
              <w:bottom w:val="single" w:sz="4" w:space="0" w:color="auto"/>
              <w:right w:val="single" w:sz="4" w:space="0" w:color="auto"/>
            </w:tcBorders>
            <w:noWrap/>
            <w:vAlign w:val="center"/>
            <w:hideMark/>
          </w:tcPr>
          <w:p w14:paraId="07935E3C" w14:textId="77777777" w:rsidR="00416D67" w:rsidRPr="00416D67" w:rsidRDefault="00416D67" w:rsidP="00416D67">
            <w:pPr>
              <w:jc w:val="right"/>
              <w:rPr>
                <w:b/>
                <w:bCs/>
                <w:color w:val="000000"/>
                <w:sz w:val="20"/>
                <w:szCs w:val="20"/>
              </w:rPr>
            </w:pPr>
            <w:r w:rsidRPr="00416D67">
              <w:rPr>
                <w:b/>
                <w:bCs/>
                <w:color w:val="000000"/>
                <w:sz w:val="20"/>
                <w:szCs w:val="20"/>
              </w:rPr>
              <w:t>311,61%</w:t>
            </w:r>
          </w:p>
        </w:tc>
        <w:tc>
          <w:tcPr>
            <w:tcW w:w="1120" w:type="dxa"/>
            <w:tcBorders>
              <w:top w:val="nil"/>
              <w:left w:val="nil"/>
              <w:bottom w:val="single" w:sz="4" w:space="0" w:color="auto"/>
              <w:right w:val="single" w:sz="4" w:space="0" w:color="auto"/>
            </w:tcBorders>
            <w:noWrap/>
            <w:vAlign w:val="center"/>
            <w:hideMark/>
          </w:tcPr>
          <w:p w14:paraId="3B92DE77" w14:textId="77777777" w:rsidR="00416D67" w:rsidRPr="00416D67" w:rsidRDefault="00416D67" w:rsidP="00416D67">
            <w:pPr>
              <w:jc w:val="right"/>
              <w:rPr>
                <w:b/>
                <w:bCs/>
                <w:color w:val="000000"/>
                <w:sz w:val="20"/>
                <w:szCs w:val="20"/>
              </w:rPr>
            </w:pPr>
            <w:r w:rsidRPr="00416D67">
              <w:rPr>
                <w:b/>
                <w:bCs/>
                <w:color w:val="000000"/>
                <w:sz w:val="20"/>
                <w:szCs w:val="20"/>
              </w:rPr>
              <w:t>59,03%</w:t>
            </w:r>
          </w:p>
        </w:tc>
      </w:tr>
      <w:tr w:rsidR="00416D67" w:rsidRPr="00416D67" w14:paraId="382A4FE7" w14:textId="77777777" w:rsidTr="00BB1392">
        <w:trPr>
          <w:trHeight w:val="510"/>
        </w:trPr>
        <w:tc>
          <w:tcPr>
            <w:tcW w:w="833" w:type="dxa"/>
            <w:tcBorders>
              <w:top w:val="nil"/>
              <w:left w:val="single" w:sz="4" w:space="0" w:color="auto"/>
              <w:bottom w:val="single" w:sz="4" w:space="0" w:color="auto"/>
              <w:right w:val="single" w:sz="4" w:space="0" w:color="auto"/>
            </w:tcBorders>
            <w:noWrap/>
            <w:vAlign w:val="center"/>
            <w:hideMark/>
          </w:tcPr>
          <w:p w14:paraId="5AAFF656" w14:textId="77777777" w:rsidR="00416D67" w:rsidRPr="00416D67" w:rsidRDefault="00416D67" w:rsidP="00416D67">
            <w:pPr>
              <w:rPr>
                <w:color w:val="000000"/>
                <w:sz w:val="20"/>
                <w:szCs w:val="20"/>
              </w:rPr>
            </w:pPr>
            <w:r w:rsidRPr="00416D67">
              <w:rPr>
                <w:color w:val="000000"/>
                <w:sz w:val="20"/>
                <w:szCs w:val="20"/>
              </w:rPr>
              <w:t>A100001</w:t>
            </w:r>
          </w:p>
        </w:tc>
        <w:tc>
          <w:tcPr>
            <w:tcW w:w="1827" w:type="dxa"/>
            <w:tcBorders>
              <w:top w:val="nil"/>
              <w:left w:val="nil"/>
              <w:bottom w:val="single" w:sz="4" w:space="0" w:color="auto"/>
              <w:right w:val="single" w:sz="4" w:space="0" w:color="auto"/>
            </w:tcBorders>
            <w:shd w:val="clear" w:color="000000" w:fill="FFFFFF"/>
            <w:vAlign w:val="center"/>
            <w:hideMark/>
          </w:tcPr>
          <w:p w14:paraId="2B8A336F" w14:textId="77777777" w:rsidR="00416D67" w:rsidRPr="00416D67" w:rsidRDefault="00416D67" w:rsidP="00416D67">
            <w:pPr>
              <w:rPr>
                <w:color w:val="000000"/>
                <w:sz w:val="20"/>
                <w:szCs w:val="20"/>
              </w:rPr>
            </w:pPr>
            <w:r w:rsidRPr="00416D67">
              <w:rPr>
                <w:color w:val="000000"/>
                <w:sz w:val="20"/>
                <w:szCs w:val="20"/>
              </w:rPr>
              <w:t>Sportska zajednica Općine Marčana</w:t>
            </w:r>
          </w:p>
        </w:tc>
        <w:tc>
          <w:tcPr>
            <w:tcW w:w="1440" w:type="dxa"/>
            <w:tcBorders>
              <w:top w:val="nil"/>
              <w:left w:val="nil"/>
              <w:bottom w:val="single" w:sz="4" w:space="0" w:color="auto"/>
              <w:right w:val="single" w:sz="4" w:space="0" w:color="auto"/>
            </w:tcBorders>
            <w:noWrap/>
            <w:vAlign w:val="center"/>
            <w:hideMark/>
          </w:tcPr>
          <w:p w14:paraId="6FE3FC44" w14:textId="77777777" w:rsidR="00416D67" w:rsidRPr="00416D67" w:rsidRDefault="00416D67" w:rsidP="00416D67">
            <w:pPr>
              <w:jc w:val="right"/>
              <w:rPr>
                <w:color w:val="000000"/>
                <w:sz w:val="20"/>
                <w:szCs w:val="20"/>
              </w:rPr>
            </w:pPr>
            <w:r w:rsidRPr="00416D67">
              <w:rPr>
                <w:color w:val="000000"/>
                <w:sz w:val="20"/>
                <w:szCs w:val="20"/>
              </w:rPr>
              <w:t>82.500,00</w:t>
            </w:r>
          </w:p>
        </w:tc>
        <w:tc>
          <w:tcPr>
            <w:tcW w:w="1440" w:type="dxa"/>
            <w:tcBorders>
              <w:top w:val="nil"/>
              <w:left w:val="nil"/>
              <w:bottom w:val="single" w:sz="4" w:space="0" w:color="auto"/>
              <w:right w:val="single" w:sz="4" w:space="0" w:color="auto"/>
            </w:tcBorders>
            <w:noWrap/>
            <w:vAlign w:val="center"/>
            <w:hideMark/>
          </w:tcPr>
          <w:p w14:paraId="1851BFD5" w14:textId="77777777" w:rsidR="00416D67" w:rsidRPr="00416D67" w:rsidRDefault="00416D67" w:rsidP="00416D67">
            <w:pPr>
              <w:jc w:val="right"/>
              <w:rPr>
                <w:color w:val="000000"/>
                <w:sz w:val="20"/>
                <w:szCs w:val="20"/>
              </w:rPr>
            </w:pPr>
            <w:r w:rsidRPr="00416D67">
              <w:rPr>
                <w:color w:val="000000"/>
                <w:sz w:val="20"/>
                <w:szCs w:val="20"/>
              </w:rPr>
              <w:t>110.000,00</w:t>
            </w:r>
          </w:p>
        </w:tc>
        <w:tc>
          <w:tcPr>
            <w:tcW w:w="1440" w:type="dxa"/>
            <w:tcBorders>
              <w:top w:val="nil"/>
              <w:left w:val="nil"/>
              <w:bottom w:val="single" w:sz="4" w:space="0" w:color="auto"/>
              <w:right w:val="single" w:sz="4" w:space="0" w:color="auto"/>
            </w:tcBorders>
            <w:noWrap/>
            <w:vAlign w:val="center"/>
            <w:hideMark/>
          </w:tcPr>
          <w:p w14:paraId="1338FD10" w14:textId="77777777" w:rsidR="00416D67" w:rsidRPr="00416D67" w:rsidRDefault="00416D67" w:rsidP="00416D67">
            <w:pPr>
              <w:jc w:val="right"/>
              <w:rPr>
                <w:color w:val="000000"/>
                <w:sz w:val="20"/>
                <w:szCs w:val="20"/>
              </w:rPr>
            </w:pPr>
            <w:r w:rsidRPr="00416D67">
              <w:rPr>
                <w:color w:val="000000"/>
                <w:sz w:val="20"/>
                <w:szCs w:val="20"/>
              </w:rPr>
              <w:t>110.000,00</w:t>
            </w:r>
          </w:p>
        </w:tc>
        <w:tc>
          <w:tcPr>
            <w:tcW w:w="1120" w:type="dxa"/>
            <w:tcBorders>
              <w:top w:val="nil"/>
              <w:left w:val="nil"/>
              <w:bottom w:val="single" w:sz="4" w:space="0" w:color="auto"/>
              <w:right w:val="single" w:sz="4" w:space="0" w:color="auto"/>
            </w:tcBorders>
            <w:noWrap/>
            <w:vAlign w:val="center"/>
            <w:hideMark/>
          </w:tcPr>
          <w:p w14:paraId="0C510883" w14:textId="77777777" w:rsidR="00416D67" w:rsidRPr="00416D67" w:rsidRDefault="00416D67" w:rsidP="00416D67">
            <w:pPr>
              <w:jc w:val="right"/>
              <w:rPr>
                <w:color w:val="000000"/>
                <w:sz w:val="20"/>
                <w:szCs w:val="20"/>
              </w:rPr>
            </w:pPr>
            <w:r w:rsidRPr="00416D67">
              <w:rPr>
                <w:color w:val="000000"/>
                <w:sz w:val="20"/>
                <w:szCs w:val="20"/>
              </w:rPr>
              <w:t>133,33%</w:t>
            </w:r>
          </w:p>
        </w:tc>
        <w:tc>
          <w:tcPr>
            <w:tcW w:w="1120" w:type="dxa"/>
            <w:tcBorders>
              <w:top w:val="nil"/>
              <w:left w:val="nil"/>
              <w:bottom w:val="single" w:sz="4" w:space="0" w:color="auto"/>
              <w:right w:val="single" w:sz="4" w:space="0" w:color="auto"/>
            </w:tcBorders>
            <w:noWrap/>
            <w:vAlign w:val="center"/>
            <w:hideMark/>
          </w:tcPr>
          <w:p w14:paraId="1BC037D3" w14:textId="77777777" w:rsidR="00416D67" w:rsidRPr="00416D67" w:rsidRDefault="00416D67" w:rsidP="00416D67">
            <w:pPr>
              <w:jc w:val="right"/>
              <w:rPr>
                <w:color w:val="000000"/>
                <w:sz w:val="20"/>
                <w:szCs w:val="20"/>
              </w:rPr>
            </w:pPr>
            <w:r w:rsidRPr="00416D67">
              <w:rPr>
                <w:color w:val="000000"/>
                <w:sz w:val="20"/>
                <w:szCs w:val="20"/>
              </w:rPr>
              <w:t>100,00%</w:t>
            </w:r>
          </w:p>
        </w:tc>
      </w:tr>
      <w:tr w:rsidR="00416D67" w:rsidRPr="00416D67" w14:paraId="469F54B3" w14:textId="77777777" w:rsidTr="00BB1392">
        <w:trPr>
          <w:trHeight w:val="1020"/>
        </w:trPr>
        <w:tc>
          <w:tcPr>
            <w:tcW w:w="833" w:type="dxa"/>
            <w:tcBorders>
              <w:top w:val="nil"/>
              <w:left w:val="single" w:sz="4" w:space="0" w:color="auto"/>
              <w:bottom w:val="single" w:sz="4" w:space="0" w:color="auto"/>
              <w:right w:val="single" w:sz="4" w:space="0" w:color="auto"/>
            </w:tcBorders>
            <w:noWrap/>
            <w:vAlign w:val="center"/>
            <w:hideMark/>
          </w:tcPr>
          <w:p w14:paraId="4A4817E0" w14:textId="77777777" w:rsidR="00416D67" w:rsidRPr="00416D67" w:rsidRDefault="00416D67" w:rsidP="00416D67">
            <w:pPr>
              <w:rPr>
                <w:color w:val="000000"/>
                <w:sz w:val="20"/>
                <w:szCs w:val="20"/>
              </w:rPr>
            </w:pPr>
            <w:r w:rsidRPr="00416D67">
              <w:rPr>
                <w:color w:val="000000"/>
                <w:sz w:val="20"/>
                <w:szCs w:val="20"/>
              </w:rPr>
              <w:t>A100005</w:t>
            </w:r>
          </w:p>
        </w:tc>
        <w:tc>
          <w:tcPr>
            <w:tcW w:w="1827" w:type="dxa"/>
            <w:tcBorders>
              <w:top w:val="nil"/>
              <w:left w:val="nil"/>
              <w:bottom w:val="single" w:sz="4" w:space="0" w:color="auto"/>
              <w:right w:val="single" w:sz="4" w:space="0" w:color="auto"/>
            </w:tcBorders>
            <w:shd w:val="clear" w:color="000000" w:fill="FFFFFF"/>
            <w:vAlign w:val="center"/>
            <w:hideMark/>
          </w:tcPr>
          <w:p w14:paraId="4AC8C6BD" w14:textId="77777777" w:rsidR="00416D67" w:rsidRPr="00416D67" w:rsidRDefault="00416D67" w:rsidP="00416D67">
            <w:pPr>
              <w:rPr>
                <w:color w:val="000000"/>
                <w:sz w:val="20"/>
                <w:szCs w:val="20"/>
              </w:rPr>
            </w:pPr>
            <w:r w:rsidRPr="00416D67">
              <w:rPr>
                <w:color w:val="000000"/>
                <w:sz w:val="20"/>
                <w:szCs w:val="20"/>
              </w:rPr>
              <w:t xml:space="preserve">Vanjske usluge održavanja sportskih terena i dvorane u </w:t>
            </w:r>
            <w:proofErr w:type="spellStart"/>
            <w:r w:rsidRPr="00416D67">
              <w:rPr>
                <w:color w:val="000000"/>
                <w:sz w:val="20"/>
                <w:szCs w:val="20"/>
              </w:rPr>
              <w:t>Marčani</w:t>
            </w:r>
            <w:proofErr w:type="spellEnd"/>
          </w:p>
        </w:tc>
        <w:tc>
          <w:tcPr>
            <w:tcW w:w="1440" w:type="dxa"/>
            <w:tcBorders>
              <w:top w:val="nil"/>
              <w:left w:val="nil"/>
              <w:bottom w:val="single" w:sz="4" w:space="0" w:color="auto"/>
              <w:right w:val="single" w:sz="4" w:space="0" w:color="auto"/>
            </w:tcBorders>
            <w:noWrap/>
            <w:vAlign w:val="center"/>
            <w:hideMark/>
          </w:tcPr>
          <w:p w14:paraId="137D1CC0" w14:textId="77777777" w:rsidR="00416D67" w:rsidRPr="00416D67" w:rsidRDefault="00416D67" w:rsidP="00416D67">
            <w:pPr>
              <w:jc w:val="right"/>
              <w:rPr>
                <w:color w:val="000000"/>
                <w:sz w:val="20"/>
                <w:szCs w:val="20"/>
              </w:rPr>
            </w:pPr>
            <w:r w:rsidRPr="00416D67">
              <w:rPr>
                <w:color w:val="000000"/>
                <w:sz w:val="20"/>
                <w:szCs w:val="20"/>
              </w:rPr>
              <w:t>25.935,00</w:t>
            </w:r>
          </w:p>
        </w:tc>
        <w:tc>
          <w:tcPr>
            <w:tcW w:w="1440" w:type="dxa"/>
            <w:tcBorders>
              <w:top w:val="nil"/>
              <w:left w:val="nil"/>
              <w:bottom w:val="single" w:sz="4" w:space="0" w:color="auto"/>
              <w:right w:val="single" w:sz="4" w:space="0" w:color="auto"/>
            </w:tcBorders>
            <w:noWrap/>
            <w:vAlign w:val="center"/>
            <w:hideMark/>
          </w:tcPr>
          <w:p w14:paraId="41C4AE4B" w14:textId="77777777" w:rsidR="00416D67" w:rsidRPr="00416D67" w:rsidRDefault="00416D67" w:rsidP="00416D67">
            <w:pPr>
              <w:jc w:val="right"/>
              <w:rPr>
                <w:color w:val="000000"/>
                <w:sz w:val="20"/>
                <w:szCs w:val="20"/>
              </w:rPr>
            </w:pPr>
            <w:r w:rsidRPr="00416D67">
              <w:rPr>
                <w:color w:val="000000"/>
                <w:sz w:val="20"/>
                <w:szCs w:val="20"/>
              </w:rPr>
              <w:t>23.500,00</w:t>
            </w:r>
          </w:p>
        </w:tc>
        <w:tc>
          <w:tcPr>
            <w:tcW w:w="1440" w:type="dxa"/>
            <w:tcBorders>
              <w:top w:val="nil"/>
              <w:left w:val="nil"/>
              <w:bottom w:val="single" w:sz="4" w:space="0" w:color="auto"/>
              <w:right w:val="single" w:sz="4" w:space="0" w:color="auto"/>
            </w:tcBorders>
            <w:noWrap/>
            <w:vAlign w:val="center"/>
            <w:hideMark/>
          </w:tcPr>
          <w:p w14:paraId="315F4418" w14:textId="77777777" w:rsidR="00416D67" w:rsidRPr="00416D67" w:rsidRDefault="00416D67" w:rsidP="00416D67">
            <w:pPr>
              <w:jc w:val="right"/>
              <w:rPr>
                <w:color w:val="000000"/>
                <w:sz w:val="20"/>
                <w:szCs w:val="20"/>
              </w:rPr>
            </w:pPr>
            <w:r w:rsidRPr="00416D67">
              <w:rPr>
                <w:color w:val="000000"/>
                <w:sz w:val="20"/>
                <w:szCs w:val="20"/>
              </w:rPr>
              <w:t>20.954,75</w:t>
            </w:r>
          </w:p>
        </w:tc>
        <w:tc>
          <w:tcPr>
            <w:tcW w:w="1120" w:type="dxa"/>
            <w:tcBorders>
              <w:top w:val="nil"/>
              <w:left w:val="nil"/>
              <w:bottom w:val="single" w:sz="4" w:space="0" w:color="auto"/>
              <w:right w:val="single" w:sz="4" w:space="0" w:color="auto"/>
            </w:tcBorders>
            <w:noWrap/>
            <w:vAlign w:val="center"/>
            <w:hideMark/>
          </w:tcPr>
          <w:p w14:paraId="2EC4262F" w14:textId="77777777" w:rsidR="00416D67" w:rsidRPr="00416D67" w:rsidRDefault="00416D67" w:rsidP="00416D67">
            <w:pPr>
              <w:jc w:val="right"/>
              <w:rPr>
                <w:color w:val="000000"/>
                <w:sz w:val="20"/>
                <w:szCs w:val="20"/>
              </w:rPr>
            </w:pPr>
            <w:r w:rsidRPr="00416D67">
              <w:rPr>
                <w:color w:val="000000"/>
                <w:sz w:val="20"/>
                <w:szCs w:val="20"/>
              </w:rPr>
              <w:t>80,80%</w:t>
            </w:r>
          </w:p>
        </w:tc>
        <w:tc>
          <w:tcPr>
            <w:tcW w:w="1120" w:type="dxa"/>
            <w:tcBorders>
              <w:top w:val="nil"/>
              <w:left w:val="nil"/>
              <w:bottom w:val="single" w:sz="4" w:space="0" w:color="auto"/>
              <w:right w:val="single" w:sz="4" w:space="0" w:color="auto"/>
            </w:tcBorders>
            <w:noWrap/>
            <w:vAlign w:val="center"/>
            <w:hideMark/>
          </w:tcPr>
          <w:p w14:paraId="35F9AE45" w14:textId="77777777" w:rsidR="00416D67" w:rsidRPr="00416D67" w:rsidRDefault="00416D67" w:rsidP="00416D67">
            <w:pPr>
              <w:jc w:val="right"/>
              <w:rPr>
                <w:color w:val="000000"/>
                <w:sz w:val="20"/>
                <w:szCs w:val="20"/>
              </w:rPr>
            </w:pPr>
            <w:r w:rsidRPr="00416D67">
              <w:rPr>
                <w:color w:val="000000"/>
                <w:sz w:val="20"/>
                <w:szCs w:val="20"/>
              </w:rPr>
              <w:t>89,17%</w:t>
            </w:r>
          </w:p>
        </w:tc>
      </w:tr>
      <w:tr w:rsidR="00416D67" w:rsidRPr="00416D67" w14:paraId="159DDB34" w14:textId="77777777" w:rsidTr="00BB1392">
        <w:trPr>
          <w:trHeight w:val="1020"/>
        </w:trPr>
        <w:tc>
          <w:tcPr>
            <w:tcW w:w="833" w:type="dxa"/>
            <w:tcBorders>
              <w:top w:val="nil"/>
              <w:left w:val="single" w:sz="4" w:space="0" w:color="auto"/>
              <w:bottom w:val="single" w:sz="4" w:space="0" w:color="auto"/>
              <w:right w:val="single" w:sz="4" w:space="0" w:color="auto"/>
            </w:tcBorders>
            <w:noWrap/>
            <w:vAlign w:val="center"/>
            <w:hideMark/>
          </w:tcPr>
          <w:p w14:paraId="69812361" w14:textId="77777777" w:rsidR="00416D67" w:rsidRPr="00416D67" w:rsidRDefault="00416D67" w:rsidP="00416D67">
            <w:pPr>
              <w:rPr>
                <w:color w:val="000000"/>
                <w:sz w:val="20"/>
                <w:szCs w:val="20"/>
              </w:rPr>
            </w:pPr>
            <w:r w:rsidRPr="00416D67">
              <w:rPr>
                <w:color w:val="000000"/>
                <w:sz w:val="20"/>
                <w:szCs w:val="20"/>
              </w:rPr>
              <w:t>A100007</w:t>
            </w:r>
          </w:p>
        </w:tc>
        <w:tc>
          <w:tcPr>
            <w:tcW w:w="1827" w:type="dxa"/>
            <w:tcBorders>
              <w:top w:val="nil"/>
              <w:left w:val="nil"/>
              <w:bottom w:val="single" w:sz="4" w:space="0" w:color="auto"/>
              <w:right w:val="single" w:sz="4" w:space="0" w:color="auto"/>
            </w:tcBorders>
            <w:shd w:val="clear" w:color="000000" w:fill="FFFFFF"/>
            <w:vAlign w:val="center"/>
            <w:hideMark/>
          </w:tcPr>
          <w:p w14:paraId="1A371D9A" w14:textId="77777777" w:rsidR="00416D67" w:rsidRPr="00416D67" w:rsidRDefault="00416D67" w:rsidP="00416D67">
            <w:pPr>
              <w:rPr>
                <w:color w:val="000000"/>
                <w:sz w:val="20"/>
                <w:szCs w:val="20"/>
              </w:rPr>
            </w:pPr>
            <w:r w:rsidRPr="00416D67">
              <w:rPr>
                <w:color w:val="000000"/>
                <w:sz w:val="20"/>
                <w:szCs w:val="20"/>
              </w:rPr>
              <w:t>Materijalni troškovi sportskih terena  na području Općine Marčana</w:t>
            </w:r>
          </w:p>
        </w:tc>
        <w:tc>
          <w:tcPr>
            <w:tcW w:w="1440" w:type="dxa"/>
            <w:tcBorders>
              <w:top w:val="nil"/>
              <w:left w:val="nil"/>
              <w:bottom w:val="single" w:sz="4" w:space="0" w:color="auto"/>
              <w:right w:val="single" w:sz="4" w:space="0" w:color="auto"/>
            </w:tcBorders>
            <w:noWrap/>
            <w:vAlign w:val="center"/>
            <w:hideMark/>
          </w:tcPr>
          <w:p w14:paraId="4F775CDC" w14:textId="77777777" w:rsidR="00416D67" w:rsidRPr="00416D67" w:rsidRDefault="00416D67" w:rsidP="00416D67">
            <w:pPr>
              <w:jc w:val="right"/>
              <w:rPr>
                <w:color w:val="000000"/>
                <w:sz w:val="20"/>
                <w:szCs w:val="20"/>
              </w:rPr>
            </w:pPr>
            <w:r w:rsidRPr="00416D67">
              <w:rPr>
                <w:color w:val="000000"/>
                <w:sz w:val="20"/>
                <w:szCs w:val="20"/>
              </w:rPr>
              <w:t>9.937,25</w:t>
            </w:r>
          </w:p>
        </w:tc>
        <w:tc>
          <w:tcPr>
            <w:tcW w:w="1440" w:type="dxa"/>
            <w:tcBorders>
              <w:top w:val="nil"/>
              <w:left w:val="nil"/>
              <w:bottom w:val="single" w:sz="4" w:space="0" w:color="auto"/>
              <w:right w:val="single" w:sz="4" w:space="0" w:color="auto"/>
            </w:tcBorders>
            <w:noWrap/>
            <w:vAlign w:val="center"/>
            <w:hideMark/>
          </w:tcPr>
          <w:p w14:paraId="31323B70" w14:textId="77777777" w:rsidR="00416D67" w:rsidRPr="00416D67" w:rsidRDefault="00416D67" w:rsidP="00416D67">
            <w:pPr>
              <w:jc w:val="right"/>
              <w:rPr>
                <w:color w:val="000000"/>
                <w:sz w:val="20"/>
                <w:szCs w:val="20"/>
              </w:rPr>
            </w:pPr>
            <w:r w:rsidRPr="00416D67">
              <w:rPr>
                <w:color w:val="000000"/>
                <w:sz w:val="20"/>
                <w:szCs w:val="20"/>
              </w:rPr>
              <w:t>10.000,00</w:t>
            </w:r>
          </w:p>
        </w:tc>
        <w:tc>
          <w:tcPr>
            <w:tcW w:w="1440" w:type="dxa"/>
            <w:tcBorders>
              <w:top w:val="nil"/>
              <w:left w:val="nil"/>
              <w:bottom w:val="single" w:sz="4" w:space="0" w:color="auto"/>
              <w:right w:val="single" w:sz="4" w:space="0" w:color="auto"/>
            </w:tcBorders>
            <w:noWrap/>
            <w:vAlign w:val="center"/>
            <w:hideMark/>
          </w:tcPr>
          <w:p w14:paraId="6F1F1785" w14:textId="77777777" w:rsidR="00416D67" w:rsidRPr="00416D67" w:rsidRDefault="00416D67" w:rsidP="00416D67">
            <w:pPr>
              <w:jc w:val="right"/>
              <w:rPr>
                <w:color w:val="000000"/>
                <w:sz w:val="20"/>
                <w:szCs w:val="20"/>
              </w:rPr>
            </w:pPr>
            <w:r w:rsidRPr="00416D67">
              <w:rPr>
                <w:color w:val="000000"/>
                <w:sz w:val="20"/>
                <w:szCs w:val="20"/>
              </w:rPr>
              <w:t>4.403,97</w:t>
            </w:r>
          </w:p>
        </w:tc>
        <w:tc>
          <w:tcPr>
            <w:tcW w:w="1120" w:type="dxa"/>
            <w:tcBorders>
              <w:top w:val="nil"/>
              <w:left w:val="nil"/>
              <w:bottom w:val="single" w:sz="4" w:space="0" w:color="auto"/>
              <w:right w:val="single" w:sz="4" w:space="0" w:color="auto"/>
            </w:tcBorders>
            <w:noWrap/>
            <w:vAlign w:val="center"/>
            <w:hideMark/>
          </w:tcPr>
          <w:p w14:paraId="16D62F5F" w14:textId="77777777" w:rsidR="00416D67" w:rsidRPr="00416D67" w:rsidRDefault="00416D67" w:rsidP="00416D67">
            <w:pPr>
              <w:jc w:val="right"/>
              <w:rPr>
                <w:color w:val="000000"/>
                <w:sz w:val="20"/>
                <w:szCs w:val="20"/>
              </w:rPr>
            </w:pPr>
            <w:r w:rsidRPr="00416D67">
              <w:rPr>
                <w:color w:val="000000"/>
                <w:sz w:val="20"/>
                <w:szCs w:val="20"/>
              </w:rPr>
              <w:t>44,32%</w:t>
            </w:r>
          </w:p>
        </w:tc>
        <w:tc>
          <w:tcPr>
            <w:tcW w:w="1120" w:type="dxa"/>
            <w:tcBorders>
              <w:top w:val="nil"/>
              <w:left w:val="nil"/>
              <w:bottom w:val="single" w:sz="4" w:space="0" w:color="auto"/>
              <w:right w:val="single" w:sz="4" w:space="0" w:color="auto"/>
            </w:tcBorders>
            <w:noWrap/>
            <w:vAlign w:val="center"/>
            <w:hideMark/>
          </w:tcPr>
          <w:p w14:paraId="31E41246" w14:textId="77777777" w:rsidR="00416D67" w:rsidRPr="00416D67" w:rsidRDefault="00416D67" w:rsidP="00416D67">
            <w:pPr>
              <w:jc w:val="right"/>
              <w:rPr>
                <w:color w:val="000000"/>
                <w:sz w:val="20"/>
                <w:szCs w:val="20"/>
              </w:rPr>
            </w:pPr>
            <w:r w:rsidRPr="00416D67">
              <w:rPr>
                <w:color w:val="000000"/>
                <w:sz w:val="20"/>
                <w:szCs w:val="20"/>
              </w:rPr>
              <w:t>44,04%</w:t>
            </w:r>
          </w:p>
        </w:tc>
      </w:tr>
      <w:tr w:rsidR="00416D67" w:rsidRPr="00416D67" w14:paraId="27DEFD7E" w14:textId="77777777" w:rsidTr="00BB1392">
        <w:trPr>
          <w:trHeight w:val="765"/>
        </w:trPr>
        <w:tc>
          <w:tcPr>
            <w:tcW w:w="833" w:type="dxa"/>
            <w:tcBorders>
              <w:top w:val="nil"/>
              <w:left w:val="single" w:sz="4" w:space="0" w:color="auto"/>
              <w:bottom w:val="single" w:sz="4" w:space="0" w:color="auto"/>
              <w:right w:val="single" w:sz="4" w:space="0" w:color="auto"/>
            </w:tcBorders>
            <w:noWrap/>
            <w:vAlign w:val="center"/>
            <w:hideMark/>
          </w:tcPr>
          <w:p w14:paraId="63EF1036" w14:textId="77777777" w:rsidR="00416D67" w:rsidRPr="00416D67" w:rsidRDefault="00416D67" w:rsidP="00416D67">
            <w:pPr>
              <w:rPr>
                <w:color w:val="000000"/>
                <w:sz w:val="20"/>
                <w:szCs w:val="20"/>
              </w:rPr>
            </w:pPr>
            <w:r w:rsidRPr="00416D67">
              <w:rPr>
                <w:color w:val="000000"/>
                <w:sz w:val="20"/>
                <w:szCs w:val="20"/>
              </w:rPr>
              <w:t>A100015</w:t>
            </w:r>
          </w:p>
        </w:tc>
        <w:tc>
          <w:tcPr>
            <w:tcW w:w="1827" w:type="dxa"/>
            <w:tcBorders>
              <w:top w:val="nil"/>
              <w:left w:val="nil"/>
              <w:bottom w:val="single" w:sz="4" w:space="0" w:color="auto"/>
              <w:right w:val="single" w:sz="4" w:space="0" w:color="auto"/>
            </w:tcBorders>
            <w:shd w:val="clear" w:color="000000" w:fill="FFFFFF"/>
            <w:vAlign w:val="center"/>
            <w:hideMark/>
          </w:tcPr>
          <w:p w14:paraId="654DDBE7" w14:textId="77777777" w:rsidR="00416D67" w:rsidRPr="00416D67" w:rsidRDefault="00416D67" w:rsidP="00416D67">
            <w:pPr>
              <w:rPr>
                <w:color w:val="000000"/>
                <w:sz w:val="20"/>
                <w:szCs w:val="20"/>
              </w:rPr>
            </w:pPr>
            <w:r w:rsidRPr="00416D67">
              <w:rPr>
                <w:color w:val="000000"/>
                <w:sz w:val="20"/>
                <w:szCs w:val="20"/>
              </w:rPr>
              <w:t>Hitne i nepredviđene potrebe u sportu</w:t>
            </w:r>
          </w:p>
        </w:tc>
        <w:tc>
          <w:tcPr>
            <w:tcW w:w="1440" w:type="dxa"/>
            <w:tcBorders>
              <w:top w:val="nil"/>
              <w:left w:val="nil"/>
              <w:bottom w:val="single" w:sz="4" w:space="0" w:color="auto"/>
              <w:right w:val="single" w:sz="4" w:space="0" w:color="auto"/>
            </w:tcBorders>
            <w:noWrap/>
            <w:vAlign w:val="center"/>
            <w:hideMark/>
          </w:tcPr>
          <w:p w14:paraId="76FA2985" w14:textId="77777777" w:rsidR="00416D67" w:rsidRPr="00416D67" w:rsidRDefault="00416D67" w:rsidP="00416D67">
            <w:pPr>
              <w:jc w:val="right"/>
              <w:rPr>
                <w:color w:val="000000"/>
                <w:sz w:val="20"/>
                <w:szCs w:val="20"/>
              </w:rPr>
            </w:pPr>
            <w:r w:rsidRPr="00416D67">
              <w:rPr>
                <w:color w:val="000000"/>
                <w:sz w:val="20"/>
                <w:szCs w:val="20"/>
              </w:rPr>
              <w:t>3.199,40</w:t>
            </w:r>
          </w:p>
        </w:tc>
        <w:tc>
          <w:tcPr>
            <w:tcW w:w="1440" w:type="dxa"/>
            <w:tcBorders>
              <w:top w:val="nil"/>
              <w:left w:val="nil"/>
              <w:bottom w:val="single" w:sz="4" w:space="0" w:color="auto"/>
              <w:right w:val="single" w:sz="4" w:space="0" w:color="auto"/>
            </w:tcBorders>
            <w:noWrap/>
            <w:vAlign w:val="center"/>
            <w:hideMark/>
          </w:tcPr>
          <w:p w14:paraId="7617D623" w14:textId="77777777" w:rsidR="00416D67" w:rsidRPr="00416D67" w:rsidRDefault="00416D67" w:rsidP="00416D67">
            <w:pPr>
              <w:jc w:val="right"/>
              <w:rPr>
                <w:color w:val="000000"/>
                <w:sz w:val="20"/>
                <w:szCs w:val="20"/>
              </w:rPr>
            </w:pPr>
            <w:r w:rsidRPr="00416D67">
              <w:rPr>
                <w:color w:val="000000"/>
                <w:sz w:val="20"/>
                <w:szCs w:val="20"/>
              </w:rPr>
              <w:t>5.000,00</w:t>
            </w:r>
          </w:p>
        </w:tc>
        <w:tc>
          <w:tcPr>
            <w:tcW w:w="1440" w:type="dxa"/>
            <w:tcBorders>
              <w:top w:val="nil"/>
              <w:left w:val="nil"/>
              <w:bottom w:val="single" w:sz="4" w:space="0" w:color="auto"/>
              <w:right w:val="single" w:sz="4" w:space="0" w:color="auto"/>
            </w:tcBorders>
            <w:noWrap/>
            <w:vAlign w:val="center"/>
            <w:hideMark/>
          </w:tcPr>
          <w:p w14:paraId="0B7F029E" w14:textId="77777777" w:rsidR="00416D67" w:rsidRPr="00416D67" w:rsidRDefault="00416D67" w:rsidP="00416D67">
            <w:pPr>
              <w:jc w:val="right"/>
              <w:rPr>
                <w:color w:val="000000"/>
                <w:sz w:val="20"/>
                <w:szCs w:val="20"/>
              </w:rPr>
            </w:pPr>
            <w:r w:rsidRPr="00416D67">
              <w:rPr>
                <w:color w:val="000000"/>
                <w:sz w:val="20"/>
                <w:szCs w:val="20"/>
              </w:rPr>
              <w:t>4.636,28</w:t>
            </w:r>
          </w:p>
        </w:tc>
        <w:tc>
          <w:tcPr>
            <w:tcW w:w="1120" w:type="dxa"/>
            <w:tcBorders>
              <w:top w:val="nil"/>
              <w:left w:val="nil"/>
              <w:bottom w:val="single" w:sz="4" w:space="0" w:color="auto"/>
              <w:right w:val="single" w:sz="4" w:space="0" w:color="auto"/>
            </w:tcBorders>
            <w:noWrap/>
            <w:vAlign w:val="center"/>
            <w:hideMark/>
          </w:tcPr>
          <w:p w14:paraId="22940B4B" w14:textId="77777777" w:rsidR="00416D67" w:rsidRPr="00416D67" w:rsidRDefault="00416D67" w:rsidP="00416D67">
            <w:pPr>
              <w:jc w:val="right"/>
              <w:rPr>
                <w:color w:val="000000"/>
                <w:sz w:val="20"/>
                <w:szCs w:val="20"/>
              </w:rPr>
            </w:pPr>
            <w:r w:rsidRPr="00416D67">
              <w:rPr>
                <w:color w:val="000000"/>
                <w:sz w:val="20"/>
                <w:szCs w:val="20"/>
              </w:rPr>
              <w:t>144,91%</w:t>
            </w:r>
          </w:p>
        </w:tc>
        <w:tc>
          <w:tcPr>
            <w:tcW w:w="1120" w:type="dxa"/>
            <w:tcBorders>
              <w:top w:val="nil"/>
              <w:left w:val="nil"/>
              <w:bottom w:val="single" w:sz="4" w:space="0" w:color="auto"/>
              <w:right w:val="single" w:sz="4" w:space="0" w:color="auto"/>
            </w:tcBorders>
            <w:noWrap/>
            <w:vAlign w:val="center"/>
            <w:hideMark/>
          </w:tcPr>
          <w:p w14:paraId="2481EFF3" w14:textId="77777777" w:rsidR="00416D67" w:rsidRPr="00416D67" w:rsidRDefault="00416D67" w:rsidP="00416D67">
            <w:pPr>
              <w:jc w:val="right"/>
              <w:rPr>
                <w:color w:val="000000"/>
                <w:sz w:val="20"/>
                <w:szCs w:val="20"/>
              </w:rPr>
            </w:pPr>
            <w:r w:rsidRPr="00416D67">
              <w:rPr>
                <w:color w:val="000000"/>
                <w:sz w:val="20"/>
                <w:szCs w:val="20"/>
              </w:rPr>
              <w:t>92,73%</w:t>
            </w:r>
          </w:p>
        </w:tc>
      </w:tr>
      <w:tr w:rsidR="00416D67" w:rsidRPr="00416D67" w14:paraId="5F78EFA3" w14:textId="77777777" w:rsidTr="00BB1392">
        <w:trPr>
          <w:trHeight w:val="765"/>
        </w:trPr>
        <w:tc>
          <w:tcPr>
            <w:tcW w:w="833" w:type="dxa"/>
            <w:tcBorders>
              <w:top w:val="nil"/>
              <w:left w:val="single" w:sz="4" w:space="0" w:color="auto"/>
              <w:bottom w:val="single" w:sz="4" w:space="0" w:color="auto"/>
              <w:right w:val="single" w:sz="4" w:space="0" w:color="auto"/>
            </w:tcBorders>
            <w:noWrap/>
            <w:vAlign w:val="center"/>
            <w:hideMark/>
          </w:tcPr>
          <w:p w14:paraId="30AF97CD" w14:textId="77777777" w:rsidR="00416D67" w:rsidRPr="00416D67" w:rsidRDefault="00416D67" w:rsidP="00416D67">
            <w:pPr>
              <w:rPr>
                <w:color w:val="000000"/>
                <w:sz w:val="20"/>
                <w:szCs w:val="20"/>
              </w:rPr>
            </w:pPr>
            <w:r w:rsidRPr="00416D67">
              <w:rPr>
                <w:color w:val="000000"/>
                <w:sz w:val="20"/>
                <w:szCs w:val="20"/>
              </w:rPr>
              <w:t>K100002</w:t>
            </w:r>
          </w:p>
        </w:tc>
        <w:tc>
          <w:tcPr>
            <w:tcW w:w="1827" w:type="dxa"/>
            <w:tcBorders>
              <w:top w:val="nil"/>
              <w:left w:val="nil"/>
              <w:bottom w:val="single" w:sz="4" w:space="0" w:color="auto"/>
              <w:right w:val="single" w:sz="4" w:space="0" w:color="auto"/>
            </w:tcBorders>
            <w:shd w:val="clear" w:color="000000" w:fill="FFFFFF"/>
            <w:vAlign w:val="center"/>
            <w:hideMark/>
          </w:tcPr>
          <w:p w14:paraId="5B5F62D2" w14:textId="77777777" w:rsidR="00416D67" w:rsidRPr="00416D67" w:rsidRDefault="00416D67" w:rsidP="00416D67">
            <w:pPr>
              <w:rPr>
                <w:color w:val="000000"/>
                <w:sz w:val="20"/>
                <w:szCs w:val="20"/>
              </w:rPr>
            </w:pPr>
            <w:r w:rsidRPr="00416D67">
              <w:rPr>
                <w:color w:val="000000"/>
                <w:sz w:val="20"/>
                <w:szCs w:val="20"/>
              </w:rPr>
              <w:t>Proširenje nogometnog igrališta Peruški</w:t>
            </w:r>
          </w:p>
        </w:tc>
        <w:tc>
          <w:tcPr>
            <w:tcW w:w="1440" w:type="dxa"/>
            <w:tcBorders>
              <w:top w:val="nil"/>
              <w:left w:val="nil"/>
              <w:bottom w:val="single" w:sz="4" w:space="0" w:color="auto"/>
              <w:right w:val="single" w:sz="4" w:space="0" w:color="auto"/>
            </w:tcBorders>
            <w:noWrap/>
            <w:vAlign w:val="center"/>
            <w:hideMark/>
          </w:tcPr>
          <w:p w14:paraId="755EF9D6" w14:textId="77777777" w:rsidR="00416D67" w:rsidRPr="00416D67" w:rsidRDefault="00416D67" w:rsidP="00416D67">
            <w:pPr>
              <w:jc w:val="right"/>
              <w:rPr>
                <w:color w:val="000000"/>
                <w:sz w:val="20"/>
                <w:szCs w:val="20"/>
              </w:rPr>
            </w:pPr>
            <w:r w:rsidRPr="00416D67">
              <w:rPr>
                <w:color w:val="000000"/>
                <w:sz w:val="20"/>
                <w:szCs w:val="20"/>
              </w:rPr>
              <w:t>53.625,00</w:t>
            </w:r>
          </w:p>
        </w:tc>
        <w:tc>
          <w:tcPr>
            <w:tcW w:w="1440" w:type="dxa"/>
            <w:tcBorders>
              <w:top w:val="nil"/>
              <w:left w:val="nil"/>
              <w:bottom w:val="single" w:sz="4" w:space="0" w:color="auto"/>
              <w:right w:val="single" w:sz="4" w:space="0" w:color="auto"/>
            </w:tcBorders>
            <w:noWrap/>
            <w:vAlign w:val="center"/>
            <w:hideMark/>
          </w:tcPr>
          <w:p w14:paraId="57A387FE" w14:textId="77777777" w:rsidR="00416D67" w:rsidRPr="00416D67" w:rsidRDefault="00416D67" w:rsidP="00416D67">
            <w:pPr>
              <w:jc w:val="right"/>
              <w:rPr>
                <w:color w:val="000000"/>
                <w:sz w:val="20"/>
                <w:szCs w:val="20"/>
              </w:rPr>
            </w:pPr>
            <w:r w:rsidRPr="00416D67">
              <w:rPr>
                <w:color w:val="000000"/>
                <w:sz w:val="20"/>
                <w:szCs w:val="20"/>
              </w:rPr>
              <w:t>35.300,00</w:t>
            </w:r>
          </w:p>
        </w:tc>
        <w:tc>
          <w:tcPr>
            <w:tcW w:w="1440" w:type="dxa"/>
            <w:tcBorders>
              <w:top w:val="nil"/>
              <w:left w:val="nil"/>
              <w:bottom w:val="single" w:sz="4" w:space="0" w:color="auto"/>
              <w:right w:val="single" w:sz="4" w:space="0" w:color="auto"/>
            </w:tcBorders>
            <w:noWrap/>
            <w:vAlign w:val="center"/>
            <w:hideMark/>
          </w:tcPr>
          <w:p w14:paraId="37A501DA" w14:textId="77777777" w:rsidR="00416D67" w:rsidRPr="00416D67" w:rsidRDefault="00416D67" w:rsidP="00416D67">
            <w:pPr>
              <w:jc w:val="right"/>
              <w:rPr>
                <w:color w:val="000000"/>
                <w:sz w:val="20"/>
                <w:szCs w:val="20"/>
              </w:rPr>
            </w:pPr>
            <w:r w:rsidRPr="00416D67">
              <w:rPr>
                <w:color w:val="000000"/>
                <w:sz w:val="20"/>
                <w:szCs w:val="20"/>
              </w:rPr>
              <w:t>35.227,41</w:t>
            </w:r>
          </w:p>
        </w:tc>
        <w:tc>
          <w:tcPr>
            <w:tcW w:w="1120" w:type="dxa"/>
            <w:tcBorders>
              <w:top w:val="nil"/>
              <w:left w:val="nil"/>
              <w:bottom w:val="single" w:sz="4" w:space="0" w:color="auto"/>
              <w:right w:val="single" w:sz="4" w:space="0" w:color="auto"/>
            </w:tcBorders>
            <w:noWrap/>
            <w:vAlign w:val="center"/>
            <w:hideMark/>
          </w:tcPr>
          <w:p w14:paraId="5044D539" w14:textId="77777777" w:rsidR="00416D67" w:rsidRPr="00416D67" w:rsidRDefault="00416D67" w:rsidP="00416D67">
            <w:pPr>
              <w:jc w:val="right"/>
              <w:rPr>
                <w:color w:val="000000"/>
                <w:sz w:val="20"/>
                <w:szCs w:val="20"/>
              </w:rPr>
            </w:pPr>
            <w:r w:rsidRPr="00416D67">
              <w:rPr>
                <w:color w:val="000000"/>
                <w:sz w:val="20"/>
                <w:szCs w:val="20"/>
              </w:rPr>
              <w:t>65,69%</w:t>
            </w:r>
          </w:p>
        </w:tc>
        <w:tc>
          <w:tcPr>
            <w:tcW w:w="1120" w:type="dxa"/>
            <w:tcBorders>
              <w:top w:val="nil"/>
              <w:left w:val="nil"/>
              <w:bottom w:val="single" w:sz="4" w:space="0" w:color="auto"/>
              <w:right w:val="single" w:sz="4" w:space="0" w:color="auto"/>
            </w:tcBorders>
            <w:noWrap/>
            <w:vAlign w:val="center"/>
            <w:hideMark/>
          </w:tcPr>
          <w:p w14:paraId="7BB4BB0E" w14:textId="77777777" w:rsidR="00416D67" w:rsidRPr="00416D67" w:rsidRDefault="00416D67" w:rsidP="00416D67">
            <w:pPr>
              <w:jc w:val="right"/>
              <w:rPr>
                <w:color w:val="000000"/>
                <w:sz w:val="20"/>
                <w:szCs w:val="20"/>
              </w:rPr>
            </w:pPr>
            <w:r w:rsidRPr="00416D67">
              <w:rPr>
                <w:color w:val="000000"/>
                <w:sz w:val="20"/>
                <w:szCs w:val="20"/>
              </w:rPr>
              <w:t>99,79%</w:t>
            </w:r>
          </w:p>
        </w:tc>
      </w:tr>
      <w:tr w:rsidR="00416D67" w:rsidRPr="00416D67" w14:paraId="369D7166" w14:textId="77777777" w:rsidTr="00BB1392">
        <w:trPr>
          <w:trHeight w:val="510"/>
        </w:trPr>
        <w:tc>
          <w:tcPr>
            <w:tcW w:w="833" w:type="dxa"/>
            <w:tcBorders>
              <w:top w:val="nil"/>
              <w:left w:val="single" w:sz="4" w:space="0" w:color="auto"/>
              <w:bottom w:val="single" w:sz="4" w:space="0" w:color="auto"/>
              <w:right w:val="single" w:sz="4" w:space="0" w:color="auto"/>
            </w:tcBorders>
            <w:noWrap/>
            <w:vAlign w:val="center"/>
            <w:hideMark/>
          </w:tcPr>
          <w:p w14:paraId="3D8E1B41" w14:textId="77777777" w:rsidR="00416D67" w:rsidRPr="00416D67" w:rsidRDefault="00416D67" w:rsidP="00416D67">
            <w:pPr>
              <w:rPr>
                <w:color w:val="000000"/>
                <w:sz w:val="20"/>
                <w:szCs w:val="20"/>
              </w:rPr>
            </w:pPr>
            <w:r w:rsidRPr="00416D67">
              <w:rPr>
                <w:color w:val="000000"/>
                <w:sz w:val="20"/>
                <w:szCs w:val="20"/>
              </w:rPr>
              <w:t>K100004</w:t>
            </w:r>
          </w:p>
        </w:tc>
        <w:tc>
          <w:tcPr>
            <w:tcW w:w="1827" w:type="dxa"/>
            <w:tcBorders>
              <w:top w:val="nil"/>
              <w:left w:val="nil"/>
              <w:bottom w:val="single" w:sz="4" w:space="0" w:color="auto"/>
              <w:right w:val="single" w:sz="4" w:space="0" w:color="auto"/>
            </w:tcBorders>
            <w:shd w:val="clear" w:color="000000" w:fill="FFFFFF"/>
            <w:vAlign w:val="center"/>
            <w:hideMark/>
          </w:tcPr>
          <w:p w14:paraId="0FB85AB1" w14:textId="77777777" w:rsidR="00416D67" w:rsidRPr="00416D67" w:rsidRDefault="00416D67" w:rsidP="00416D67">
            <w:pPr>
              <w:rPr>
                <w:color w:val="000000"/>
                <w:sz w:val="20"/>
                <w:szCs w:val="20"/>
              </w:rPr>
            </w:pPr>
            <w:r w:rsidRPr="00416D67">
              <w:rPr>
                <w:color w:val="000000"/>
                <w:sz w:val="20"/>
                <w:szCs w:val="20"/>
              </w:rPr>
              <w:t xml:space="preserve">Izgradnja sportske dvorane u </w:t>
            </w:r>
            <w:proofErr w:type="spellStart"/>
            <w:r w:rsidRPr="00416D67">
              <w:rPr>
                <w:color w:val="000000"/>
                <w:sz w:val="20"/>
                <w:szCs w:val="20"/>
              </w:rPr>
              <w:t>Krnici</w:t>
            </w:r>
            <w:proofErr w:type="spellEnd"/>
          </w:p>
        </w:tc>
        <w:tc>
          <w:tcPr>
            <w:tcW w:w="1440" w:type="dxa"/>
            <w:tcBorders>
              <w:top w:val="nil"/>
              <w:left w:val="nil"/>
              <w:bottom w:val="single" w:sz="4" w:space="0" w:color="auto"/>
              <w:right w:val="single" w:sz="4" w:space="0" w:color="auto"/>
            </w:tcBorders>
            <w:noWrap/>
            <w:vAlign w:val="center"/>
            <w:hideMark/>
          </w:tcPr>
          <w:p w14:paraId="2E7BF61E" w14:textId="77777777" w:rsidR="00416D67" w:rsidRPr="00416D67" w:rsidRDefault="00416D67" w:rsidP="00416D67">
            <w:pPr>
              <w:jc w:val="right"/>
              <w:rPr>
                <w:color w:val="000000"/>
                <w:sz w:val="20"/>
                <w:szCs w:val="20"/>
              </w:rPr>
            </w:pPr>
            <w:r w:rsidRPr="00416D67">
              <w:rPr>
                <w:color w:val="000000"/>
                <w:sz w:val="20"/>
                <w:szCs w:val="20"/>
              </w:rPr>
              <w:t>32.312,50</w:t>
            </w:r>
          </w:p>
        </w:tc>
        <w:tc>
          <w:tcPr>
            <w:tcW w:w="1440" w:type="dxa"/>
            <w:tcBorders>
              <w:top w:val="nil"/>
              <w:left w:val="nil"/>
              <w:bottom w:val="single" w:sz="4" w:space="0" w:color="auto"/>
              <w:right w:val="single" w:sz="4" w:space="0" w:color="auto"/>
            </w:tcBorders>
            <w:noWrap/>
            <w:vAlign w:val="center"/>
            <w:hideMark/>
          </w:tcPr>
          <w:p w14:paraId="649DB11E" w14:textId="77777777" w:rsidR="00416D67" w:rsidRPr="00416D67" w:rsidRDefault="00416D67" w:rsidP="00416D67">
            <w:pPr>
              <w:jc w:val="right"/>
              <w:rPr>
                <w:color w:val="000000"/>
                <w:sz w:val="20"/>
                <w:szCs w:val="20"/>
              </w:rPr>
            </w:pPr>
            <w:r w:rsidRPr="00416D67">
              <w:rPr>
                <w:color w:val="000000"/>
                <w:sz w:val="20"/>
                <w:szCs w:val="20"/>
              </w:rPr>
              <w:t>42.750,00</w:t>
            </w:r>
          </w:p>
        </w:tc>
        <w:tc>
          <w:tcPr>
            <w:tcW w:w="1440" w:type="dxa"/>
            <w:tcBorders>
              <w:top w:val="nil"/>
              <w:left w:val="nil"/>
              <w:bottom w:val="single" w:sz="4" w:space="0" w:color="auto"/>
              <w:right w:val="single" w:sz="4" w:space="0" w:color="auto"/>
            </w:tcBorders>
            <w:noWrap/>
            <w:vAlign w:val="center"/>
            <w:hideMark/>
          </w:tcPr>
          <w:p w14:paraId="10A0AC09" w14:textId="77777777" w:rsidR="00416D67" w:rsidRPr="00416D67" w:rsidRDefault="00416D67" w:rsidP="00416D67">
            <w:pPr>
              <w:jc w:val="right"/>
              <w:rPr>
                <w:color w:val="000000"/>
                <w:sz w:val="20"/>
                <w:szCs w:val="20"/>
              </w:rPr>
            </w:pPr>
            <w:r w:rsidRPr="00416D67">
              <w:rPr>
                <w:color w:val="000000"/>
                <w:sz w:val="20"/>
                <w:szCs w:val="20"/>
              </w:rPr>
              <w:t>34.201,25</w:t>
            </w:r>
          </w:p>
        </w:tc>
        <w:tc>
          <w:tcPr>
            <w:tcW w:w="1120" w:type="dxa"/>
            <w:tcBorders>
              <w:top w:val="nil"/>
              <w:left w:val="nil"/>
              <w:bottom w:val="single" w:sz="4" w:space="0" w:color="auto"/>
              <w:right w:val="single" w:sz="4" w:space="0" w:color="auto"/>
            </w:tcBorders>
            <w:noWrap/>
            <w:vAlign w:val="center"/>
            <w:hideMark/>
          </w:tcPr>
          <w:p w14:paraId="7EF48A77" w14:textId="77777777" w:rsidR="00416D67" w:rsidRPr="00416D67" w:rsidRDefault="00416D67" w:rsidP="00416D67">
            <w:pPr>
              <w:jc w:val="right"/>
              <w:rPr>
                <w:color w:val="000000"/>
                <w:sz w:val="20"/>
                <w:szCs w:val="20"/>
              </w:rPr>
            </w:pPr>
            <w:r w:rsidRPr="00416D67">
              <w:rPr>
                <w:color w:val="000000"/>
                <w:sz w:val="20"/>
                <w:szCs w:val="20"/>
              </w:rPr>
              <w:t>105,85%</w:t>
            </w:r>
          </w:p>
        </w:tc>
        <w:tc>
          <w:tcPr>
            <w:tcW w:w="1120" w:type="dxa"/>
            <w:tcBorders>
              <w:top w:val="nil"/>
              <w:left w:val="nil"/>
              <w:bottom w:val="single" w:sz="4" w:space="0" w:color="auto"/>
              <w:right w:val="single" w:sz="4" w:space="0" w:color="auto"/>
            </w:tcBorders>
            <w:noWrap/>
            <w:vAlign w:val="center"/>
            <w:hideMark/>
          </w:tcPr>
          <w:p w14:paraId="0670F617" w14:textId="77777777" w:rsidR="00416D67" w:rsidRPr="00416D67" w:rsidRDefault="00416D67" w:rsidP="00416D67">
            <w:pPr>
              <w:jc w:val="right"/>
              <w:rPr>
                <w:color w:val="000000"/>
                <w:sz w:val="20"/>
                <w:szCs w:val="20"/>
              </w:rPr>
            </w:pPr>
            <w:r w:rsidRPr="00416D67">
              <w:rPr>
                <w:color w:val="000000"/>
                <w:sz w:val="20"/>
                <w:szCs w:val="20"/>
              </w:rPr>
              <w:t>80,00%</w:t>
            </w:r>
          </w:p>
        </w:tc>
      </w:tr>
      <w:tr w:rsidR="00416D67" w:rsidRPr="00416D67" w14:paraId="686AE364" w14:textId="77777777" w:rsidTr="00BB1392">
        <w:trPr>
          <w:trHeight w:val="765"/>
        </w:trPr>
        <w:tc>
          <w:tcPr>
            <w:tcW w:w="833" w:type="dxa"/>
            <w:tcBorders>
              <w:top w:val="nil"/>
              <w:left w:val="single" w:sz="4" w:space="0" w:color="auto"/>
              <w:bottom w:val="single" w:sz="4" w:space="0" w:color="auto"/>
              <w:right w:val="single" w:sz="4" w:space="0" w:color="auto"/>
            </w:tcBorders>
            <w:noWrap/>
            <w:vAlign w:val="center"/>
            <w:hideMark/>
          </w:tcPr>
          <w:p w14:paraId="511433DD" w14:textId="77777777" w:rsidR="00416D67" w:rsidRPr="00416D67" w:rsidRDefault="00416D67" w:rsidP="00416D67">
            <w:pPr>
              <w:rPr>
                <w:color w:val="000000"/>
                <w:sz w:val="20"/>
                <w:szCs w:val="20"/>
              </w:rPr>
            </w:pPr>
            <w:r w:rsidRPr="00416D67">
              <w:rPr>
                <w:color w:val="000000"/>
                <w:sz w:val="20"/>
                <w:szCs w:val="20"/>
              </w:rPr>
              <w:t>K100005</w:t>
            </w:r>
          </w:p>
        </w:tc>
        <w:tc>
          <w:tcPr>
            <w:tcW w:w="1827" w:type="dxa"/>
            <w:tcBorders>
              <w:top w:val="nil"/>
              <w:left w:val="nil"/>
              <w:bottom w:val="single" w:sz="4" w:space="0" w:color="auto"/>
              <w:right w:val="single" w:sz="4" w:space="0" w:color="auto"/>
            </w:tcBorders>
            <w:shd w:val="clear" w:color="000000" w:fill="FFFFFF"/>
            <w:vAlign w:val="center"/>
            <w:hideMark/>
          </w:tcPr>
          <w:p w14:paraId="0F168F03" w14:textId="77777777" w:rsidR="00416D67" w:rsidRPr="00416D67" w:rsidRDefault="00416D67" w:rsidP="00416D67">
            <w:pPr>
              <w:rPr>
                <w:color w:val="000000"/>
                <w:sz w:val="20"/>
                <w:szCs w:val="20"/>
              </w:rPr>
            </w:pPr>
            <w:r w:rsidRPr="00416D67">
              <w:rPr>
                <w:color w:val="000000"/>
                <w:sz w:val="20"/>
                <w:szCs w:val="20"/>
              </w:rPr>
              <w:t>Izgradnja sportskog centra Mandalena</w:t>
            </w:r>
          </w:p>
        </w:tc>
        <w:tc>
          <w:tcPr>
            <w:tcW w:w="1440" w:type="dxa"/>
            <w:tcBorders>
              <w:top w:val="nil"/>
              <w:left w:val="nil"/>
              <w:bottom w:val="single" w:sz="4" w:space="0" w:color="auto"/>
              <w:right w:val="single" w:sz="4" w:space="0" w:color="auto"/>
            </w:tcBorders>
            <w:noWrap/>
            <w:vAlign w:val="center"/>
            <w:hideMark/>
          </w:tcPr>
          <w:p w14:paraId="6F7924E1" w14:textId="77777777" w:rsidR="00416D67" w:rsidRPr="00416D67" w:rsidRDefault="00416D67" w:rsidP="00416D67">
            <w:pPr>
              <w:jc w:val="right"/>
              <w:rPr>
                <w:color w:val="000000"/>
                <w:sz w:val="20"/>
                <w:szCs w:val="20"/>
              </w:rPr>
            </w:pPr>
            <w:r w:rsidRPr="00416D67">
              <w:rPr>
                <w:color w:val="000000"/>
                <w:sz w:val="20"/>
                <w:szCs w:val="20"/>
              </w:rPr>
              <w:t>0</w:t>
            </w:r>
          </w:p>
        </w:tc>
        <w:tc>
          <w:tcPr>
            <w:tcW w:w="1440" w:type="dxa"/>
            <w:tcBorders>
              <w:top w:val="nil"/>
              <w:left w:val="nil"/>
              <w:bottom w:val="single" w:sz="4" w:space="0" w:color="auto"/>
              <w:right w:val="single" w:sz="4" w:space="0" w:color="auto"/>
            </w:tcBorders>
            <w:noWrap/>
            <w:vAlign w:val="center"/>
            <w:hideMark/>
          </w:tcPr>
          <w:p w14:paraId="1588ADD3" w14:textId="77777777" w:rsidR="00416D67" w:rsidRPr="00416D67" w:rsidRDefault="00416D67" w:rsidP="00416D67">
            <w:pPr>
              <w:jc w:val="right"/>
              <w:rPr>
                <w:color w:val="000000"/>
                <w:sz w:val="20"/>
                <w:szCs w:val="20"/>
              </w:rPr>
            </w:pPr>
            <w:r w:rsidRPr="00416D67">
              <w:rPr>
                <w:color w:val="000000"/>
                <w:sz w:val="20"/>
                <w:szCs w:val="20"/>
              </w:rPr>
              <w:t>617.500,00</w:t>
            </w:r>
          </w:p>
        </w:tc>
        <w:tc>
          <w:tcPr>
            <w:tcW w:w="1440" w:type="dxa"/>
            <w:tcBorders>
              <w:top w:val="nil"/>
              <w:left w:val="nil"/>
              <w:bottom w:val="single" w:sz="4" w:space="0" w:color="auto"/>
              <w:right w:val="single" w:sz="4" w:space="0" w:color="auto"/>
            </w:tcBorders>
            <w:noWrap/>
            <w:vAlign w:val="center"/>
            <w:hideMark/>
          </w:tcPr>
          <w:p w14:paraId="3781224A" w14:textId="77777777" w:rsidR="00416D67" w:rsidRPr="00416D67" w:rsidRDefault="00416D67" w:rsidP="00416D67">
            <w:pPr>
              <w:jc w:val="right"/>
              <w:rPr>
                <w:color w:val="000000"/>
                <w:sz w:val="20"/>
                <w:szCs w:val="20"/>
              </w:rPr>
            </w:pPr>
            <w:r w:rsidRPr="00416D67">
              <w:rPr>
                <w:color w:val="000000"/>
                <w:sz w:val="20"/>
                <w:szCs w:val="20"/>
              </w:rPr>
              <w:t>176.226,17</w:t>
            </w:r>
          </w:p>
        </w:tc>
        <w:tc>
          <w:tcPr>
            <w:tcW w:w="1120" w:type="dxa"/>
            <w:tcBorders>
              <w:top w:val="nil"/>
              <w:left w:val="nil"/>
              <w:bottom w:val="single" w:sz="4" w:space="0" w:color="auto"/>
              <w:right w:val="single" w:sz="4" w:space="0" w:color="auto"/>
            </w:tcBorders>
            <w:noWrap/>
            <w:vAlign w:val="center"/>
            <w:hideMark/>
          </w:tcPr>
          <w:p w14:paraId="700D31EB" w14:textId="77777777" w:rsidR="00416D67" w:rsidRPr="00416D67" w:rsidRDefault="00416D67" w:rsidP="00416D67">
            <w:pPr>
              <w:jc w:val="right"/>
              <w:rPr>
                <w:color w:val="000000"/>
                <w:sz w:val="20"/>
                <w:szCs w:val="20"/>
              </w:rPr>
            </w:pPr>
            <w:r w:rsidRPr="00416D67">
              <w:rPr>
                <w:color w:val="000000"/>
                <w:sz w:val="20"/>
                <w:szCs w:val="20"/>
              </w:rPr>
              <w:t>0,00%</w:t>
            </w:r>
          </w:p>
        </w:tc>
        <w:tc>
          <w:tcPr>
            <w:tcW w:w="1120" w:type="dxa"/>
            <w:tcBorders>
              <w:top w:val="nil"/>
              <w:left w:val="nil"/>
              <w:bottom w:val="single" w:sz="4" w:space="0" w:color="auto"/>
              <w:right w:val="single" w:sz="4" w:space="0" w:color="auto"/>
            </w:tcBorders>
            <w:noWrap/>
            <w:vAlign w:val="center"/>
            <w:hideMark/>
          </w:tcPr>
          <w:p w14:paraId="4540F7B0" w14:textId="77777777" w:rsidR="00416D67" w:rsidRPr="00416D67" w:rsidRDefault="00416D67" w:rsidP="00416D67">
            <w:pPr>
              <w:jc w:val="right"/>
              <w:rPr>
                <w:color w:val="000000"/>
                <w:sz w:val="20"/>
                <w:szCs w:val="20"/>
              </w:rPr>
            </w:pPr>
            <w:r w:rsidRPr="00416D67">
              <w:rPr>
                <w:color w:val="000000"/>
                <w:sz w:val="20"/>
                <w:szCs w:val="20"/>
              </w:rPr>
              <w:t>28,54%</w:t>
            </w:r>
          </w:p>
        </w:tc>
      </w:tr>
      <w:tr w:rsidR="00416D67" w:rsidRPr="00416D67" w14:paraId="75D55C7A" w14:textId="77777777" w:rsidTr="00BB1392">
        <w:trPr>
          <w:trHeight w:val="765"/>
        </w:trPr>
        <w:tc>
          <w:tcPr>
            <w:tcW w:w="833" w:type="dxa"/>
            <w:tcBorders>
              <w:top w:val="nil"/>
              <w:left w:val="single" w:sz="4" w:space="0" w:color="auto"/>
              <w:bottom w:val="single" w:sz="4" w:space="0" w:color="auto"/>
              <w:right w:val="single" w:sz="4" w:space="0" w:color="auto"/>
            </w:tcBorders>
            <w:noWrap/>
            <w:vAlign w:val="center"/>
            <w:hideMark/>
          </w:tcPr>
          <w:p w14:paraId="67A265F7" w14:textId="77777777" w:rsidR="00416D67" w:rsidRPr="00416D67" w:rsidRDefault="00416D67" w:rsidP="00416D67">
            <w:pPr>
              <w:rPr>
                <w:color w:val="000000"/>
                <w:sz w:val="20"/>
                <w:szCs w:val="20"/>
              </w:rPr>
            </w:pPr>
            <w:r w:rsidRPr="00416D67">
              <w:rPr>
                <w:color w:val="000000"/>
                <w:sz w:val="20"/>
                <w:szCs w:val="20"/>
              </w:rPr>
              <w:lastRenderedPageBreak/>
              <w:t>K100006</w:t>
            </w:r>
          </w:p>
        </w:tc>
        <w:tc>
          <w:tcPr>
            <w:tcW w:w="1827" w:type="dxa"/>
            <w:tcBorders>
              <w:top w:val="nil"/>
              <w:left w:val="nil"/>
              <w:bottom w:val="single" w:sz="4" w:space="0" w:color="auto"/>
              <w:right w:val="single" w:sz="4" w:space="0" w:color="auto"/>
            </w:tcBorders>
            <w:shd w:val="clear" w:color="000000" w:fill="FFFFFF"/>
            <w:vAlign w:val="center"/>
            <w:hideMark/>
          </w:tcPr>
          <w:p w14:paraId="5C2EB17C" w14:textId="77777777" w:rsidR="00416D67" w:rsidRPr="00416D67" w:rsidRDefault="00416D67" w:rsidP="00416D67">
            <w:pPr>
              <w:rPr>
                <w:color w:val="000000"/>
                <w:sz w:val="20"/>
                <w:szCs w:val="20"/>
              </w:rPr>
            </w:pPr>
            <w:r w:rsidRPr="00416D67">
              <w:rPr>
                <w:color w:val="000000"/>
                <w:sz w:val="20"/>
                <w:szCs w:val="20"/>
              </w:rPr>
              <w:t xml:space="preserve">Rekonstrukcija nogometnog igrališta u </w:t>
            </w:r>
            <w:proofErr w:type="spellStart"/>
            <w:r w:rsidRPr="00416D67">
              <w:rPr>
                <w:color w:val="000000"/>
                <w:sz w:val="20"/>
                <w:szCs w:val="20"/>
              </w:rPr>
              <w:t>Marčani</w:t>
            </w:r>
            <w:proofErr w:type="spellEnd"/>
          </w:p>
        </w:tc>
        <w:tc>
          <w:tcPr>
            <w:tcW w:w="1440" w:type="dxa"/>
            <w:tcBorders>
              <w:top w:val="nil"/>
              <w:left w:val="nil"/>
              <w:bottom w:val="single" w:sz="4" w:space="0" w:color="auto"/>
              <w:right w:val="single" w:sz="4" w:space="0" w:color="auto"/>
            </w:tcBorders>
            <w:noWrap/>
            <w:vAlign w:val="center"/>
            <w:hideMark/>
          </w:tcPr>
          <w:p w14:paraId="065BCC73" w14:textId="77777777" w:rsidR="00416D67" w:rsidRPr="00416D67" w:rsidRDefault="00416D67" w:rsidP="00416D67">
            <w:pPr>
              <w:jc w:val="right"/>
              <w:rPr>
                <w:color w:val="000000"/>
                <w:sz w:val="20"/>
                <w:szCs w:val="20"/>
              </w:rPr>
            </w:pPr>
            <w:r w:rsidRPr="00416D67">
              <w:rPr>
                <w:color w:val="000000"/>
                <w:sz w:val="20"/>
                <w:szCs w:val="20"/>
              </w:rPr>
              <w:t>0</w:t>
            </w:r>
          </w:p>
        </w:tc>
        <w:tc>
          <w:tcPr>
            <w:tcW w:w="1440" w:type="dxa"/>
            <w:tcBorders>
              <w:top w:val="nil"/>
              <w:left w:val="nil"/>
              <w:bottom w:val="single" w:sz="4" w:space="0" w:color="auto"/>
              <w:right w:val="single" w:sz="4" w:space="0" w:color="auto"/>
            </w:tcBorders>
            <w:noWrap/>
            <w:vAlign w:val="center"/>
            <w:hideMark/>
          </w:tcPr>
          <w:p w14:paraId="0ABF088F" w14:textId="77777777" w:rsidR="00416D67" w:rsidRPr="00416D67" w:rsidRDefault="00416D67" w:rsidP="00416D67">
            <w:pPr>
              <w:jc w:val="right"/>
              <w:rPr>
                <w:color w:val="000000"/>
                <w:sz w:val="20"/>
                <w:szCs w:val="20"/>
              </w:rPr>
            </w:pPr>
            <w:r w:rsidRPr="00416D67">
              <w:rPr>
                <w:color w:val="000000"/>
                <w:sz w:val="20"/>
                <w:szCs w:val="20"/>
              </w:rPr>
              <w:t>328.100,00</w:t>
            </w:r>
          </w:p>
        </w:tc>
        <w:tc>
          <w:tcPr>
            <w:tcW w:w="1440" w:type="dxa"/>
            <w:tcBorders>
              <w:top w:val="nil"/>
              <w:left w:val="nil"/>
              <w:bottom w:val="single" w:sz="4" w:space="0" w:color="auto"/>
              <w:right w:val="single" w:sz="4" w:space="0" w:color="auto"/>
            </w:tcBorders>
            <w:noWrap/>
            <w:vAlign w:val="center"/>
            <w:hideMark/>
          </w:tcPr>
          <w:p w14:paraId="5DB812F0" w14:textId="77777777" w:rsidR="00416D67" w:rsidRPr="00416D67" w:rsidRDefault="00416D67" w:rsidP="00416D67">
            <w:pPr>
              <w:jc w:val="right"/>
              <w:rPr>
                <w:color w:val="000000"/>
                <w:sz w:val="20"/>
                <w:szCs w:val="20"/>
              </w:rPr>
            </w:pPr>
            <w:r w:rsidRPr="00416D67">
              <w:rPr>
                <w:color w:val="000000"/>
                <w:sz w:val="20"/>
                <w:szCs w:val="20"/>
              </w:rPr>
              <w:t>336.166,47</w:t>
            </w:r>
          </w:p>
        </w:tc>
        <w:tc>
          <w:tcPr>
            <w:tcW w:w="1120" w:type="dxa"/>
            <w:tcBorders>
              <w:top w:val="nil"/>
              <w:left w:val="nil"/>
              <w:bottom w:val="single" w:sz="4" w:space="0" w:color="auto"/>
              <w:right w:val="single" w:sz="4" w:space="0" w:color="auto"/>
            </w:tcBorders>
            <w:noWrap/>
            <w:vAlign w:val="center"/>
            <w:hideMark/>
          </w:tcPr>
          <w:p w14:paraId="79BB7BD8" w14:textId="77777777" w:rsidR="00416D67" w:rsidRPr="00416D67" w:rsidRDefault="00416D67" w:rsidP="00416D67">
            <w:pPr>
              <w:jc w:val="right"/>
              <w:rPr>
                <w:color w:val="000000"/>
                <w:sz w:val="20"/>
                <w:szCs w:val="20"/>
              </w:rPr>
            </w:pPr>
            <w:r w:rsidRPr="00416D67">
              <w:rPr>
                <w:color w:val="000000"/>
                <w:sz w:val="20"/>
                <w:szCs w:val="20"/>
              </w:rPr>
              <w:t>0,00%</w:t>
            </w:r>
          </w:p>
        </w:tc>
        <w:tc>
          <w:tcPr>
            <w:tcW w:w="1120" w:type="dxa"/>
            <w:tcBorders>
              <w:top w:val="nil"/>
              <w:left w:val="nil"/>
              <w:bottom w:val="single" w:sz="4" w:space="0" w:color="auto"/>
              <w:right w:val="single" w:sz="4" w:space="0" w:color="auto"/>
            </w:tcBorders>
            <w:noWrap/>
            <w:vAlign w:val="center"/>
            <w:hideMark/>
          </w:tcPr>
          <w:p w14:paraId="288AF492" w14:textId="77777777" w:rsidR="00416D67" w:rsidRPr="00416D67" w:rsidRDefault="00416D67" w:rsidP="00416D67">
            <w:pPr>
              <w:jc w:val="right"/>
              <w:rPr>
                <w:color w:val="000000"/>
                <w:sz w:val="20"/>
                <w:szCs w:val="20"/>
              </w:rPr>
            </w:pPr>
            <w:r w:rsidRPr="00416D67">
              <w:rPr>
                <w:color w:val="000000"/>
                <w:sz w:val="20"/>
                <w:szCs w:val="20"/>
              </w:rPr>
              <w:t>102,46%</w:t>
            </w:r>
          </w:p>
        </w:tc>
      </w:tr>
      <w:tr w:rsidR="00416D67" w:rsidRPr="00416D67" w14:paraId="370F0EB5" w14:textId="77777777" w:rsidTr="00BB1392">
        <w:trPr>
          <w:trHeight w:val="765"/>
        </w:trPr>
        <w:tc>
          <w:tcPr>
            <w:tcW w:w="833" w:type="dxa"/>
            <w:tcBorders>
              <w:top w:val="nil"/>
              <w:left w:val="single" w:sz="4" w:space="0" w:color="auto"/>
              <w:bottom w:val="single" w:sz="4" w:space="0" w:color="auto"/>
              <w:right w:val="single" w:sz="4" w:space="0" w:color="auto"/>
            </w:tcBorders>
            <w:noWrap/>
            <w:vAlign w:val="center"/>
            <w:hideMark/>
          </w:tcPr>
          <w:p w14:paraId="1549B38D" w14:textId="77777777" w:rsidR="00416D67" w:rsidRPr="00416D67" w:rsidRDefault="00416D67" w:rsidP="00416D67">
            <w:pPr>
              <w:rPr>
                <w:color w:val="000000"/>
                <w:sz w:val="20"/>
                <w:szCs w:val="20"/>
              </w:rPr>
            </w:pPr>
            <w:r w:rsidRPr="00416D67">
              <w:rPr>
                <w:color w:val="000000"/>
                <w:sz w:val="20"/>
                <w:szCs w:val="20"/>
              </w:rPr>
              <w:t>K100010</w:t>
            </w:r>
          </w:p>
        </w:tc>
        <w:tc>
          <w:tcPr>
            <w:tcW w:w="1827" w:type="dxa"/>
            <w:tcBorders>
              <w:top w:val="nil"/>
              <w:left w:val="nil"/>
              <w:bottom w:val="single" w:sz="4" w:space="0" w:color="auto"/>
              <w:right w:val="single" w:sz="4" w:space="0" w:color="auto"/>
            </w:tcBorders>
            <w:shd w:val="clear" w:color="000000" w:fill="FFFFFF"/>
            <w:vAlign w:val="center"/>
            <w:hideMark/>
          </w:tcPr>
          <w:p w14:paraId="4779EC2F" w14:textId="77777777" w:rsidR="00416D67" w:rsidRPr="00416D67" w:rsidRDefault="00416D67" w:rsidP="00416D67">
            <w:pPr>
              <w:rPr>
                <w:color w:val="000000"/>
                <w:sz w:val="20"/>
                <w:szCs w:val="20"/>
              </w:rPr>
            </w:pPr>
            <w:r w:rsidRPr="00416D67">
              <w:rPr>
                <w:color w:val="000000"/>
                <w:sz w:val="20"/>
                <w:szCs w:val="20"/>
              </w:rPr>
              <w:t>Dodatna ulaganja u postojeće sportske terene i igrališta</w:t>
            </w:r>
          </w:p>
        </w:tc>
        <w:tc>
          <w:tcPr>
            <w:tcW w:w="1440" w:type="dxa"/>
            <w:tcBorders>
              <w:top w:val="nil"/>
              <w:left w:val="nil"/>
              <w:bottom w:val="single" w:sz="4" w:space="0" w:color="auto"/>
              <w:right w:val="single" w:sz="4" w:space="0" w:color="auto"/>
            </w:tcBorders>
            <w:noWrap/>
            <w:vAlign w:val="center"/>
            <w:hideMark/>
          </w:tcPr>
          <w:p w14:paraId="2B669740" w14:textId="77777777" w:rsidR="00416D67" w:rsidRPr="00416D67" w:rsidRDefault="00416D67" w:rsidP="00416D67">
            <w:pPr>
              <w:jc w:val="right"/>
              <w:rPr>
                <w:color w:val="000000"/>
                <w:sz w:val="20"/>
                <w:szCs w:val="20"/>
              </w:rPr>
            </w:pPr>
            <w:r w:rsidRPr="00416D67">
              <w:rPr>
                <w:color w:val="000000"/>
                <w:sz w:val="20"/>
                <w:szCs w:val="20"/>
              </w:rPr>
              <w:t>28.366,11</w:t>
            </w:r>
          </w:p>
        </w:tc>
        <w:tc>
          <w:tcPr>
            <w:tcW w:w="1440" w:type="dxa"/>
            <w:tcBorders>
              <w:top w:val="nil"/>
              <w:left w:val="nil"/>
              <w:bottom w:val="single" w:sz="4" w:space="0" w:color="auto"/>
              <w:right w:val="single" w:sz="4" w:space="0" w:color="auto"/>
            </w:tcBorders>
            <w:noWrap/>
            <w:vAlign w:val="center"/>
            <w:hideMark/>
          </w:tcPr>
          <w:p w14:paraId="19C5335E" w14:textId="77777777" w:rsidR="00416D67" w:rsidRPr="00416D67" w:rsidRDefault="00416D67" w:rsidP="00416D67">
            <w:pPr>
              <w:jc w:val="right"/>
              <w:rPr>
                <w:color w:val="000000"/>
                <w:sz w:val="20"/>
                <w:szCs w:val="20"/>
              </w:rPr>
            </w:pPr>
            <w:r w:rsidRPr="00416D67">
              <w:rPr>
                <w:color w:val="000000"/>
                <w:sz w:val="20"/>
                <w:szCs w:val="20"/>
              </w:rPr>
              <w:t>72.999,28</w:t>
            </w:r>
          </w:p>
        </w:tc>
        <w:tc>
          <w:tcPr>
            <w:tcW w:w="1440" w:type="dxa"/>
            <w:tcBorders>
              <w:top w:val="nil"/>
              <w:left w:val="nil"/>
              <w:bottom w:val="single" w:sz="4" w:space="0" w:color="auto"/>
              <w:right w:val="single" w:sz="4" w:space="0" w:color="auto"/>
            </w:tcBorders>
            <w:noWrap/>
            <w:vAlign w:val="center"/>
            <w:hideMark/>
          </w:tcPr>
          <w:p w14:paraId="3D504AB5" w14:textId="77777777" w:rsidR="00416D67" w:rsidRPr="00416D67" w:rsidRDefault="00416D67" w:rsidP="00416D67">
            <w:pPr>
              <w:jc w:val="right"/>
              <w:rPr>
                <w:color w:val="000000"/>
                <w:sz w:val="20"/>
                <w:szCs w:val="20"/>
              </w:rPr>
            </w:pPr>
            <w:r w:rsidRPr="00416D67">
              <w:rPr>
                <w:color w:val="000000"/>
                <w:sz w:val="20"/>
                <w:szCs w:val="20"/>
              </w:rPr>
              <w:t>13.198,06</w:t>
            </w:r>
          </w:p>
        </w:tc>
        <w:tc>
          <w:tcPr>
            <w:tcW w:w="1120" w:type="dxa"/>
            <w:tcBorders>
              <w:top w:val="nil"/>
              <w:left w:val="nil"/>
              <w:bottom w:val="single" w:sz="4" w:space="0" w:color="auto"/>
              <w:right w:val="single" w:sz="4" w:space="0" w:color="auto"/>
            </w:tcBorders>
            <w:noWrap/>
            <w:vAlign w:val="center"/>
            <w:hideMark/>
          </w:tcPr>
          <w:p w14:paraId="4C4EC603" w14:textId="77777777" w:rsidR="00416D67" w:rsidRPr="00416D67" w:rsidRDefault="00416D67" w:rsidP="00416D67">
            <w:pPr>
              <w:jc w:val="right"/>
              <w:rPr>
                <w:color w:val="000000"/>
                <w:sz w:val="20"/>
                <w:szCs w:val="20"/>
              </w:rPr>
            </w:pPr>
            <w:r w:rsidRPr="00416D67">
              <w:rPr>
                <w:color w:val="000000"/>
                <w:sz w:val="20"/>
                <w:szCs w:val="20"/>
              </w:rPr>
              <w:t>46,53%</w:t>
            </w:r>
          </w:p>
        </w:tc>
        <w:tc>
          <w:tcPr>
            <w:tcW w:w="1120" w:type="dxa"/>
            <w:tcBorders>
              <w:top w:val="nil"/>
              <w:left w:val="nil"/>
              <w:bottom w:val="single" w:sz="4" w:space="0" w:color="auto"/>
              <w:right w:val="single" w:sz="4" w:space="0" w:color="auto"/>
            </w:tcBorders>
            <w:noWrap/>
            <w:vAlign w:val="center"/>
            <w:hideMark/>
          </w:tcPr>
          <w:p w14:paraId="050F4D24" w14:textId="77777777" w:rsidR="00416D67" w:rsidRPr="00416D67" w:rsidRDefault="00416D67" w:rsidP="00416D67">
            <w:pPr>
              <w:jc w:val="right"/>
              <w:rPr>
                <w:color w:val="000000"/>
                <w:sz w:val="20"/>
                <w:szCs w:val="20"/>
              </w:rPr>
            </w:pPr>
            <w:r w:rsidRPr="00416D67">
              <w:rPr>
                <w:color w:val="000000"/>
                <w:sz w:val="20"/>
                <w:szCs w:val="20"/>
              </w:rPr>
              <w:t>18,08%</w:t>
            </w:r>
          </w:p>
        </w:tc>
      </w:tr>
    </w:tbl>
    <w:p w14:paraId="57B40B2C" w14:textId="77777777" w:rsidR="00416D67" w:rsidRPr="00416D67" w:rsidRDefault="00416D67" w:rsidP="00416D67">
      <w:pPr>
        <w:ind w:firstLine="708"/>
        <w:jc w:val="both"/>
      </w:pPr>
    </w:p>
    <w:p w14:paraId="311D7386" w14:textId="77777777" w:rsidR="00416D67" w:rsidRPr="00416D67" w:rsidRDefault="00416D67" w:rsidP="00416D67">
      <w:pPr>
        <w:ind w:firstLine="720"/>
        <w:jc w:val="both"/>
        <w:rPr>
          <w:szCs w:val="20"/>
        </w:rPr>
      </w:pPr>
      <w:r w:rsidRPr="00416D67">
        <w:rPr>
          <w:szCs w:val="20"/>
        </w:rPr>
        <w:t xml:space="preserve">Program javnih potreba u sportu koje su lokalnog značaja sadržan je u članku 76. stavku 4. Zakona o sportu, prema kojima programe javnih potreba u sportu donosi jedinica lokalne samouprave zajedno s proračunom na prijedlog sportske zajednice odnosno školskih sportskih saveza. </w:t>
      </w:r>
    </w:p>
    <w:p w14:paraId="51E59BAB" w14:textId="77777777" w:rsidR="00416D67" w:rsidRPr="00416D67" w:rsidRDefault="00416D67" w:rsidP="00416D67">
      <w:pPr>
        <w:ind w:firstLine="720"/>
        <w:jc w:val="both"/>
        <w:rPr>
          <w:szCs w:val="20"/>
        </w:rPr>
      </w:pPr>
      <w:r w:rsidRPr="00416D67">
        <w:rPr>
          <w:szCs w:val="20"/>
        </w:rPr>
        <w:t xml:space="preserve">Osnivači sportske zajednice su: </w:t>
      </w:r>
      <w:r w:rsidRPr="00416D67">
        <w:rPr>
          <w:color w:val="000000"/>
        </w:rPr>
        <w:t>Boćarski klub "Divšići", DSR "Budava", SD "</w:t>
      </w:r>
      <w:proofErr w:type="spellStart"/>
      <w:r w:rsidRPr="00416D67">
        <w:rPr>
          <w:color w:val="000000"/>
        </w:rPr>
        <w:t>Krnički</w:t>
      </w:r>
      <w:proofErr w:type="spellEnd"/>
      <w:r w:rsidRPr="00416D67">
        <w:rPr>
          <w:color w:val="000000"/>
        </w:rPr>
        <w:t xml:space="preserve"> </w:t>
      </w:r>
      <w:proofErr w:type="spellStart"/>
      <w:r w:rsidRPr="00416D67">
        <w:rPr>
          <w:color w:val="000000"/>
        </w:rPr>
        <w:t>Porat,NK</w:t>
      </w:r>
      <w:proofErr w:type="spellEnd"/>
      <w:r w:rsidRPr="00416D67">
        <w:rPr>
          <w:color w:val="000000"/>
        </w:rPr>
        <w:t xml:space="preserve"> "Marčana", Boćarski klub "Orbanići", Boćarski klub "</w:t>
      </w:r>
      <w:proofErr w:type="spellStart"/>
      <w:r w:rsidRPr="00416D67">
        <w:rPr>
          <w:color w:val="000000"/>
        </w:rPr>
        <w:t>Rakalj</w:t>
      </w:r>
      <w:proofErr w:type="spellEnd"/>
      <w:r w:rsidRPr="00416D67">
        <w:rPr>
          <w:color w:val="000000"/>
        </w:rPr>
        <w:t xml:space="preserve">", Streljački klub "Istra", Streljački klub časnika Pula, </w:t>
      </w:r>
      <w:proofErr w:type="spellStart"/>
      <w:r w:rsidRPr="00416D67">
        <w:rPr>
          <w:color w:val="000000"/>
        </w:rPr>
        <w:t>Pljočkarski</w:t>
      </w:r>
      <w:proofErr w:type="spellEnd"/>
      <w:r w:rsidRPr="00416D67">
        <w:rPr>
          <w:color w:val="000000"/>
        </w:rPr>
        <w:t xml:space="preserve"> klub "45 Paralela", NK "Arne Peruški", NK Pomorac, </w:t>
      </w:r>
      <w:proofErr w:type="spellStart"/>
      <w:r w:rsidRPr="00416D67">
        <w:rPr>
          <w:color w:val="000000"/>
        </w:rPr>
        <w:t>Krnica</w:t>
      </w:r>
      <w:proofErr w:type="spellEnd"/>
      <w:r w:rsidRPr="00416D67">
        <w:rPr>
          <w:color w:val="000000"/>
        </w:rPr>
        <w:t>, SRU "</w:t>
      </w:r>
      <w:proofErr w:type="spellStart"/>
      <w:r w:rsidRPr="00416D67">
        <w:rPr>
          <w:color w:val="000000"/>
        </w:rPr>
        <w:t>Kalavojna</w:t>
      </w:r>
      <w:proofErr w:type="spellEnd"/>
      <w:r w:rsidRPr="00416D67">
        <w:rPr>
          <w:color w:val="000000"/>
        </w:rPr>
        <w:t xml:space="preserve">", a kasnije su se uključili i NK Pomorac </w:t>
      </w:r>
      <w:proofErr w:type="spellStart"/>
      <w:r w:rsidRPr="00416D67">
        <w:rPr>
          <w:color w:val="000000"/>
        </w:rPr>
        <w:t>Krnica-Rakalj</w:t>
      </w:r>
      <w:proofErr w:type="spellEnd"/>
      <w:r w:rsidRPr="00416D67">
        <w:rPr>
          <w:color w:val="000000"/>
        </w:rPr>
        <w:t>, te Odbojkaški klub Marčana.</w:t>
      </w:r>
    </w:p>
    <w:p w14:paraId="7091CD9A" w14:textId="77777777" w:rsidR="00416D67" w:rsidRPr="00416D67" w:rsidRDefault="00416D67" w:rsidP="00416D67">
      <w:pPr>
        <w:ind w:firstLine="720"/>
        <w:jc w:val="both"/>
        <w:rPr>
          <w:szCs w:val="20"/>
        </w:rPr>
      </w:pPr>
      <w:r w:rsidRPr="00416D67">
        <w:rPr>
          <w:szCs w:val="20"/>
        </w:rPr>
        <w:t xml:space="preserve">U izvještajnom razdoblju nastavilo se ulaganje na proširenju nogometnog igrališta Peruški i dodatnim ulaganjima u ostale postojeće terene i </w:t>
      </w:r>
      <w:proofErr w:type="spellStart"/>
      <w:r w:rsidRPr="00416D67">
        <w:rPr>
          <w:szCs w:val="20"/>
        </w:rPr>
        <w:t>igrališa</w:t>
      </w:r>
      <w:proofErr w:type="spellEnd"/>
      <w:r w:rsidRPr="00416D67">
        <w:rPr>
          <w:szCs w:val="20"/>
        </w:rPr>
        <w:t xml:space="preserve">. Za izgradnju sportskog centra u </w:t>
      </w:r>
      <w:proofErr w:type="spellStart"/>
      <w:r w:rsidRPr="00416D67">
        <w:rPr>
          <w:szCs w:val="20"/>
        </w:rPr>
        <w:t>Krnici</w:t>
      </w:r>
      <w:proofErr w:type="spellEnd"/>
      <w:r w:rsidRPr="00416D67">
        <w:rPr>
          <w:szCs w:val="20"/>
        </w:rPr>
        <w:t xml:space="preserve"> izrađen je dio projektne dokumentacije.  </w:t>
      </w:r>
      <w:proofErr w:type="spellStart"/>
      <w:r w:rsidRPr="00416D67">
        <w:rPr>
          <w:szCs w:val="20"/>
        </w:rPr>
        <w:t>Značjanija</w:t>
      </w:r>
      <w:proofErr w:type="spellEnd"/>
      <w:r w:rsidRPr="00416D67">
        <w:rPr>
          <w:szCs w:val="20"/>
        </w:rPr>
        <w:t xml:space="preserve"> ulaganja ostvarena su na </w:t>
      </w:r>
      <w:proofErr w:type="spellStart"/>
      <w:r w:rsidRPr="00416D67">
        <w:rPr>
          <w:szCs w:val="20"/>
        </w:rPr>
        <w:t>izradnji</w:t>
      </w:r>
      <w:proofErr w:type="spellEnd"/>
      <w:r w:rsidRPr="00416D67">
        <w:rPr>
          <w:szCs w:val="20"/>
        </w:rPr>
        <w:t xml:space="preserve"> sportskog centra </w:t>
      </w:r>
      <w:proofErr w:type="spellStart"/>
      <w:r w:rsidRPr="00416D67">
        <w:rPr>
          <w:szCs w:val="20"/>
        </w:rPr>
        <w:t>Mandalena</w:t>
      </w:r>
      <w:proofErr w:type="spellEnd"/>
      <w:r w:rsidRPr="00416D67">
        <w:rPr>
          <w:szCs w:val="20"/>
        </w:rPr>
        <w:t xml:space="preserve"> i rekonstrukciju nogometnog igrališta u </w:t>
      </w:r>
      <w:proofErr w:type="spellStart"/>
      <w:r w:rsidRPr="00416D67">
        <w:rPr>
          <w:szCs w:val="20"/>
        </w:rPr>
        <w:t>Marčani</w:t>
      </w:r>
      <w:proofErr w:type="spellEnd"/>
      <w:r w:rsidRPr="00416D67">
        <w:rPr>
          <w:szCs w:val="20"/>
        </w:rPr>
        <w:t>.</w:t>
      </w:r>
    </w:p>
    <w:p w14:paraId="24898F06" w14:textId="77777777" w:rsidR="00416D67" w:rsidRPr="00416D67" w:rsidRDefault="00416D67" w:rsidP="00416D67">
      <w:pPr>
        <w:tabs>
          <w:tab w:val="left" w:pos="709"/>
        </w:tabs>
        <w:jc w:val="both"/>
      </w:pPr>
      <w:r w:rsidRPr="00416D67">
        <w:tab/>
        <w:t xml:space="preserve"> </w:t>
      </w:r>
    </w:p>
    <w:p w14:paraId="4C40993E" w14:textId="77777777" w:rsidR="00416D67" w:rsidRPr="00416D67" w:rsidRDefault="00416D67" w:rsidP="00416D67">
      <w:pPr>
        <w:ind w:firstLine="717"/>
        <w:jc w:val="both"/>
      </w:pPr>
      <w:r w:rsidRPr="00416D67">
        <w:rPr>
          <w:b/>
        </w:rPr>
        <w:t xml:space="preserve"> Program javnih potreba koje se ostvaruju putem udruga civilnog društva </w:t>
      </w:r>
      <w:r w:rsidRPr="00416D67">
        <w:t xml:space="preserve">za provedbu programa u Proračunu Općine Marčana  za 2025. godinu osigurana su sredstva u visini od </w:t>
      </w:r>
      <w:r w:rsidRPr="00416D67">
        <w:rPr>
          <w:b/>
          <w:bCs/>
        </w:rPr>
        <w:t>7.700,00 EUR</w:t>
      </w:r>
      <w:r w:rsidRPr="00416D67">
        <w:t>, a utrošeno je 6.450,00 EUR :</w:t>
      </w:r>
    </w:p>
    <w:p w14:paraId="6543C4F9" w14:textId="77777777" w:rsidR="00416D67" w:rsidRPr="00416D67" w:rsidRDefault="00416D67" w:rsidP="00416D67">
      <w:pPr>
        <w:ind w:firstLine="717"/>
        <w:jc w:val="both"/>
      </w:pPr>
      <w:r w:rsidRPr="00416D67">
        <w:t>- za financiranje programa i projekata udruga civilnog društva – 5.950,00 EUR (planirano 6.300,00 EUR),</w:t>
      </w:r>
    </w:p>
    <w:p w14:paraId="73E88269" w14:textId="77777777" w:rsidR="00416D67" w:rsidRPr="00416D67" w:rsidRDefault="00416D67" w:rsidP="00416D67">
      <w:pPr>
        <w:ind w:firstLine="717"/>
        <w:jc w:val="both"/>
      </w:pPr>
      <w:r w:rsidRPr="00416D67">
        <w:t>- za hitne i nepredviđene potrebe – 500,00 EUR (planirano  1.000,00  EUR)</w:t>
      </w:r>
    </w:p>
    <w:p w14:paraId="39DFDCF2" w14:textId="77777777" w:rsidR="00416D67" w:rsidRPr="00416D67" w:rsidRDefault="00416D67" w:rsidP="00416D67">
      <w:pPr>
        <w:tabs>
          <w:tab w:val="left" w:pos="709"/>
        </w:tabs>
        <w:jc w:val="both"/>
      </w:pPr>
      <w:r w:rsidRPr="00416D67">
        <w:t xml:space="preserve">            - za rad ocjenjivačkog povjerenstva planirano je 400,00 EUR, a sredstva u izvještajnom razdoblju nisu utrošena.</w:t>
      </w:r>
    </w:p>
    <w:p w14:paraId="5C2C11D8" w14:textId="77777777" w:rsidR="00416D67" w:rsidRPr="00416D67" w:rsidRDefault="00416D67" w:rsidP="00416D67">
      <w:pPr>
        <w:tabs>
          <w:tab w:val="left" w:pos="709"/>
        </w:tabs>
        <w:jc w:val="both"/>
      </w:pPr>
      <w:r w:rsidRPr="00416D67">
        <w:t xml:space="preserve">  Sredstva su </w:t>
      </w:r>
      <w:proofErr w:type="spellStart"/>
      <w:r w:rsidRPr="00416D67">
        <w:t>dodijeljenja</w:t>
      </w:r>
      <w:proofErr w:type="spellEnd"/>
      <w:r w:rsidRPr="00416D67">
        <w:t xml:space="preserve"> slijedećim udrugama: </w:t>
      </w:r>
    </w:p>
    <w:p w14:paraId="21B574D2" w14:textId="77777777" w:rsidR="00416D67" w:rsidRPr="00416D67" w:rsidRDefault="00416D67">
      <w:pPr>
        <w:numPr>
          <w:ilvl w:val="0"/>
          <w:numId w:val="16"/>
        </w:numPr>
        <w:tabs>
          <w:tab w:val="left" w:pos="709"/>
        </w:tabs>
        <w:jc w:val="both"/>
        <w:rPr>
          <w:b/>
        </w:rPr>
      </w:pPr>
      <w:r w:rsidRPr="00416D67">
        <w:t xml:space="preserve">Udruga </w:t>
      </w:r>
      <w:proofErr w:type="spellStart"/>
      <w:r w:rsidRPr="00416D67">
        <w:t>Mandina</w:t>
      </w:r>
      <w:proofErr w:type="spellEnd"/>
      <w:r w:rsidRPr="00416D67">
        <w:t xml:space="preserve"> Letica 200,00 EUR</w:t>
      </w:r>
    </w:p>
    <w:p w14:paraId="494F5E9A" w14:textId="77777777" w:rsidR="00416D67" w:rsidRPr="00416D67" w:rsidRDefault="00416D67">
      <w:pPr>
        <w:numPr>
          <w:ilvl w:val="0"/>
          <w:numId w:val="16"/>
        </w:numPr>
        <w:tabs>
          <w:tab w:val="left" w:pos="709"/>
        </w:tabs>
        <w:jc w:val="both"/>
        <w:rPr>
          <w:b/>
        </w:rPr>
      </w:pPr>
      <w:r w:rsidRPr="00416D67">
        <w:t>Udruga antifašista Grada Pule 200,00 EUR</w:t>
      </w:r>
    </w:p>
    <w:p w14:paraId="04ED0A46" w14:textId="77777777" w:rsidR="00416D67" w:rsidRPr="00416D67" w:rsidRDefault="00416D67">
      <w:pPr>
        <w:numPr>
          <w:ilvl w:val="0"/>
          <w:numId w:val="16"/>
        </w:numPr>
        <w:tabs>
          <w:tab w:val="left" w:pos="709"/>
        </w:tabs>
        <w:jc w:val="both"/>
        <w:rPr>
          <w:b/>
        </w:rPr>
      </w:pPr>
      <w:r w:rsidRPr="00416D67">
        <w:t>Udruga dragovoljaca i veterana domovinskog rata RH 300,00 EUR</w:t>
      </w:r>
    </w:p>
    <w:p w14:paraId="14AFC81E" w14:textId="77777777" w:rsidR="00416D67" w:rsidRPr="00416D67" w:rsidRDefault="00416D67">
      <w:pPr>
        <w:numPr>
          <w:ilvl w:val="0"/>
          <w:numId w:val="16"/>
        </w:numPr>
        <w:tabs>
          <w:tab w:val="left" w:pos="709"/>
        </w:tabs>
        <w:jc w:val="both"/>
        <w:rPr>
          <w:b/>
        </w:rPr>
      </w:pPr>
      <w:r w:rsidRPr="00416D67">
        <w:t>Udruga sindikat umirovljenika Hrvatske 1.000,00 EUR</w:t>
      </w:r>
    </w:p>
    <w:p w14:paraId="369CF294" w14:textId="77777777" w:rsidR="00416D67" w:rsidRPr="00416D67" w:rsidRDefault="00416D67">
      <w:pPr>
        <w:numPr>
          <w:ilvl w:val="0"/>
          <w:numId w:val="16"/>
        </w:numPr>
        <w:tabs>
          <w:tab w:val="left" w:pos="709"/>
        </w:tabs>
        <w:jc w:val="both"/>
        <w:rPr>
          <w:b/>
        </w:rPr>
      </w:pPr>
      <w:r w:rsidRPr="00416D67">
        <w:t>UHDDR ogranak Općine Marčana 1.600,00 EUR i</w:t>
      </w:r>
    </w:p>
    <w:p w14:paraId="3E12DCC6" w14:textId="77777777" w:rsidR="00416D67" w:rsidRPr="00416D67" w:rsidRDefault="00416D67">
      <w:pPr>
        <w:numPr>
          <w:ilvl w:val="0"/>
          <w:numId w:val="16"/>
        </w:numPr>
        <w:tabs>
          <w:tab w:val="left" w:pos="709"/>
        </w:tabs>
        <w:jc w:val="both"/>
        <w:rPr>
          <w:b/>
        </w:rPr>
      </w:pPr>
      <w:r w:rsidRPr="00416D67">
        <w:t>Udruga umirovljenika Općine Marčana 2.650,00 EUR.</w:t>
      </w:r>
    </w:p>
    <w:p w14:paraId="74AC7CEE" w14:textId="77777777" w:rsidR="00416D67" w:rsidRPr="00416D67" w:rsidRDefault="00416D67" w:rsidP="00416D67">
      <w:pPr>
        <w:tabs>
          <w:tab w:val="left" w:pos="709"/>
        </w:tabs>
        <w:jc w:val="both"/>
      </w:pPr>
      <w:r w:rsidRPr="00416D67">
        <w:t xml:space="preserve">              Hitne i nepredviđene potrebe realizirane su u iznosu od  500,00 EUR,  a utrošena su za potporu za financiranje obnove i uređenje prostora za djelovanje udruge Centar Vita Nova 400,00 EUR i potpora organizaciji humanitarne utrke NE-ĆU BEN-HODI ZAJNO Klub Gea u iznosu od 100,00 EUR</w:t>
      </w:r>
    </w:p>
    <w:p w14:paraId="1841B0F9" w14:textId="77777777" w:rsidR="00416D67" w:rsidRPr="00416D67" w:rsidRDefault="00416D67" w:rsidP="00416D67">
      <w:pPr>
        <w:tabs>
          <w:tab w:val="left" w:pos="709"/>
        </w:tabs>
        <w:jc w:val="both"/>
        <w:rPr>
          <w:b/>
        </w:rPr>
      </w:pPr>
    </w:p>
    <w:p w14:paraId="2B2EF356" w14:textId="77777777" w:rsidR="00416D67" w:rsidRPr="00416D67" w:rsidRDefault="00416D67" w:rsidP="00416D67">
      <w:pPr>
        <w:ind w:firstLine="708"/>
        <w:jc w:val="both"/>
        <w:rPr>
          <w:b/>
        </w:rPr>
      </w:pPr>
      <w:r w:rsidRPr="00416D67">
        <w:rPr>
          <w:b/>
        </w:rPr>
        <w:t>Program javnih potreba u socijalnoj skrbi</w:t>
      </w:r>
    </w:p>
    <w:p w14:paraId="4339EA88" w14:textId="77777777" w:rsidR="00416D67" w:rsidRPr="00416D67" w:rsidRDefault="00416D67" w:rsidP="00416D67">
      <w:pPr>
        <w:ind w:firstLine="708"/>
        <w:jc w:val="both"/>
      </w:pPr>
      <w:r w:rsidRPr="00416D67">
        <w:t xml:space="preserve">Program javnih potreba u socijalnoj skrbi  ostvaren je u iznosu od 297.285,01 EUR  (ostvarenje 2024.godina 278.033,86  kn), odnosno 87,61% u odnosu na plan. Ostvarenje programa odnosi se na smještaj djece u predškolskim ustanovama,  sufinanciranje školskog obroka, podmirenje troškova stanovanja, jednokratne naknade povodom rođenja djeteta, participacija pogrebnih troškova, podmirenje troškova javnog prijevoza, jednokratne novčane pomoći, ostali oblici pomoći obiteljima i samcima, materijalna zaštita sudionika Domovinskog rata i stipendiranje studenata. Realizacija </w:t>
      </w:r>
      <w:proofErr w:type="spellStart"/>
      <w:r w:rsidRPr="00416D67">
        <w:t>pojednih</w:t>
      </w:r>
      <w:proofErr w:type="spellEnd"/>
      <w:r w:rsidRPr="00416D67">
        <w:t xml:space="preserve"> aktivnosti u skladu su sa planom, osim </w:t>
      </w:r>
      <w:r w:rsidRPr="00416D67">
        <w:lastRenderedPageBreak/>
        <w:t xml:space="preserve">aktivnosti </w:t>
      </w:r>
      <w:proofErr w:type="spellStart"/>
      <w:r w:rsidRPr="00416D67">
        <w:t>Podrmirenja</w:t>
      </w:r>
      <w:proofErr w:type="spellEnd"/>
      <w:r w:rsidRPr="00416D67">
        <w:t xml:space="preserve"> troškova stanovanja koja je realizirana 9,22% više iz razloga što smo utrošili 1.600 EUR pomoći državnog proračuna za podmirenje troškova za </w:t>
      </w:r>
      <w:proofErr w:type="spellStart"/>
      <w:r w:rsidRPr="00416D67">
        <w:t>ogrijev</w:t>
      </w:r>
      <w:proofErr w:type="spellEnd"/>
      <w:r w:rsidRPr="00416D67">
        <w:t xml:space="preserve"> korisnicima zajamčene minimalne pomoći.</w:t>
      </w:r>
    </w:p>
    <w:p w14:paraId="1FE73767" w14:textId="77777777" w:rsidR="00416D67" w:rsidRPr="00416D67" w:rsidRDefault="00416D67" w:rsidP="00416D67">
      <w:pPr>
        <w:ind w:firstLine="708"/>
        <w:jc w:val="both"/>
      </w:pPr>
      <w:r w:rsidRPr="00416D67">
        <w:t xml:space="preserve"> </w:t>
      </w:r>
    </w:p>
    <w:p w14:paraId="044535A6" w14:textId="77777777" w:rsidR="00416D67" w:rsidRPr="00416D67" w:rsidRDefault="00416D67" w:rsidP="00416D67">
      <w:pPr>
        <w:ind w:firstLine="708"/>
        <w:jc w:val="both"/>
      </w:pPr>
      <w:r w:rsidRPr="00416D67">
        <w:t xml:space="preserve"> Pregled ostvarenja 2025/2024. po aktivnostima:</w:t>
      </w:r>
    </w:p>
    <w:p w14:paraId="6E27E2DD" w14:textId="77777777" w:rsidR="00416D67" w:rsidRPr="00416D67" w:rsidRDefault="00416D67" w:rsidP="00416D67">
      <w:pPr>
        <w:spacing w:before="29"/>
        <w:jc w:val="both"/>
      </w:pPr>
    </w:p>
    <w:tbl>
      <w:tblPr>
        <w:tblW w:w="9513" w:type="dxa"/>
        <w:tblInd w:w="93" w:type="dxa"/>
        <w:tblLook w:val="04A0" w:firstRow="1" w:lastRow="0" w:firstColumn="1" w:lastColumn="0" w:noHBand="0" w:noVBand="1"/>
      </w:tblPr>
      <w:tblGrid>
        <w:gridCol w:w="886"/>
        <w:gridCol w:w="3847"/>
        <w:gridCol w:w="1026"/>
        <w:gridCol w:w="1026"/>
        <w:gridCol w:w="1026"/>
        <w:gridCol w:w="891"/>
        <w:gridCol w:w="1123"/>
      </w:tblGrid>
      <w:tr w:rsidR="00416D67" w:rsidRPr="00416D67" w14:paraId="4A2DDD2B" w14:textId="77777777" w:rsidTr="00BB1392">
        <w:trPr>
          <w:trHeight w:val="480"/>
        </w:trPr>
        <w:tc>
          <w:tcPr>
            <w:tcW w:w="4671" w:type="dxa"/>
            <w:gridSpan w:val="2"/>
            <w:tcBorders>
              <w:top w:val="single" w:sz="4" w:space="0" w:color="auto"/>
              <w:left w:val="single" w:sz="4" w:space="0" w:color="auto"/>
              <w:bottom w:val="single" w:sz="4" w:space="0" w:color="auto"/>
              <w:right w:val="single" w:sz="4" w:space="0" w:color="auto"/>
            </w:tcBorders>
            <w:noWrap/>
            <w:vAlign w:val="center"/>
            <w:hideMark/>
          </w:tcPr>
          <w:p w14:paraId="0B373605" w14:textId="77777777" w:rsidR="00416D67" w:rsidRPr="00416D67" w:rsidRDefault="00416D67" w:rsidP="00416D67">
            <w:pPr>
              <w:jc w:val="center"/>
              <w:rPr>
                <w:color w:val="000000"/>
                <w:sz w:val="18"/>
                <w:szCs w:val="18"/>
              </w:rPr>
            </w:pPr>
            <w:r w:rsidRPr="00416D67">
              <w:rPr>
                <w:color w:val="000000"/>
                <w:sz w:val="18"/>
                <w:szCs w:val="18"/>
              </w:rPr>
              <w:t>Brojčana oznaka / naziv aktivnosti</w:t>
            </w:r>
          </w:p>
        </w:tc>
        <w:tc>
          <w:tcPr>
            <w:tcW w:w="953" w:type="dxa"/>
            <w:tcBorders>
              <w:top w:val="single" w:sz="4" w:space="0" w:color="auto"/>
              <w:left w:val="nil"/>
              <w:bottom w:val="single" w:sz="4" w:space="0" w:color="auto"/>
              <w:right w:val="single" w:sz="4" w:space="0" w:color="auto"/>
            </w:tcBorders>
            <w:vAlign w:val="center"/>
            <w:hideMark/>
          </w:tcPr>
          <w:p w14:paraId="6020097F" w14:textId="77777777" w:rsidR="00416D67" w:rsidRPr="00416D67" w:rsidRDefault="00416D67" w:rsidP="00416D67">
            <w:pPr>
              <w:jc w:val="center"/>
              <w:rPr>
                <w:color w:val="000000"/>
                <w:sz w:val="18"/>
                <w:szCs w:val="18"/>
              </w:rPr>
            </w:pPr>
            <w:r w:rsidRPr="00416D67">
              <w:rPr>
                <w:color w:val="000000"/>
                <w:sz w:val="18"/>
                <w:szCs w:val="18"/>
              </w:rPr>
              <w:t>Ostvarenje 2024.</w:t>
            </w:r>
          </w:p>
        </w:tc>
        <w:tc>
          <w:tcPr>
            <w:tcW w:w="983" w:type="dxa"/>
            <w:tcBorders>
              <w:top w:val="single" w:sz="4" w:space="0" w:color="auto"/>
              <w:left w:val="nil"/>
              <w:bottom w:val="single" w:sz="4" w:space="0" w:color="auto"/>
              <w:right w:val="single" w:sz="4" w:space="0" w:color="auto"/>
            </w:tcBorders>
            <w:noWrap/>
            <w:vAlign w:val="center"/>
            <w:hideMark/>
          </w:tcPr>
          <w:p w14:paraId="4819495E" w14:textId="77777777" w:rsidR="00416D67" w:rsidRPr="00416D67" w:rsidRDefault="00416D67" w:rsidP="00416D67">
            <w:pPr>
              <w:jc w:val="center"/>
              <w:rPr>
                <w:color w:val="000000"/>
                <w:sz w:val="18"/>
                <w:szCs w:val="18"/>
              </w:rPr>
            </w:pPr>
            <w:r w:rsidRPr="00416D67">
              <w:rPr>
                <w:color w:val="000000"/>
                <w:sz w:val="18"/>
                <w:szCs w:val="18"/>
              </w:rPr>
              <w:t>Plan 2025.</w:t>
            </w:r>
          </w:p>
        </w:tc>
        <w:tc>
          <w:tcPr>
            <w:tcW w:w="953" w:type="dxa"/>
            <w:tcBorders>
              <w:top w:val="single" w:sz="4" w:space="0" w:color="auto"/>
              <w:left w:val="nil"/>
              <w:bottom w:val="single" w:sz="4" w:space="0" w:color="auto"/>
              <w:right w:val="single" w:sz="4" w:space="0" w:color="auto"/>
            </w:tcBorders>
            <w:vAlign w:val="center"/>
            <w:hideMark/>
          </w:tcPr>
          <w:p w14:paraId="0D207B23" w14:textId="77777777" w:rsidR="00416D67" w:rsidRPr="00416D67" w:rsidRDefault="00416D67" w:rsidP="00416D67">
            <w:pPr>
              <w:jc w:val="center"/>
              <w:rPr>
                <w:color w:val="000000"/>
                <w:sz w:val="18"/>
                <w:szCs w:val="18"/>
              </w:rPr>
            </w:pPr>
            <w:r w:rsidRPr="00416D67">
              <w:rPr>
                <w:color w:val="000000"/>
                <w:sz w:val="18"/>
                <w:szCs w:val="18"/>
              </w:rPr>
              <w:t>Ostvarenje 2025.</w:t>
            </w:r>
          </w:p>
        </w:tc>
        <w:tc>
          <w:tcPr>
            <w:tcW w:w="830" w:type="dxa"/>
            <w:tcBorders>
              <w:top w:val="single" w:sz="4" w:space="0" w:color="auto"/>
              <w:left w:val="nil"/>
              <w:bottom w:val="single" w:sz="4" w:space="0" w:color="auto"/>
              <w:right w:val="single" w:sz="4" w:space="0" w:color="auto"/>
            </w:tcBorders>
            <w:vAlign w:val="center"/>
            <w:hideMark/>
          </w:tcPr>
          <w:p w14:paraId="322094FA" w14:textId="77777777" w:rsidR="00416D67" w:rsidRPr="00416D67" w:rsidRDefault="00416D67" w:rsidP="00416D67">
            <w:pPr>
              <w:jc w:val="center"/>
              <w:rPr>
                <w:color w:val="000000"/>
                <w:sz w:val="18"/>
                <w:szCs w:val="18"/>
              </w:rPr>
            </w:pPr>
            <w:r w:rsidRPr="00416D67">
              <w:rPr>
                <w:color w:val="000000"/>
                <w:sz w:val="18"/>
                <w:szCs w:val="18"/>
              </w:rPr>
              <w:t>Indeks 25/24</w:t>
            </w:r>
          </w:p>
        </w:tc>
        <w:tc>
          <w:tcPr>
            <w:tcW w:w="1123" w:type="dxa"/>
            <w:tcBorders>
              <w:top w:val="single" w:sz="4" w:space="0" w:color="auto"/>
              <w:left w:val="nil"/>
              <w:bottom w:val="single" w:sz="4" w:space="0" w:color="auto"/>
              <w:right w:val="single" w:sz="4" w:space="0" w:color="auto"/>
            </w:tcBorders>
            <w:vAlign w:val="center"/>
            <w:hideMark/>
          </w:tcPr>
          <w:p w14:paraId="27001B8E" w14:textId="77777777" w:rsidR="00416D67" w:rsidRPr="00416D67" w:rsidRDefault="00416D67" w:rsidP="00416D67">
            <w:pPr>
              <w:jc w:val="center"/>
              <w:rPr>
                <w:color w:val="000000"/>
                <w:sz w:val="18"/>
                <w:szCs w:val="18"/>
              </w:rPr>
            </w:pPr>
            <w:r w:rsidRPr="00416D67">
              <w:rPr>
                <w:color w:val="000000"/>
                <w:sz w:val="18"/>
                <w:szCs w:val="18"/>
              </w:rPr>
              <w:t xml:space="preserve">Indeks </w:t>
            </w:r>
            <w:proofErr w:type="spellStart"/>
            <w:r w:rsidRPr="00416D67">
              <w:rPr>
                <w:color w:val="000000"/>
                <w:sz w:val="18"/>
                <w:szCs w:val="18"/>
              </w:rPr>
              <w:t>ostv</w:t>
            </w:r>
            <w:proofErr w:type="spellEnd"/>
            <w:r w:rsidRPr="00416D67">
              <w:rPr>
                <w:color w:val="000000"/>
                <w:sz w:val="18"/>
                <w:szCs w:val="18"/>
              </w:rPr>
              <w:t>/ plan</w:t>
            </w:r>
          </w:p>
        </w:tc>
      </w:tr>
      <w:tr w:rsidR="00416D67" w:rsidRPr="00416D67" w14:paraId="6DA9FE7E" w14:textId="77777777" w:rsidTr="00BB1392">
        <w:trPr>
          <w:trHeight w:val="300"/>
        </w:trPr>
        <w:tc>
          <w:tcPr>
            <w:tcW w:w="4671" w:type="dxa"/>
            <w:gridSpan w:val="2"/>
            <w:tcBorders>
              <w:top w:val="single" w:sz="4" w:space="0" w:color="auto"/>
              <w:left w:val="single" w:sz="4" w:space="0" w:color="auto"/>
              <w:bottom w:val="single" w:sz="4" w:space="0" w:color="auto"/>
              <w:right w:val="single" w:sz="4" w:space="0" w:color="auto"/>
            </w:tcBorders>
            <w:noWrap/>
            <w:vAlign w:val="center"/>
            <w:hideMark/>
          </w:tcPr>
          <w:p w14:paraId="5C8A9881" w14:textId="77777777" w:rsidR="00416D67" w:rsidRPr="00416D67" w:rsidRDefault="00416D67" w:rsidP="00416D67">
            <w:pPr>
              <w:rPr>
                <w:b/>
                <w:bCs/>
                <w:color w:val="000000"/>
                <w:sz w:val="18"/>
                <w:szCs w:val="18"/>
              </w:rPr>
            </w:pPr>
            <w:r w:rsidRPr="00416D67">
              <w:rPr>
                <w:b/>
                <w:bCs/>
                <w:color w:val="000000"/>
                <w:sz w:val="18"/>
                <w:szCs w:val="18"/>
              </w:rPr>
              <w:t xml:space="preserve"> UKUPNO</w:t>
            </w:r>
          </w:p>
        </w:tc>
        <w:tc>
          <w:tcPr>
            <w:tcW w:w="953" w:type="dxa"/>
            <w:tcBorders>
              <w:top w:val="nil"/>
              <w:left w:val="nil"/>
              <w:bottom w:val="single" w:sz="4" w:space="0" w:color="auto"/>
              <w:right w:val="single" w:sz="4" w:space="0" w:color="auto"/>
            </w:tcBorders>
            <w:noWrap/>
            <w:vAlign w:val="center"/>
            <w:hideMark/>
          </w:tcPr>
          <w:p w14:paraId="4C097D8E" w14:textId="77777777" w:rsidR="00416D67" w:rsidRPr="00416D67" w:rsidRDefault="00416D67" w:rsidP="00416D67">
            <w:pPr>
              <w:jc w:val="right"/>
              <w:rPr>
                <w:b/>
                <w:bCs/>
                <w:color w:val="000000"/>
                <w:sz w:val="18"/>
                <w:szCs w:val="18"/>
              </w:rPr>
            </w:pPr>
            <w:r w:rsidRPr="00416D67">
              <w:rPr>
                <w:b/>
                <w:bCs/>
                <w:color w:val="000000"/>
                <w:sz w:val="18"/>
                <w:szCs w:val="18"/>
              </w:rPr>
              <w:t>278.033,86</w:t>
            </w:r>
          </w:p>
        </w:tc>
        <w:tc>
          <w:tcPr>
            <w:tcW w:w="983" w:type="dxa"/>
            <w:tcBorders>
              <w:top w:val="nil"/>
              <w:left w:val="nil"/>
              <w:bottom w:val="single" w:sz="4" w:space="0" w:color="auto"/>
              <w:right w:val="single" w:sz="4" w:space="0" w:color="auto"/>
            </w:tcBorders>
            <w:noWrap/>
            <w:vAlign w:val="center"/>
            <w:hideMark/>
          </w:tcPr>
          <w:p w14:paraId="2322919F" w14:textId="77777777" w:rsidR="00416D67" w:rsidRPr="00416D67" w:rsidRDefault="00416D67" w:rsidP="00416D67">
            <w:pPr>
              <w:jc w:val="right"/>
              <w:rPr>
                <w:b/>
                <w:bCs/>
                <w:color w:val="000000"/>
                <w:sz w:val="18"/>
                <w:szCs w:val="18"/>
              </w:rPr>
            </w:pPr>
            <w:r w:rsidRPr="00416D67">
              <w:rPr>
                <w:b/>
                <w:bCs/>
                <w:color w:val="000000"/>
                <w:sz w:val="18"/>
                <w:szCs w:val="18"/>
              </w:rPr>
              <w:t>339.343,00</w:t>
            </w:r>
          </w:p>
        </w:tc>
        <w:tc>
          <w:tcPr>
            <w:tcW w:w="953" w:type="dxa"/>
            <w:tcBorders>
              <w:top w:val="nil"/>
              <w:left w:val="nil"/>
              <w:bottom w:val="single" w:sz="4" w:space="0" w:color="auto"/>
              <w:right w:val="single" w:sz="4" w:space="0" w:color="auto"/>
            </w:tcBorders>
            <w:noWrap/>
            <w:vAlign w:val="center"/>
            <w:hideMark/>
          </w:tcPr>
          <w:p w14:paraId="00393CDC" w14:textId="77777777" w:rsidR="00416D67" w:rsidRPr="00416D67" w:rsidRDefault="00416D67" w:rsidP="00416D67">
            <w:pPr>
              <w:jc w:val="right"/>
              <w:rPr>
                <w:b/>
                <w:bCs/>
                <w:color w:val="000000"/>
                <w:sz w:val="18"/>
                <w:szCs w:val="18"/>
              </w:rPr>
            </w:pPr>
            <w:r w:rsidRPr="00416D67">
              <w:rPr>
                <w:b/>
                <w:bCs/>
                <w:color w:val="000000"/>
                <w:sz w:val="18"/>
                <w:szCs w:val="18"/>
              </w:rPr>
              <w:t>297.285,01</w:t>
            </w:r>
          </w:p>
        </w:tc>
        <w:tc>
          <w:tcPr>
            <w:tcW w:w="830" w:type="dxa"/>
            <w:tcBorders>
              <w:top w:val="nil"/>
              <w:left w:val="nil"/>
              <w:bottom w:val="single" w:sz="4" w:space="0" w:color="auto"/>
              <w:right w:val="single" w:sz="4" w:space="0" w:color="auto"/>
            </w:tcBorders>
            <w:noWrap/>
            <w:vAlign w:val="center"/>
            <w:hideMark/>
          </w:tcPr>
          <w:p w14:paraId="2EE06AF6" w14:textId="77777777" w:rsidR="00416D67" w:rsidRPr="00416D67" w:rsidRDefault="00416D67" w:rsidP="00416D67">
            <w:pPr>
              <w:jc w:val="right"/>
              <w:rPr>
                <w:b/>
                <w:bCs/>
                <w:color w:val="000000"/>
                <w:sz w:val="18"/>
                <w:szCs w:val="18"/>
              </w:rPr>
            </w:pPr>
            <w:r w:rsidRPr="00416D67">
              <w:rPr>
                <w:b/>
                <w:bCs/>
                <w:color w:val="000000"/>
                <w:sz w:val="18"/>
                <w:szCs w:val="18"/>
              </w:rPr>
              <w:t>106,92%</w:t>
            </w:r>
          </w:p>
        </w:tc>
        <w:tc>
          <w:tcPr>
            <w:tcW w:w="1123" w:type="dxa"/>
            <w:tcBorders>
              <w:top w:val="nil"/>
              <w:left w:val="nil"/>
              <w:bottom w:val="single" w:sz="4" w:space="0" w:color="auto"/>
              <w:right w:val="single" w:sz="4" w:space="0" w:color="auto"/>
            </w:tcBorders>
            <w:noWrap/>
            <w:vAlign w:val="center"/>
            <w:hideMark/>
          </w:tcPr>
          <w:p w14:paraId="72742B31" w14:textId="77777777" w:rsidR="00416D67" w:rsidRPr="00416D67" w:rsidRDefault="00416D67" w:rsidP="00416D67">
            <w:pPr>
              <w:jc w:val="right"/>
              <w:rPr>
                <w:b/>
                <w:bCs/>
                <w:color w:val="000000"/>
                <w:sz w:val="18"/>
                <w:szCs w:val="18"/>
              </w:rPr>
            </w:pPr>
            <w:r w:rsidRPr="00416D67">
              <w:rPr>
                <w:b/>
                <w:bCs/>
                <w:color w:val="000000"/>
                <w:sz w:val="18"/>
                <w:szCs w:val="18"/>
              </w:rPr>
              <w:t>87,61%</w:t>
            </w:r>
          </w:p>
        </w:tc>
      </w:tr>
      <w:tr w:rsidR="00416D67" w:rsidRPr="00416D67" w14:paraId="171F2511" w14:textId="77777777" w:rsidTr="00BB1392">
        <w:trPr>
          <w:trHeight w:val="480"/>
        </w:trPr>
        <w:tc>
          <w:tcPr>
            <w:tcW w:w="824" w:type="dxa"/>
            <w:tcBorders>
              <w:top w:val="nil"/>
              <w:left w:val="single" w:sz="4" w:space="0" w:color="auto"/>
              <w:bottom w:val="single" w:sz="4" w:space="0" w:color="auto"/>
              <w:right w:val="single" w:sz="4" w:space="0" w:color="auto"/>
            </w:tcBorders>
            <w:noWrap/>
            <w:vAlign w:val="center"/>
            <w:hideMark/>
          </w:tcPr>
          <w:p w14:paraId="2D95262E" w14:textId="77777777" w:rsidR="00416D67" w:rsidRPr="00416D67" w:rsidRDefault="00416D67" w:rsidP="00416D67">
            <w:pPr>
              <w:rPr>
                <w:color w:val="000000"/>
                <w:sz w:val="18"/>
                <w:szCs w:val="18"/>
              </w:rPr>
            </w:pPr>
            <w:r w:rsidRPr="00416D67">
              <w:rPr>
                <w:color w:val="000000"/>
                <w:sz w:val="18"/>
                <w:szCs w:val="18"/>
              </w:rPr>
              <w:t>A100001</w:t>
            </w:r>
          </w:p>
        </w:tc>
        <w:tc>
          <w:tcPr>
            <w:tcW w:w="3847" w:type="dxa"/>
            <w:tcBorders>
              <w:top w:val="nil"/>
              <w:left w:val="nil"/>
              <w:bottom w:val="single" w:sz="4" w:space="0" w:color="auto"/>
              <w:right w:val="single" w:sz="4" w:space="0" w:color="auto"/>
            </w:tcBorders>
            <w:vAlign w:val="center"/>
            <w:hideMark/>
          </w:tcPr>
          <w:p w14:paraId="4DE676AC" w14:textId="77777777" w:rsidR="00416D67" w:rsidRPr="00416D67" w:rsidRDefault="00416D67" w:rsidP="00416D67">
            <w:pPr>
              <w:rPr>
                <w:color w:val="000000"/>
                <w:sz w:val="18"/>
                <w:szCs w:val="18"/>
              </w:rPr>
            </w:pPr>
            <w:r w:rsidRPr="00416D67">
              <w:rPr>
                <w:color w:val="000000"/>
                <w:sz w:val="18"/>
                <w:szCs w:val="18"/>
              </w:rPr>
              <w:t>Podmirenje troškova smještaja djece u predškolskim ustanovama</w:t>
            </w:r>
          </w:p>
        </w:tc>
        <w:tc>
          <w:tcPr>
            <w:tcW w:w="953" w:type="dxa"/>
            <w:tcBorders>
              <w:top w:val="nil"/>
              <w:left w:val="nil"/>
              <w:bottom w:val="single" w:sz="4" w:space="0" w:color="auto"/>
              <w:right w:val="single" w:sz="4" w:space="0" w:color="auto"/>
            </w:tcBorders>
            <w:noWrap/>
            <w:vAlign w:val="center"/>
            <w:hideMark/>
          </w:tcPr>
          <w:p w14:paraId="1D6374A9" w14:textId="77777777" w:rsidR="00416D67" w:rsidRPr="00416D67" w:rsidRDefault="00416D67" w:rsidP="00416D67">
            <w:pPr>
              <w:jc w:val="right"/>
              <w:rPr>
                <w:color w:val="000000"/>
                <w:sz w:val="18"/>
                <w:szCs w:val="18"/>
              </w:rPr>
            </w:pPr>
            <w:r w:rsidRPr="00416D67">
              <w:rPr>
                <w:color w:val="000000"/>
                <w:sz w:val="18"/>
                <w:szCs w:val="18"/>
              </w:rPr>
              <w:t>16.683,49</w:t>
            </w:r>
          </w:p>
        </w:tc>
        <w:tc>
          <w:tcPr>
            <w:tcW w:w="983" w:type="dxa"/>
            <w:tcBorders>
              <w:top w:val="nil"/>
              <w:left w:val="nil"/>
              <w:bottom w:val="single" w:sz="4" w:space="0" w:color="auto"/>
              <w:right w:val="single" w:sz="4" w:space="0" w:color="auto"/>
            </w:tcBorders>
            <w:noWrap/>
            <w:vAlign w:val="center"/>
            <w:hideMark/>
          </w:tcPr>
          <w:p w14:paraId="0B7F3883" w14:textId="77777777" w:rsidR="00416D67" w:rsidRPr="00416D67" w:rsidRDefault="00416D67" w:rsidP="00416D67">
            <w:pPr>
              <w:jc w:val="right"/>
              <w:rPr>
                <w:color w:val="000000"/>
                <w:sz w:val="18"/>
                <w:szCs w:val="18"/>
              </w:rPr>
            </w:pPr>
            <w:r w:rsidRPr="00416D67">
              <w:rPr>
                <w:color w:val="000000"/>
                <w:sz w:val="18"/>
                <w:szCs w:val="18"/>
              </w:rPr>
              <w:t>20.100,00</w:t>
            </w:r>
          </w:p>
        </w:tc>
        <w:tc>
          <w:tcPr>
            <w:tcW w:w="953" w:type="dxa"/>
            <w:tcBorders>
              <w:top w:val="nil"/>
              <w:left w:val="nil"/>
              <w:bottom w:val="single" w:sz="4" w:space="0" w:color="auto"/>
              <w:right w:val="single" w:sz="4" w:space="0" w:color="auto"/>
            </w:tcBorders>
            <w:noWrap/>
            <w:vAlign w:val="center"/>
            <w:hideMark/>
          </w:tcPr>
          <w:p w14:paraId="2AA7A726" w14:textId="77777777" w:rsidR="00416D67" w:rsidRPr="00416D67" w:rsidRDefault="00416D67" w:rsidP="00416D67">
            <w:pPr>
              <w:jc w:val="right"/>
              <w:rPr>
                <w:color w:val="000000"/>
                <w:sz w:val="18"/>
                <w:szCs w:val="18"/>
              </w:rPr>
            </w:pPr>
            <w:r w:rsidRPr="00416D67">
              <w:rPr>
                <w:color w:val="000000"/>
                <w:sz w:val="18"/>
                <w:szCs w:val="18"/>
              </w:rPr>
              <w:t>20.051,86</w:t>
            </w:r>
          </w:p>
        </w:tc>
        <w:tc>
          <w:tcPr>
            <w:tcW w:w="830" w:type="dxa"/>
            <w:tcBorders>
              <w:top w:val="nil"/>
              <w:left w:val="nil"/>
              <w:bottom w:val="single" w:sz="4" w:space="0" w:color="auto"/>
              <w:right w:val="single" w:sz="4" w:space="0" w:color="auto"/>
            </w:tcBorders>
            <w:noWrap/>
            <w:vAlign w:val="center"/>
            <w:hideMark/>
          </w:tcPr>
          <w:p w14:paraId="7CC42110" w14:textId="77777777" w:rsidR="00416D67" w:rsidRPr="00416D67" w:rsidRDefault="00416D67" w:rsidP="00416D67">
            <w:pPr>
              <w:jc w:val="right"/>
              <w:rPr>
                <w:color w:val="000000"/>
                <w:sz w:val="18"/>
                <w:szCs w:val="18"/>
              </w:rPr>
            </w:pPr>
            <w:r w:rsidRPr="00416D67">
              <w:rPr>
                <w:color w:val="000000"/>
                <w:sz w:val="18"/>
                <w:szCs w:val="18"/>
              </w:rPr>
              <w:t>120,19%</w:t>
            </w:r>
          </w:p>
        </w:tc>
        <w:tc>
          <w:tcPr>
            <w:tcW w:w="1123" w:type="dxa"/>
            <w:tcBorders>
              <w:top w:val="nil"/>
              <w:left w:val="nil"/>
              <w:bottom w:val="single" w:sz="4" w:space="0" w:color="auto"/>
              <w:right w:val="single" w:sz="4" w:space="0" w:color="auto"/>
            </w:tcBorders>
            <w:noWrap/>
            <w:vAlign w:val="center"/>
            <w:hideMark/>
          </w:tcPr>
          <w:p w14:paraId="0B354EDD" w14:textId="77777777" w:rsidR="00416D67" w:rsidRPr="00416D67" w:rsidRDefault="00416D67" w:rsidP="00416D67">
            <w:pPr>
              <w:jc w:val="right"/>
              <w:rPr>
                <w:color w:val="000000"/>
                <w:sz w:val="18"/>
                <w:szCs w:val="18"/>
              </w:rPr>
            </w:pPr>
            <w:r w:rsidRPr="00416D67">
              <w:rPr>
                <w:color w:val="000000"/>
                <w:sz w:val="18"/>
                <w:szCs w:val="18"/>
              </w:rPr>
              <w:t>99,76%</w:t>
            </w:r>
          </w:p>
        </w:tc>
      </w:tr>
      <w:tr w:rsidR="00416D67" w:rsidRPr="00416D67" w14:paraId="44EA08E1" w14:textId="77777777" w:rsidTr="00BB1392">
        <w:trPr>
          <w:trHeight w:val="251"/>
        </w:trPr>
        <w:tc>
          <w:tcPr>
            <w:tcW w:w="824" w:type="dxa"/>
            <w:tcBorders>
              <w:top w:val="nil"/>
              <w:left w:val="single" w:sz="4" w:space="0" w:color="auto"/>
              <w:bottom w:val="single" w:sz="4" w:space="0" w:color="auto"/>
              <w:right w:val="single" w:sz="4" w:space="0" w:color="auto"/>
            </w:tcBorders>
            <w:noWrap/>
            <w:vAlign w:val="center"/>
            <w:hideMark/>
          </w:tcPr>
          <w:p w14:paraId="20DDBA2B" w14:textId="77777777" w:rsidR="00416D67" w:rsidRPr="00416D67" w:rsidRDefault="00416D67" w:rsidP="00416D67">
            <w:pPr>
              <w:rPr>
                <w:color w:val="000000"/>
                <w:sz w:val="18"/>
                <w:szCs w:val="18"/>
              </w:rPr>
            </w:pPr>
            <w:r w:rsidRPr="00416D67">
              <w:rPr>
                <w:color w:val="000000"/>
                <w:sz w:val="18"/>
                <w:szCs w:val="18"/>
              </w:rPr>
              <w:t>A100002</w:t>
            </w:r>
          </w:p>
        </w:tc>
        <w:tc>
          <w:tcPr>
            <w:tcW w:w="3847" w:type="dxa"/>
            <w:tcBorders>
              <w:top w:val="nil"/>
              <w:left w:val="nil"/>
              <w:bottom w:val="single" w:sz="4" w:space="0" w:color="auto"/>
              <w:right w:val="single" w:sz="4" w:space="0" w:color="auto"/>
            </w:tcBorders>
            <w:vAlign w:val="center"/>
            <w:hideMark/>
          </w:tcPr>
          <w:p w14:paraId="753BD7EA" w14:textId="77777777" w:rsidR="00416D67" w:rsidRPr="00416D67" w:rsidRDefault="00416D67" w:rsidP="00416D67">
            <w:pPr>
              <w:rPr>
                <w:color w:val="000000"/>
                <w:sz w:val="18"/>
                <w:szCs w:val="18"/>
              </w:rPr>
            </w:pPr>
            <w:r w:rsidRPr="00416D67">
              <w:rPr>
                <w:color w:val="000000"/>
                <w:sz w:val="18"/>
                <w:szCs w:val="18"/>
              </w:rPr>
              <w:t>Podmirenje troškova školskog obroka i obroka u produženom boravku</w:t>
            </w:r>
          </w:p>
        </w:tc>
        <w:tc>
          <w:tcPr>
            <w:tcW w:w="953" w:type="dxa"/>
            <w:tcBorders>
              <w:top w:val="nil"/>
              <w:left w:val="nil"/>
              <w:bottom w:val="single" w:sz="4" w:space="0" w:color="auto"/>
              <w:right w:val="single" w:sz="4" w:space="0" w:color="auto"/>
            </w:tcBorders>
            <w:noWrap/>
            <w:vAlign w:val="center"/>
            <w:hideMark/>
          </w:tcPr>
          <w:p w14:paraId="13D7131D" w14:textId="77777777" w:rsidR="00416D67" w:rsidRPr="00416D67" w:rsidRDefault="00416D67" w:rsidP="00416D67">
            <w:pPr>
              <w:jc w:val="right"/>
              <w:rPr>
                <w:color w:val="000000"/>
                <w:sz w:val="18"/>
                <w:szCs w:val="18"/>
              </w:rPr>
            </w:pPr>
            <w:r w:rsidRPr="00416D67">
              <w:rPr>
                <w:color w:val="000000"/>
                <w:sz w:val="18"/>
                <w:szCs w:val="18"/>
              </w:rPr>
              <w:t>3.916,22</w:t>
            </w:r>
          </w:p>
        </w:tc>
        <w:tc>
          <w:tcPr>
            <w:tcW w:w="983" w:type="dxa"/>
            <w:tcBorders>
              <w:top w:val="nil"/>
              <w:left w:val="nil"/>
              <w:bottom w:val="single" w:sz="4" w:space="0" w:color="auto"/>
              <w:right w:val="single" w:sz="4" w:space="0" w:color="auto"/>
            </w:tcBorders>
            <w:noWrap/>
            <w:vAlign w:val="center"/>
            <w:hideMark/>
          </w:tcPr>
          <w:p w14:paraId="3D04F09D" w14:textId="77777777" w:rsidR="00416D67" w:rsidRPr="00416D67" w:rsidRDefault="00416D67" w:rsidP="00416D67">
            <w:pPr>
              <w:jc w:val="right"/>
              <w:rPr>
                <w:color w:val="000000"/>
                <w:sz w:val="18"/>
                <w:szCs w:val="18"/>
              </w:rPr>
            </w:pPr>
            <w:r w:rsidRPr="00416D67">
              <w:rPr>
                <w:color w:val="000000"/>
                <w:sz w:val="18"/>
                <w:szCs w:val="18"/>
              </w:rPr>
              <w:t>4.037,00</w:t>
            </w:r>
          </w:p>
        </w:tc>
        <w:tc>
          <w:tcPr>
            <w:tcW w:w="953" w:type="dxa"/>
            <w:tcBorders>
              <w:top w:val="nil"/>
              <w:left w:val="nil"/>
              <w:bottom w:val="single" w:sz="4" w:space="0" w:color="auto"/>
              <w:right w:val="single" w:sz="4" w:space="0" w:color="auto"/>
            </w:tcBorders>
            <w:noWrap/>
            <w:vAlign w:val="center"/>
            <w:hideMark/>
          </w:tcPr>
          <w:p w14:paraId="018F8FE7" w14:textId="77777777" w:rsidR="00416D67" w:rsidRPr="00416D67" w:rsidRDefault="00416D67" w:rsidP="00416D67">
            <w:pPr>
              <w:jc w:val="right"/>
              <w:rPr>
                <w:color w:val="000000"/>
                <w:sz w:val="18"/>
                <w:szCs w:val="18"/>
              </w:rPr>
            </w:pPr>
            <w:r w:rsidRPr="00416D67">
              <w:rPr>
                <w:color w:val="000000"/>
                <w:sz w:val="18"/>
                <w:szCs w:val="18"/>
              </w:rPr>
              <w:t>2.683,85</w:t>
            </w:r>
          </w:p>
        </w:tc>
        <w:tc>
          <w:tcPr>
            <w:tcW w:w="830" w:type="dxa"/>
            <w:tcBorders>
              <w:top w:val="nil"/>
              <w:left w:val="nil"/>
              <w:bottom w:val="single" w:sz="4" w:space="0" w:color="auto"/>
              <w:right w:val="single" w:sz="4" w:space="0" w:color="auto"/>
            </w:tcBorders>
            <w:noWrap/>
            <w:vAlign w:val="center"/>
            <w:hideMark/>
          </w:tcPr>
          <w:p w14:paraId="7B9054BA" w14:textId="77777777" w:rsidR="00416D67" w:rsidRPr="00416D67" w:rsidRDefault="00416D67" w:rsidP="00416D67">
            <w:pPr>
              <w:jc w:val="right"/>
              <w:rPr>
                <w:color w:val="000000"/>
                <w:sz w:val="18"/>
                <w:szCs w:val="18"/>
              </w:rPr>
            </w:pPr>
            <w:r w:rsidRPr="00416D67">
              <w:rPr>
                <w:color w:val="000000"/>
                <w:sz w:val="18"/>
                <w:szCs w:val="18"/>
              </w:rPr>
              <w:t>68,53%</w:t>
            </w:r>
          </w:p>
        </w:tc>
        <w:tc>
          <w:tcPr>
            <w:tcW w:w="1123" w:type="dxa"/>
            <w:tcBorders>
              <w:top w:val="nil"/>
              <w:left w:val="nil"/>
              <w:bottom w:val="single" w:sz="4" w:space="0" w:color="auto"/>
              <w:right w:val="single" w:sz="4" w:space="0" w:color="auto"/>
            </w:tcBorders>
            <w:noWrap/>
            <w:vAlign w:val="center"/>
            <w:hideMark/>
          </w:tcPr>
          <w:p w14:paraId="6B0F4C2B" w14:textId="77777777" w:rsidR="00416D67" w:rsidRPr="00416D67" w:rsidRDefault="00416D67" w:rsidP="00416D67">
            <w:pPr>
              <w:jc w:val="right"/>
              <w:rPr>
                <w:color w:val="000000"/>
                <w:sz w:val="18"/>
                <w:szCs w:val="18"/>
              </w:rPr>
            </w:pPr>
            <w:r w:rsidRPr="00416D67">
              <w:rPr>
                <w:color w:val="000000"/>
                <w:sz w:val="18"/>
                <w:szCs w:val="18"/>
              </w:rPr>
              <w:t>66,48%</w:t>
            </w:r>
          </w:p>
        </w:tc>
      </w:tr>
      <w:tr w:rsidR="00416D67" w:rsidRPr="00416D67" w14:paraId="1F5EEC78" w14:textId="77777777" w:rsidTr="00BB1392">
        <w:trPr>
          <w:trHeight w:val="300"/>
        </w:trPr>
        <w:tc>
          <w:tcPr>
            <w:tcW w:w="824" w:type="dxa"/>
            <w:tcBorders>
              <w:top w:val="nil"/>
              <w:left w:val="single" w:sz="4" w:space="0" w:color="auto"/>
              <w:bottom w:val="single" w:sz="4" w:space="0" w:color="auto"/>
              <w:right w:val="single" w:sz="4" w:space="0" w:color="auto"/>
            </w:tcBorders>
            <w:noWrap/>
            <w:vAlign w:val="center"/>
            <w:hideMark/>
          </w:tcPr>
          <w:p w14:paraId="616371EF" w14:textId="77777777" w:rsidR="00416D67" w:rsidRPr="00416D67" w:rsidRDefault="00416D67" w:rsidP="00416D67">
            <w:pPr>
              <w:rPr>
                <w:color w:val="000000"/>
                <w:sz w:val="18"/>
                <w:szCs w:val="18"/>
              </w:rPr>
            </w:pPr>
            <w:r w:rsidRPr="00416D67">
              <w:rPr>
                <w:color w:val="000000"/>
                <w:sz w:val="18"/>
                <w:szCs w:val="18"/>
              </w:rPr>
              <w:t>A100003</w:t>
            </w:r>
          </w:p>
        </w:tc>
        <w:tc>
          <w:tcPr>
            <w:tcW w:w="3847" w:type="dxa"/>
            <w:tcBorders>
              <w:top w:val="nil"/>
              <w:left w:val="nil"/>
              <w:bottom w:val="single" w:sz="4" w:space="0" w:color="auto"/>
              <w:right w:val="single" w:sz="4" w:space="0" w:color="auto"/>
            </w:tcBorders>
            <w:vAlign w:val="center"/>
            <w:hideMark/>
          </w:tcPr>
          <w:p w14:paraId="3F16C1A1" w14:textId="77777777" w:rsidR="00416D67" w:rsidRPr="00416D67" w:rsidRDefault="00416D67" w:rsidP="00416D67">
            <w:pPr>
              <w:rPr>
                <w:color w:val="000000"/>
                <w:sz w:val="18"/>
                <w:szCs w:val="18"/>
              </w:rPr>
            </w:pPr>
            <w:r w:rsidRPr="00416D67">
              <w:rPr>
                <w:color w:val="000000"/>
                <w:sz w:val="18"/>
                <w:szCs w:val="18"/>
              </w:rPr>
              <w:t>Podmirenje troškova stanovanja</w:t>
            </w:r>
          </w:p>
        </w:tc>
        <w:tc>
          <w:tcPr>
            <w:tcW w:w="953" w:type="dxa"/>
            <w:tcBorders>
              <w:top w:val="nil"/>
              <w:left w:val="nil"/>
              <w:bottom w:val="single" w:sz="4" w:space="0" w:color="auto"/>
              <w:right w:val="single" w:sz="4" w:space="0" w:color="auto"/>
            </w:tcBorders>
            <w:noWrap/>
            <w:vAlign w:val="center"/>
            <w:hideMark/>
          </w:tcPr>
          <w:p w14:paraId="670F153A" w14:textId="77777777" w:rsidR="00416D67" w:rsidRPr="00416D67" w:rsidRDefault="00416D67" w:rsidP="00416D67">
            <w:pPr>
              <w:jc w:val="right"/>
              <w:rPr>
                <w:color w:val="000000"/>
                <w:sz w:val="18"/>
                <w:szCs w:val="18"/>
              </w:rPr>
            </w:pPr>
            <w:r w:rsidRPr="00416D67">
              <w:rPr>
                <w:color w:val="000000"/>
                <w:sz w:val="18"/>
                <w:szCs w:val="18"/>
              </w:rPr>
              <w:t>15.468,35</w:t>
            </w:r>
          </w:p>
        </w:tc>
        <w:tc>
          <w:tcPr>
            <w:tcW w:w="983" w:type="dxa"/>
            <w:tcBorders>
              <w:top w:val="nil"/>
              <w:left w:val="nil"/>
              <w:bottom w:val="single" w:sz="4" w:space="0" w:color="auto"/>
              <w:right w:val="single" w:sz="4" w:space="0" w:color="auto"/>
            </w:tcBorders>
            <w:noWrap/>
            <w:vAlign w:val="center"/>
            <w:hideMark/>
          </w:tcPr>
          <w:p w14:paraId="48AE46CF" w14:textId="77777777" w:rsidR="00416D67" w:rsidRPr="00416D67" w:rsidRDefault="00416D67" w:rsidP="00416D67">
            <w:pPr>
              <w:jc w:val="right"/>
              <w:rPr>
                <w:color w:val="000000"/>
                <w:sz w:val="18"/>
                <w:szCs w:val="18"/>
              </w:rPr>
            </w:pPr>
            <w:r w:rsidRPr="00416D67">
              <w:rPr>
                <w:color w:val="000000"/>
                <w:sz w:val="18"/>
                <w:szCs w:val="18"/>
              </w:rPr>
              <w:t>17.340,00</w:t>
            </w:r>
          </w:p>
        </w:tc>
        <w:tc>
          <w:tcPr>
            <w:tcW w:w="953" w:type="dxa"/>
            <w:tcBorders>
              <w:top w:val="nil"/>
              <w:left w:val="nil"/>
              <w:bottom w:val="single" w:sz="4" w:space="0" w:color="auto"/>
              <w:right w:val="single" w:sz="4" w:space="0" w:color="auto"/>
            </w:tcBorders>
            <w:noWrap/>
            <w:vAlign w:val="center"/>
            <w:hideMark/>
          </w:tcPr>
          <w:p w14:paraId="60DF4CE3" w14:textId="77777777" w:rsidR="00416D67" w:rsidRPr="00416D67" w:rsidRDefault="00416D67" w:rsidP="00416D67">
            <w:pPr>
              <w:jc w:val="right"/>
              <w:rPr>
                <w:color w:val="000000"/>
                <w:sz w:val="18"/>
                <w:szCs w:val="18"/>
              </w:rPr>
            </w:pPr>
            <w:r w:rsidRPr="00416D67">
              <w:rPr>
                <w:color w:val="000000"/>
                <w:sz w:val="18"/>
                <w:szCs w:val="18"/>
              </w:rPr>
              <w:t>18.938,37</w:t>
            </w:r>
          </w:p>
        </w:tc>
        <w:tc>
          <w:tcPr>
            <w:tcW w:w="830" w:type="dxa"/>
            <w:tcBorders>
              <w:top w:val="nil"/>
              <w:left w:val="nil"/>
              <w:bottom w:val="single" w:sz="4" w:space="0" w:color="auto"/>
              <w:right w:val="single" w:sz="4" w:space="0" w:color="auto"/>
            </w:tcBorders>
            <w:noWrap/>
            <w:vAlign w:val="center"/>
            <w:hideMark/>
          </w:tcPr>
          <w:p w14:paraId="71958A90" w14:textId="77777777" w:rsidR="00416D67" w:rsidRPr="00416D67" w:rsidRDefault="00416D67" w:rsidP="00416D67">
            <w:pPr>
              <w:jc w:val="right"/>
              <w:rPr>
                <w:color w:val="000000"/>
                <w:sz w:val="18"/>
                <w:szCs w:val="18"/>
              </w:rPr>
            </w:pPr>
            <w:r w:rsidRPr="00416D67">
              <w:rPr>
                <w:color w:val="000000"/>
                <w:sz w:val="18"/>
                <w:szCs w:val="18"/>
              </w:rPr>
              <w:t>122,43%</w:t>
            </w:r>
          </w:p>
        </w:tc>
        <w:tc>
          <w:tcPr>
            <w:tcW w:w="1123" w:type="dxa"/>
            <w:tcBorders>
              <w:top w:val="nil"/>
              <w:left w:val="nil"/>
              <w:bottom w:val="single" w:sz="4" w:space="0" w:color="auto"/>
              <w:right w:val="single" w:sz="4" w:space="0" w:color="auto"/>
            </w:tcBorders>
            <w:noWrap/>
            <w:vAlign w:val="center"/>
            <w:hideMark/>
          </w:tcPr>
          <w:p w14:paraId="10F197F3" w14:textId="77777777" w:rsidR="00416D67" w:rsidRPr="00416D67" w:rsidRDefault="00416D67" w:rsidP="00416D67">
            <w:pPr>
              <w:jc w:val="right"/>
              <w:rPr>
                <w:color w:val="000000"/>
                <w:sz w:val="18"/>
                <w:szCs w:val="18"/>
              </w:rPr>
            </w:pPr>
            <w:r w:rsidRPr="00416D67">
              <w:rPr>
                <w:color w:val="000000"/>
                <w:sz w:val="18"/>
                <w:szCs w:val="18"/>
              </w:rPr>
              <w:t>109,22%</w:t>
            </w:r>
          </w:p>
        </w:tc>
      </w:tr>
      <w:tr w:rsidR="00416D67" w:rsidRPr="00416D67" w14:paraId="093DD6F7" w14:textId="77777777" w:rsidTr="00BB1392">
        <w:trPr>
          <w:trHeight w:val="250"/>
        </w:trPr>
        <w:tc>
          <w:tcPr>
            <w:tcW w:w="824" w:type="dxa"/>
            <w:tcBorders>
              <w:top w:val="nil"/>
              <w:left w:val="single" w:sz="4" w:space="0" w:color="auto"/>
              <w:bottom w:val="single" w:sz="4" w:space="0" w:color="auto"/>
              <w:right w:val="single" w:sz="4" w:space="0" w:color="auto"/>
            </w:tcBorders>
            <w:noWrap/>
            <w:vAlign w:val="center"/>
            <w:hideMark/>
          </w:tcPr>
          <w:p w14:paraId="17A26AFF" w14:textId="77777777" w:rsidR="00416D67" w:rsidRPr="00416D67" w:rsidRDefault="00416D67" w:rsidP="00416D67">
            <w:pPr>
              <w:rPr>
                <w:color w:val="000000"/>
                <w:sz w:val="18"/>
                <w:szCs w:val="18"/>
              </w:rPr>
            </w:pPr>
            <w:r w:rsidRPr="00416D67">
              <w:rPr>
                <w:color w:val="000000"/>
                <w:sz w:val="18"/>
                <w:szCs w:val="18"/>
              </w:rPr>
              <w:t>A100004</w:t>
            </w:r>
          </w:p>
        </w:tc>
        <w:tc>
          <w:tcPr>
            <w:tcW w:w="3847" w:type="dxa"/>
            <w:tcBorders>
              <w:top w:val="nil"/>
              <w:left w:val="nil"/>
              <w:bottom w:val="single" w:sz="4" w:space="0" w:color="auto"/>
              <w:right w:val="single" w:sz="4" w:space="0" w:color="auto"/>
            </w:tcBorders>
            <w:vAlign w:val="center"/>
            <w:hideMark/>
          </w:tcPr>
          <w:p w14:paraId="4CEF8357" w14:textId="77777777" w:rsidR="00416D67" w:rsidRPr="00416D67" w:rsidRDefault="00416D67" w:rsidP="00416D67">
            <w:pPr>
              <w:rPr>
                <w:color w:val="000000"/>
                <w:sz w:val="18"/>
                <w:szCs w:val="18"/>
              </w:rPr>
            </w:pPr>
            <w:r w:rsidRPr="00416D67">
              <w:rPr>
                <w:color w:val="000000"/>
                <w:sz w:val="18"/>
                <w:szCs w:val="18"/>
              </w:rPr>
              <w:t>Jednokratne naknade povodom rođenja djeteta</w:t>
            </w:r>
          </w:p>
        </w:tc>
        <w:tc>
          <w:tcPr>
            <w:tcW w:w="953" w:type="dxa"/>
            <w:tcBorders>
              <w:top w:val="nil"/>
              <w:left w:val="nil"/>
              <w:bottom w:val="single" w:sz="4" w:space="0" w:color="auto"/>
              <w:right w:val="single" w:sz="4" w:space="0" w:color="auto"/>
            </w:tcBorders>
            <w:noWrap/>
            <w:vAlign w:val="center"/>
            <w:hideMark/>
          </w:tcPr>
          <w:p w14:paraId="1B8E7E1E" w14:textId="77777777" w:rsidR="00416D67" w:rsidRPr="00416D67" w:rsidRDefault="00416D67" w:rsidP="00416D67">
            <w:pPr>
              <w:jc w:val="right"/>
              <w:rPr>
                <w:color w:val="000000"/>
                <w:sz w:val="18"/>
                <w:szCs w:val="18"/>
              </w:rPr>
            </w:pPr>
            <w:r w:rsidRPr="00416D67">
              <w:rPr>
                <w:color w:val="000000"/>
                <w:sz w:val="18"/>
                <w:szCs w:val="18"/>
              </w:rPr>
              <w:t>20.845,00</w:t>
            </w:r>
          </w:p>
        </w:tc>
        <w:tc>
          <w:tcPr>
            <w:tcW w:w="983" w:type="dxa"/>
            <w:tcBorders>
              <w:top w:val="nil"/>
              <w:left w:val="nil"/>
              <w:bottom w:val="single" w:sz="4" w:space="0" w:color="auto"/>
              <w:right w:val="single" w:sz="4" w:space="0" w:color="auto"/>
            </w:tcBorders>
            <w:noWrap/>
            <w:vAlign w:val="center"/>
            <w:hideMark/>
          </w:tcPr>
          <w:p w14:paraId="448912C0" w14:textId="77777777" w:rsidR="00416D67" w:rsidRPr="00416D67" w:rsidRDefault="00416D67" w:rsidP="00416D67">
            <w:pPr>
              <w:jc w:val="right"/>
              <w:rPr>
                <w:color w:val="000000"/>
                <w:sz w:val="18"/>
                <w:szCs w:val="18"/>
              </w:rPr>
            </w:pPr>
            <w:r w:rsidRPr="00416D67">
              <w:rPr>
                <w:color w:val="000000"/>
                <w:sz w:val="18"/>
                <w:szCs w:val="18"/>
              </w:rPr>
              <w:t>13.200,00</w:t>
            </w:r>
          </w:p>
        </w:tc>
        <w:tc>
          <w:tcPr>
            <w:tcW w:w="953" w:type="dxa"/>
            <w:tcBorders>
              <w:top w:val="nil"/>
              <w:left w:val="nil"/>
              <w:bottom w:val="single" w:sz="4" w:space="0" w:color="auto"/>
              <w:right w:val="single" w:sz="4" w:space="0" w:color="auto"/>
            </w:tcBorders>
            <w:noWrap/>
            <w:vAlign w:val="center"/>
            <w:hideMark/>
          </w:tcPr>
          <w:p w14:paraId="59A11F06" w14:textId="77777777" w:rsidR="00416D67" w:rsidRPr="00416D67" w:rsidRDefault="00416D67" w:rsidP="00416D67">
            <w:pPr>
              <w:jc w:val="right"/>
              <w:rPr>
                <w:color w:val="000000"/>
                <w:sz w:val="18"/>
                <w:szCs w:val="18"/>
              </w:rPr>
            </w:pPr>
            <w:r w:rsidRPr="00416D67">
              <w:rPr>
                <w:color w:val="000000"/>
                <w:sz w:val="18"/>
                <w:szCs w:val="18"/>
              </w:rPr>
              <w:t>9.735,00</w:t>
            </w:r>
          </w:p>
        </w:tc>
        <w:tc>
          <w:tcPr>
            <w:tcW w:w="830" w:type="dxa"/>
            <w:tcBorders>
              <w:top w:val="nil"/>
              <w:left w:val="nil"/>
              <w:bottom w:val="single" w:sz="4" w:space="0" w:color="auto"/>
              <w:right w:val="single" w:sz="4" w:space="0" w:color="auto"/>
            </w:tcBorders>
            <w:noWrap/>
            <w:vAlign w:val="center"/>
            <w:hideMark/>
          </w:tcPr>
          <w:p w14:paraId="153009C4" w14:textId="77777777" w:rsidR="00416D67" w:rsidRPr="00416D67" w:rsidRDefault="00416D67" w:rsidP="00416D67">
            <w:pPr>
              <w:jc w:val="right"/>
              <w:rPr>
                <w:color w:val="000000"/>
                <w:sz w:val="18"/>
                <w:szCs w:val="18"/>
              </w:rPr>
            </w:pPr>
            <w:r w:rsidRPr="00416D67">
              <w:rPr>
                <w:color w:val="000000"/>
                <w:sz w:val="18"/>
                <w:szCs w:val="18"/>
              </w:rPr>
              <w:t>46,70%</w:t>
            </w:r>
          </w:p>
        </w:tc>
        <w:tc>
          <w:tcPr>
            <w:tcW w:w="1123" w:type="dxa"/>
            <w:tcBorders>
              <w:top w:val="nil"/>
              <w:left w:val="nil"/>
              <w:bottom w:val="single" w:sz="4" w:space="0" w:color="auto"/>
              <w:right w:val="single" w:sz="4" w:space="0" w:color="auto"/>
            </w:tcBorders>
            <w:noWrap/>
            <w:vAlign w:val="center"/>
            <w:hideMark/>
          </w:tcPr>
          <w:p w14:paraId="6EF35CD9" w14:textId="77777777" w:rsidR="00416D67" w:rsidRPr="00416D67" w:rsidRDefault="00416D67" w:rsidP="00416D67">
            <w:pPr>
              <w:jc w:val="right"/>
              <w:rPr>
                <w:color w:val="000000"/>
                <w:sz w:val="18"/>
                <w:szCs w:val="18"/>
              </w:rPr>
            </w:pPr>
            <w:r w:rsidRPr="00416D67">
              <w:rPr>
                <w:color w:val="000000"/>
                <w:sz w:val="18"/>
                <w:szCs w:val="18"/>
              </w:rPr>
              <w:t>73,75%</w:t>
            </w:r>
          </w:p>
        </w:tc>
      </w:tr>
      <w:tr w:rsidR="00416D67" w:rsidRPr="00416D67" w14:paraId="1B3465F0" w14:textId="77777777" w:rsidTr="00BB1392">
        <w:trPr>
          <w:trHeight w:val="300"/>
        </w:trPr>
        <w:tc>
          <w:tcPr>
            <w:tcW w:w="824" w:type="dxa"/>
            <w:tcBorders>
              <w:top w:val="nil"/>
              <w:left w:val="single" w:sz="4" w:space="0" w:color="auto"/>
              <w:bottom w:val="single" w:sz="4" w:space="0" w:color="auto"/>
              <w:right w:val="single" w:sz="4" w:space="0" w:color="auto"/>
            </w:tcBorders>
            <w:noWrap/>
            <w:vAlign w:val="center"/>
            <w:hideMark/>
          </w:tcPr>
          <w:p w14:paraId="246C6506" w14:textId="77777777" w:rsidR="00416D67" w:rsidRPr="00416D67" w:rsidRDefault="00416D67" w:rsidP="00416D67">
            <w:pPr>
              <w:rPr>
                <w:color w:val="000000"/>
                <w:sz w:val="18"/>
                <w:szCs w:val="18"/>
              </w:rPr>
            </w:pPr>
            <w:r w:rsidRPr="00416D67">
              <w:rPr>
                <w:color w:val="000000"/>
                <w:sz w:val="18"/>
                <w:szCs w:val="18"/>
              </w:rPr>
              <w:t>A100005</w:t>
            </w:r>
          </w:p>
        </w:tc>
        <w:tc>
          <w:tcPr>
            <w:tcW w:w="3847" w:type="dxa"/>
            <w:tcBorders>
              <w:top w:val="nil"/>
              <w:left w:val="nil"/>
              <w:bottom w:val="single" w:sz="4" w:space="0" w:color="auto"/>
              <w:right w:val="single" w:sz="4" w:space="0" w:color="auto"/>
            </w:tcBorders>
            <w:vAlign w:val="center"/>
            <w:hideMark/>
          </w:tcPr>
          <w:p w14:paraId="6D6C5FDC" w14:textId="77777777" w:rsidR="00416D67" w:rsidRPr="00416D67" w:rsidRDefault="00416D67" w:rsidP="00416D67">
            <w:pPr>
              <w:rPr>
                <w:color w:val="000000"/>
                <w:sz w:val="18"/>
                <w:szCs w:val="18"/>
              </w:rPr>
            </w:pPr>
            <w:r w:rsidRPr="00416D67">
              <w:rPr>
                <w:color w:val="000000"/>
                <w:sz w:val="18"/>
                <w:szCs w:val="18"/>
              </w:rPr>
              <w:t>Participacija pogrebnih troškova</w:t>
            </w:r>
          </w:p>
        </w:tc>
        <w:tc>
          <w:tcPr>
            <w:tcW w:w="953" w:type="dxa"/>
            <w:tcBorders>
              <w:top w:val="nil"/>
              <w:left w:val="nil"/>
              <w:bottom w:val="single" w:sz="4" w:space="0" w:color="auto"/>
              <w:right w:val="single" w:sz="4" w:space="0" w:color="auto"/>
            </w:tcBorders>
            <w:noWrap/>
            <w:vAlign w:val="center"/>
            <w:hideMark/>
          </w:tcPr>
          <w:p w14:paraId="71A65C1A" w14:textId="77777777" w:rsidR="00416D67" w:rsidRPr="00416D67" w:rsidRDefault="00416D67" w:rsidP="00416D67">
            <w:pPr>
              <w:jc w:val="right"/>
              <w:rPr>
                <w:color w:val="000000"/>
                <w:sz w:val="18"/>
                <w:szCs w:val="18"/>
              </w:rPr>
            </w:pPr>
            <w:r w:rsidRPr="00416D67">
              <w:rPr>
                <w:color w:val="000000"/>
                <w:sz w:val="18"/>
                <w:szCs w:val="18"/>
              </w:rPr>
              <w:t>2.292,65</w:t>
            </w:r>
          </w:p>
        </w:tc>
        <w:tc>
          <w:tcPr>
            <w:tcW w:w="983" w:type="dxa"/>
            <w:tcBorders>
              <w:top w:val="nil"/>
              <w:left w:val="nil"/>
              <w:bottom w:val="single" w:sz="4" w:space="0" w:color="auto"/>
              <w:right w:val="single" w:sz="4" w:space="0" w:color="auto"/>
            </w:tcBorders>
            <w:noWrap/>
            <w:vAlign w:val="center"/>
            <w:hideMark/>
          </w:tcPr>
          <w:p w14:paraId="162841EA" w14:textId="77777777" w:rsidR="00416D67" w:rsidRPr="00416D67" w:rsidRDefault="00416D67" w:rsidP="00416D67">
            <w:pPr>
              <w:jc w:val="right"/>
              <w:rPr>
                <w:color w:val="000000"/>
                <w:sz w:val="18"/>
                <w:szCs w:val="18"/>
              </w:rPr>
            </w:pPr>
            <w:r w:rsidRPr="00416D67">
              <w:rPr>
                <w:color w:val="000000"/>
                <w:sz w:val="18"/>
                <w:szCs w:val="18"/>
              </w:rPr>
              <w:t>8.300,00</w:t>
            </w:r>
          </w:p>
        </w:tc>
        <w:tc>
          <w:tcPr>
            <w:tcW w:w="953" w:type="dxa"/>
            <w:tcBorders>
              <w:top w:val="nil"/>
              <w:left w:val="nil"/>
              <w:bottom w:val="single" w:sz="4" w:space="0" w:color="auto"/>
              <w:right w:val="single" w:sz="4" w:space="0" w:color="auto"/>
            </w:tcBorders>
            <w:noWrap/>
            <w:vAlign w:val="center"/>
            <w:hideMark/>
          </w:tcPr>
          <w:p w14:paraId="21757A36" w14:textId="77777777" w:rsidR="00416D67" w:rsidRPr="00416D67" w:rsidRDefault="00416D67" w:rsidP="00416D67">
            <w:pPr>
              <w:jc w:val="right"/>
              <w:rPr>
                <w:color w:val="000000"/>
                <w:sz w:val="18"/>
                <w:szCs w:val="18"/>
              </w:rPr>
            </w:pPr>
            <w:r w:rsidRPr="00416D67">
              <w:rPr>
                <w:color w:val="000000"/>
                <w:sz w:val="18"/>
                <w:szCs w:val="18"/>
              </w:rPr>
              <w:t>6.669,12</w:t>
            </w:r>
          </w:p>
        </w:tc>
        <w:tc>
          <w:tcPr>
            <w:tcW w:w="830" w:type="dxa"/>
            <w:tcBorders>
              <w:top w:val="nil"/>
              <w:left w:val="nil"/>
              <w:bottom w:val="single" w:sz="4" w:space="0" w:color="auto"/>
              <w:right w:val="single" w:sz="4" w:space="0" w:color="auto"/>
            </w:tcBorders>
            <w:noWrap/>
            <w:vAlign w:val="center"/>
            <w:hideMark/>
          </w:tcPr>
          <w:p w14:paraId="32DE390B" w14:textId="77777777" w:rsidR="00416D67" w:rsidRPr="00416D67" w:rsidRDefault="00416D67" w:rsidP="00416D67">
            <w:pPr>
              <w:jc w:val="right"/>
              <w:rPr>
                <w:color w:val="000000"/>
                <w:sz w:val="18"/>
                <w:szCs w:val="18"/>
              </w:rPr>
            </w:pPr>
            <w:r w:rsidRPr="00416D67">
              <w:rPr>
                <w:color w:val="000000"/>
                <w:sz w:val="18"/>
                <w:szCs w:val="18"/>
              </w:rPr>
              <w:t>290,89%</w:t>
            </w:r>
          </w:p>
        </w:tc>
        <w:tc>
          <w:tcPr>
            <w:tcW w:w="1123" w:type="dxa"/>
            <w:tcBorders>
              <w:top w:val="nil"/>
              <w:left w:val="nil"/>
              <w:bottom w:val="single" w:sz="4" w:space="0" w:color="auto"/>
              <w:right w:val="single" w:sz="4" w:space="0" w:color="auto"/>
            </w:tcBorders>
            <w:noWrap/>
            <w:vAlign w:val="center"/>
            <w:hideMark/>
          </w:tcPr>
          <w:p w14:paraId="123F2328" w14:textId="77777777" w:rsidR="00416D67" w:rsidRPr="00416D67" w:rsidRDefault="00416D67" w:rsidP="00416D67">
            <w:pPr>
              <w:jc w:val="right"/>
              <w:rPr>
                <w:color w:val="000000"/>
                <w:sz w:val="18"/>
                <w:szCs w:val="18"/>
              </w:rPr>
            </w:pPr>
            <w:r w:rsidRPr="00416D67">
              <w:rPr>
                <w:color w:val="000000"/>
                <w:sz w:val="18"/>
                <w:szCs w:val="18"/>
              </w:rPr>
              <w:t>80,35%</w:t>
            </w:r>
          </w:p>
        </w:tc>
      </w:tr>
      <w:tr w:rsidR="00416D67" w:rsidRPr="00416D67" w14:paraId="22045161" w14:textId="77777777" w:rsidTr="00BB1392">
        <w:trPr>
          <w:trHeight w:val="117"/>
        </w:trPr>
        <w:tc>
          <w:tcPr>
            <w:tcW w:w="824" w:type="dxa"/>
            <w:tcBorders>
              <w:top w:val="nil"/>
              <w:left w:val="single" w:sz="4" w:space="0" w:color="auto"/>
              <w:bottom w:val="single" w:sz="4" w:space="0" w:color="auto"/>
              <w:right w:val="single" w:sz="4" w:space="0" w:color="auto"/>
            </w:tcBorders>
            <w:noWrap/>
            <w:vAlign w:val="center"/>
            <w:hideMark/>
          </w:tcPr>
          <w:p w14:paraId="443768B3" w14:textId="77777777" w:rsidR="00416D67" w:rsidRPr="00416D67" w:rsidRDefault="00416D67" w:rsidP="00416D67">
            <w:pPr>
              <w:rPr>
                <w:color w:val="000000"/>
                <w:sz w:val="18"/>
                <w:szCs w:val="18"/>
              </w:rPr>
            </w:pPr>
            <w:r w:rsidRPr="00416D67">
              <w:rPr>
                <w:color w:val="000000"/>
                <w:sz w:val="18"/>
                <w:szCs w:val="18"/>
              </w:rPr>
              <w:t>A100006</w:t>
            </w:r>
          </w:p>
        </w:tc>
        <w:tc>
          <w:tcPr>
            <w:tcW w:w="3847" w:type="dxa"/>
            <w:tcBorders>
              <w:top w:val="nil"/>
              <w:left w:val="nil"/>
              <w:bottom w:val="single" w:sz="4" w:space="0" w:color="auto"/>
              <w:right w:val="single" w:sz="4" w:space="0" w:color="auto"/>
            </w:tcBorders>
            <w:vAlign w:val="center"/>
            <w:hideMark/>
          </w:tcPr>
          <w:p w14:paraId="1CB883EE" w14:textId="77777777" w:rsidR="00416D67" w:rsidRPr="00416D67" w:rsidRDefault="00416D67" w:rsidP="00416D67">
            <w:pPr>
              <w:rPr>
                <w:color w:val="000000"/>
                <w:sz w:val="18"/>
                <w:szCs w:val="18"/>
              </w:rPr>
            </w:pPr>
            <w:r w:rsidRPr="00416D67">
              <w:rPr>
                <w:color w:val="000000"/>
                <w:sz w:val="18"/>
                <w:szCs w:val="18"/>
              </w:rPr>
              <w:t>Podmirenje troškova javnog prijevoza</w:t>
            </w:r>
          </w:p>
        </w:tc>
        <w:tc>
          <w:tcPr>
            <w:tcW w:w="953" w:type="dxa"/>
            <w:tcBorders>
              <w:top w:val="nil"/>
              <w:left w:val="nil"/>
              <w:bottom w:val="single" w:sz="4" w:space="0" w:color="auto"/>
              <w:right w:val="single" w:sz="4" w:space="0" w:color="auto"/>
            </w:tcBorders>
            <w:noWrap/>
            <w:vAlign w:val="center"/>
            <w:hideMark/>
          </w:tcPr>
          <w:p w14:paraId="6DAA0053" w14:textId="77777777" w:rsidR="00416D67" w:rsidRPr="00416D67" w:rsidRDefault="00416D67" w:rsidP="00416D67">
            <w:pPr>
              <w:jc w:val="right"/>
              <w:rPr>
                <w:color w:val="000000"/>
                <w:sz w:val="18"/>
                <w:szCs w:val="18"/>
              </w:rPr>
            </w:pPr>
            <w:r w:rsidRPr="00416D67">
              <w:rPr>
                <w:color w:val="000000"/>
                <w:sz w:val="18"/>
                <w:szCs w:val="18"/>
              </w:rPr>
              <w:t>23.937,71</w:t>
            </w:r>
          </w:p>
        </w:tc>
        <w:tc>
          <w:tcPr>
            <w:tcW w:w="983" w:type="dxa"/>
            <w:tcBorders>
              <w:top w:val="nil"/>
              <w:left w:val="nil"/>
              <w:bottom w:val="single" w:sz="4" w:space="0" w:color="auto"/>
              <w:right w:val="single" w:sz="4" w:space="0" w:color="auto"/>
            </w:tcBorders>
            <w:noWrap/>
            <w:vAlign w:val="center"/>
            <w:hideMark/>
          </w:tcPr>
          <w:p w14:paraId="2DDB5934" w14:textId="77777777" w:rsidR="00416D67" w:rsidRPr="00416D67" w:rsidRDefault="00416D67" w:rsidP="00416D67">
            <w:pPr>
              <w:jc w:val="right"/>
              <w:rPr>
                <w:color w:val="000000"/>
                <w:sz w:val="18"/>
                <w:szCs w:val="18"/>
              </w:rPr>
            </w:pPr>
            <w:r w:rsidRPr="00416D67">
              <w:rPr>
                <w:color w:val="000000"/>
                <w:sz w:val="18"/>
                <w:szCs w:val="18"/>
              </w:rPr>
              <w:t>26.000,00</w:t>
            </w:r>
          </w:p>
        </w:tc>
        <w:tc>
          <w:tcPr>
            <w:tcW w:w="953" w:type="dxa"/>
            <w:tcBorders>
              <w:top w:val="nil"/>
              <w:left w:val="nil"/>
              <w:bottom w:val="single" w:sz="4" w:space="0" w:color="auto"/>
              <w:right w:val="single" w:sz="4" w:space="0" w:color="auto"/>
            </w:tcBorders>
            <w:noWrap/>
            <w:vAlign w:val="center"/>
            <w:hideMark/>
          </w:tcPr>
          <w:p w14:paraId="52F9ECD7" w14:textId="77777777" w:rsidR="00416D67" w:rsidRPr="00416D67" w:rsidRDefault="00416D67" w:rsidP="00416D67">
            <w:pPr>
              <w:jc w:val="right"/>
              <w:rPr>
                <w:color w:val="000000"/>
                <w:sz w:val="18"/>
                <w:szCs w:val="18"/>
              </w:rPr>
            </w:pPr>
            <w:r w:rsidRPr="00416D67">
              <w:rPr>
                <w:color w:val="000000"/>
                <w:sz w:val="18"/>
                <w:szCs w:val="18"/>
              </w:rPr>
              <w:t>19.331,92</w:t>
            </w:r>
          </w:p>
        </w:tc>
        <w:tc>
          <w:tcPr>
            <w:tcW w:w="830" w:type="dxa"/>
            <w:tcBorders>
              <w:top w:val="nil"/>
              <w:left w:val="nil"/>
              <w:bottom w:val="single" w:sz="4" w:space="0" w:color="auto"/>
              <w:right w:val="single" w:sz="4" w:space="0" w:color="auto"/>
            </w:tcBorders>
            <w:noWrap/>
            <w:vAlign w:val="center"/>
            <w:hideMark/>
          </w:tcPr>
          <w:p w14:paraId="58FFE2D9" w14:textId="77777777" w:rsidR="00416D67" w:rsidRPr="00416D67" w:rsidRDefault="00416D67" w:rsidP="00416D67">
            <w:pPr>
              <w:jc w:val="right"/>
              <w:rPr>
                <w:color w:val="000000"/>
                <w:sz w:val="18"/>
                <w:szCs w:val="18"/>
              </w:rPr>
            </w:pPr>
            <w:r w:rsidRPr="00416D67">
              <w:rPr>
                <w:color w:val="000000"/>
                <w:sz w:val="18"/>
                <w:szCs w:val="18"/>
              </w:rPr>
              <w:t>80,76%</w:t>
            </w:r>
          </w:p>
        </w:tc>
        <w:tc>
          <w:tcPr>
            <w:tcW w:w="1123" w:type="dxa"/>
            <w:tcBorders>
              <w:top w:val="nil"/>
              <w:left w:val="nil"/>
              <w:bottom w:val="single" w:sz="4" w:space="0" w:color="auto"/>
              <w:right w:val="single" w:sz="4" w:space="0" w:color="auto"/>
            </w:tcBorders>
            <w:noWrap/>
            <w:vAlign w:val="center"/>
            <w:hideMark/>
          </w:tcPr>
          <w:p w14:paraId="6BAE8A80" w14:textId="77777777" w:rsidR="00416D67" w:rsidRPr="00416D67" w:rsidRDefault="00416D67" w:rsidP="00416D67">
            <w:pPr>
              <w:jc w:val="right"/>
              <w:rPr>
                <w:color w:val="000000"/>
                <w:sz w:val="18"/>
                <w:szCs w:val="18"/>
              </w:rPr>
            </w:pPr>
            <w:r w:rsidRPr="00416D67">
              <w:rPr>
                <w:color w:val="000000"/>
                <w:sz w:val="18"/>
                <w:szCs w:val="18"/>
              </w:rPr>
              <w:t>74,35%</w:t>
            </w:r>
          </w:p>
        </w:tc>
      </w:tr>
      <w:tr w:rsidR="00416D67" w:rsidRPr="00416D67" w14:paraId="2CB179CF" w14:textId="77777777" w:rsidTr="00BB1392">
        <w:trPr>
          <w:trHeight w:val="300"/>
        </w:trPr>
        <w:tc>
          <w:tcPr>
            <w:tcW w:w="824" w:type="dxa"/>
            <w:tcBorders>
              <w:top w:val="nil"/>
              <w:left w:val="single" w:sz="4" w:space="0" w:color="auto"/>
              <w:bottom w:val="single" w:sz="4" w:space="0" w:color="auto"/>
              <w:right w:val="single" w:sz="4" w:space="0" w:color="auto"/>
            </w:tcBorders>
            <w:noWrap/>
            <w:vAlign w:val="center"/>
            <w:hideMark/>
          </w:tcPr>
          <w:p w14:paraId="1AB2B9E7" w14:textId="77777777" w:rsidR="00416D67" w:rsidRPr="00416D67" w:rsidRDefault="00416D67" w:rsidP="00416D67">
            <w:pPr>
              <w:rPr>
                <w:color w:val="000000"/>
                <w:sz w:val="18"/>
                <w:szCs w:val="18"/>
              </w:rPr>
            </w:pPr>
            <w:r w:rsidRPr="00416D67">
              <w:rPr>
                <w:color w:val="000000"/>
                <w:sz w:val="18"/>
                <w:szCs w:val="18"/>
              </w:rPr>
              <w:t>A100007</w:t>
            </w:r>
          </w:p>
        </w:tc>
        <w:tc>
          <w:tcPr>
            <w:tcW w:w="3847" w:type="dxa"/>
            <w:tcBorders>
              <w:top w:val="nil"/>
              <w:left w:val="nil"/>
              <w:bottom w:val="single" w:sz="4" w:space="0" w:color="auto"/>
              <w:right w:val="single" w:sz="4" w:space="0" w:color="auto"/>
            </w:tcBorders>
            <w:vAlign w:val="center"/>
            <w:hideMark/>
          </w:tcPr>
          <w:p w14:paraId="55928738" w14:textId="77777777" w:rsidR="00416D67" w:rsidRPr="00416D67" w:rsidRDefault="00416D67" w:rsidP="00416D67">
            <w:pPr>
              <w:rPr>
                <w:color w:val="000000"/>
                <w:sz w:val="18"/>
                <w:szCs w:val="18"/>
              </w:rPr>
            </w:pPr>
            <w:r w:rsidRPr="00416D67">
              <w:rPr>
                <w:color w:val="000000"/>
                <w:sz w:val="18"/>
                <w:szCs w:val="18"/>
              </w:rPr>
              <w:t>Jednokratne novčane pomoći</w:t>
            </w:r>
          </w:p>
        </w:tc>
        <w:tc>
          <w:tcPr>
            <w:tcW w:w="953" w:type="dxa"/>
            <w:tcBorders>
              <w:top w:val="nil"/>
              <w:left w:val="nil"/>
              <w:bottom w:val="single" w:sz="4" w:space="0" w:color="auto"/>
              <w:right w:val="single" w:sz="4" w:space="0" w:color="auto"/>
            </w:tcBorders>
            <w:noWrap/>
            <w:vAlign w:val="center"/>
            <w:hideMark/>
          </w:tcPr>
          <w:p w14:paraId="715A40F0" w14:textId="77777777" w:rsidR="00416D67" w:rsidRPr="00416D67" w:rsidRDefault="00416D67" w:rsidP="00416D67">
            <w:pPr>
              <w:jc w:val="right"/>
              <w:rPr>
                <w:color w:val="000000"/>
                <w:sz w:val="18"/>
                <w:szCs w:val="18"/>
              </w:rPr>
            </w:pPr>
            <w:r w:rsidRPr="00416D67">
              <w:rPr>
                <w:color w:val="000000"/>
                <w:sz w:val="18"/>
                <w:szCs w:val="18"/>
              </w:rPr>
              <w:t>84.548,18</w:t>
            </w:r>
          </w:p>
        </w:tc>
        <w:tc>
          <w:tcPr>
            <w:tcW w:w="983" w:type="dxa"/>
            <w:tcBorders>
              <w:top w:val="nil"/>
              <w:left w:val="nil"/>
              <w:bottom w:val="single" w:sz="4" w:space="0" w:color="auto"/>
              <w:right w:val="single" w:sz="4" w:space="0" w:color="auto"/>
            </w:tcBorders>
            <w:noWrap/>
            <w:vAlign w:val="center"/>
            <w:hideMark/>
          </w:tcPr>
          <w:p w14:paraId="2E7A2FF9" w14:textId="77777777" w:rsidR="00416D67" w:rsidRPr="00416D67" w:rsidRDefault="00416D67" w:rsidP="00416D67">
            <w:pPr>
              <w:jc w:val="right"/>
              <w:rPr>
                <w:color w:val="000000"/>
                <w:sz w:val="18"/>
                <w:szCs w:val="18"/>
              </w:rPr>
            </w:pPr>
            <w:r w:rsidRPr="00416D67">
              <w:rPr>
                <w:color w:val="000000"/>
                <w:sz w:val="18"/>
                <w:szCs w:val="18"/>
              </w:rPr>
              <w:t>88.840,00</w:t>
            </w:r>
          </w:p>
        </w:tc>
        <w:tc>
          <w:tcPr>
            <w:tcW w:w="953" w:type="dxa"/>
            <w:tcBorders>
              <w:top w:val="nil"/>
              <w:left w:val="nil"/>
              <w:bottom w:val="single" w:sz="4" w:space="0" w:color="auto"/>
              <w:right w:val="single" w:sz="4" w:space="0" w:color="auto"/>
            </w:tcBorders>
            <w:noWrap/>
            <w:vAlign w:val="center"/>
            <w:hideMark/>
          </w:tcPr>
          <w:p w14:paraId="208F35CE" w14:textId="77777777" w:rsidR="00416D67" w:rsidRPr="00416D67" w:rsidRDefault="00416D67" w:rsidP="00416D67">
            <w:pPr>
              <w:jc w:val="right"/>
              <w:rPr>
                <w:color w:val="000000"/>
                <w:sz w:val="18"/>
                <w:szCs w:val="18"/>
              </w:rPr>
            </w:pPr>
            <w:r w:rsidRPr="00416D67">
              <w:rPr>
                <w:color w:val="000000"/>
                <w:sz w:val="18"/>
                <w:szCs w:val="18"/>
              </w:rPr>
              <w:t>87.353,55</w:t>
            </w:r>
          </w:p>
        </w:tc>
        <w:tc>
          <w:tcPr>
            <w:tcW w:w="830" w:type="dxa"/>
            <w:tcBorders>
              <w:top w:val="nil"/>
              <w:left w:val="nil"/>
              <w:bottom w:val="single" w:sz="4" w:space="0" w:color="auto"/>
              <w:right w:val="single" w:sz="4" w:space="0" w:color="auto"/>
            </w:tcBorders>
            <w:noWrap/>
            <w:vAlign w:val="center"/>
            <w:hideMark/>
          </w:tcPr>
          <w:p w14:paraId="310FEB37" w14:textId="77777777" w:rsidR="00416D67" w:rsidRPr="00416D67" w:rsidRDefault="00416D67" w:rsidP="00416D67">
            <w:pPr>
              <w:jc w:val="right"/>
              <w:rPr>
                <w:color w:val="000000"/>
                <w:sz w:val="18"/>
                <w:szCs w:val="18"/>
              </w:rPr>
            </w:pPr>
            <w:r w:rsidRPr="00416D67">
              <w:rPr>
                <w:color w:val="000000"/>
                <w:sz w:val="18"/>
                <w:szCs w:val="18"/>
              </w:rPr>
              <w:t>103,32%</w:t>
            </w:r>
          </w:p>
        </w:tc>
        <w:tc>
          <w:tcPr>
            <w:tcW w:w="1123" w:type="dxa"/>
            <w:tcBorders>
              <w:top w:val="nil"/>
              <w:left w:val="nil"/>
              <w:bottom w:val="single" w:sz="4" w:space="0" w:color="auto"/>
              <w:right w:val="single" w:sz="4" w:space="0" w:color="auto"/>
            </w:tcBorders>
            <w:noWrap/>
            <w:vAlign w:val="center"/>
            <w:hideMark/>
          </w:tcPr>
          <w:p w14:paraId="4ABF6C7B" w14:textId="77777777" w:rsidR="00416D67" w:rsidRPr="00416D67" w:rsidRDefault="00416D67" w:rsidP="00416D67">
            <w:pPr>
              <w:jc w:val="right"/>
              <w:rPr>
                <w:color w:val="000000"/>
                <w:sz w:val="18"/>
                <w:szCs w:val="18"/>
              </w:rPr>
            </w:pPr>
            <w:r w:rsidRPr="00416D67">
              <w:rPr>
                <w:color w:val="000000"/>
                <w:sz w:val="18"/>
                <w:szCs w:val="18"/>
              </w:rPr>
              <w:t>98,33%</w:t>
            </w:r>
          </w:p>
        </w:tc>
      </w:tr>
      <w:tr w:rsidR="00416D67" w:rsidRPr="00416D67" w14:paraId="0231CF9D" w14:textId="77777777" w:rsidTr="00BB1392">
        <w:trPr>
          <w:trHeight w:val="167"/>
        </w:trPr>
        <w:tc>
          <w:tcPr>
            <w:tcW w:w="824" w:type="dxa"/>
            <w:tcBorders>
              <w:top w:val="nil"/>
              <w:left w:val="single" w:sz="4" w:space="0" w:color="auto"/>
              <w:bottom w:val="single" w:sz="4" w:space="0" w:color="auto"/>
              <w:right w:val="single" w:sz="4" w:space="0" w:color="auto"/>
            </w:tcBorders>
            <w:noWrap/>
            <w:vAlign w:val="center"/>
            <w:hideMark/>
          </w:tcPr>
          <w:p w14:paraId="2F9ACCD9" w14:textId="77777777" w:rsidR="00416D67" w:rsidRPr="00416D67" w:rsidRDefault="00416D67" w:rsidP="00416D67">
            <w:pPr>
              <w:rPr>
                <w:color w:val="000000"/>
                <w:sz w:val="18"/>
                <w:szCs w:val="18"/>
              </w:rPr>
            </w:pPr>
            <w:r w:rsidRPr="00416D67">
              <w:rPr>
                <w:color w:val="000000"/>
                <w:sz w:val="18"/>
                <w:szCs w:val="18"/>
              </w:rPr>
              <w:t>A100008</w:t>
            </w:r>
          </w:p>
        </w:tc>
        <w:tc>
          <w:tcPr>
            <w:tcW w:w="3847" w:type="dxa"/>
            <w:tcBorders>
              <w:top w:val="nil"/>
              <w:left w:val="nil"/>
              <w:bottom w:val="single" w:sz="4" w:space="0" w:color="auto"/>
              <w:right w:val="single" w:sz="4" w:space="0" w:color="auto"/>
            </w:tcBorders>
            <w:vAlign w:val="center"/>
            <w:hideMark/>
          </w:tcPr>
          <w:p w14:paraId="60B161B8" w14:textId="77777777" w:rsidR="00416D67" w:rsidRPr="00416D67" w:rsidRDefault="00416D67" w:rsidP="00416D67">
            <w:pPr>
              <w:rPr>
                <w:color w:val="000000"/>
                <w:sz w:val="18"/>
                <w:szCs w:val="18"/>
              </w:rPr>
            </w:pPr>
            <w:r w:rsidRPr="00416D67">
              <w:rPr>
                <w:color w:val="000000"/>
                <w:sz w:val="18"/>
                <w:szCs w:val="18"/>
              </w:rPr>
              <w:t>Ostali oblici pomoći obiteljima i samcima</w:t>
            </w:r>
          </w:p>
        </w:tc>
        <w:tc>
          <w:tcPr>
            <w:tcW w:w="953" w:type="dxa"/>
            <w:tcBorders>
              <w:top w:val="nil"/>
              <w:left w:val="nil"/>
              <w:bottom w:val="single" w:sz="4" w:space="0" w:color="auto"/>
              <w:right w:val="single" w:sz="4" w:space="0" w:color="auto"/>
            </w:tcBorders>
            <w:noWrap/>
            <w:vAlign w:val="center"/>
            <w:hideMark/>
          </w:tcPr>
          <w:p w14:paraId="0FFEB53A" w14:textId="77777777" w:rsidR="00416D67" w:rsidRPr="00416D67" w:rsidRDefault="00416D67" w:rsidP="00416D67">
            <w:pPr>
              <w:jc w:val="right"/>
              <w:rPr>
                <w:color w:val="000000"/>
                <w:sz w:val="18"/>
                <w:szCs w:val="18"/>
              </w:rPr>
            </w:pPr>
            <w:r w:rsidRPr="00416D67">
              <w:rPr>
                <w:color w:val="000000"/>
                <w:sz w:val="18"/>
                <w:szCs w:val="18"/>
              </w:rPr>
              <w:t>7.987,09</w:t>
            </w:r>
          </w:p>
        </w:tc>
        <w:tc>
          <w:tcPr>
            <w:tcW w:w="983" w:type="dxa"/>
            <w:tcBorders>
              <w:top w:val="nil"/>
              <w:left w:val="nil"/>
              <w:bottom w:val="single" w:sz="4" w:space="0" w:color="auto"/>
              <w:right w:val="single" w:sz="4" w:space="0" w:color="auto"/>
            </w:tcBorders>
            <w:noWrap/>
            <w:vAlign w:val="center"/>
            <w:hideMark/>
          </w:tcPr>
          <w:p w14:paraId="397B1C55" w14:textId="77777777" w:rsidR="00416D67" w:rsidRPr="00416D67" w:rsidRDefault="00416D67" w:rsidP="00416D67">
            <w:pPr>
              <w:jc w:val="right"/>
              <w:rPr>
                <w:color w:val="000000"/>
                <w:sz w:val="18"/>
                <w:szCs w:val="18"/>
              </w:rPr>
            </w:pPr>
            <w:r w:rsidRPr="00416D67">
              <w:rPr>
                <w:color w:val="000000"/>
                <w:sz w:val="18"/>
                <w:szCs w:val="18"/>
              </w:rPr>
              <w:t>10.500,00</w:t>
            </w:r>
          </w:p>
        </w:tc>
        <w:tc>
          <w:tcPr>
            <w:tcW w:w="953" w:type="dxa"/>
            <w:tcBorders>
              <w:top w:val="nil"/>
              <w:left w:val="nil"/>
              <w:bottom w:val="single" w:sz="4" w:space="0" w:color="auto"/>
              <w:right w:val="single" w:sz="4" w:space="0" w:color="auto"/>
            </w:tcBorders>
            <w:noWrap/>
            <w:vAlign w:val="center"/>
            <w:hideMark/>
          </w:tcPr>
          <w:p w14:paraId="42FAAD70" w14:textId="77777777" w:rsidR="00416D67" w:rsidRPr="00416D67" w:rsidRDefault="00416D67" w:rsidP="00416D67">
            <w:pPr>
              <w:jc w:val="right"/>
              <w:rPr>
                <w:color w:val="000000"/>
                <w:sz w:val="18"/>
                <w:szCs w:val="18"/>
              </w:rPr>
            </w:pPr>
            <w:r w:rsidRPr="00416D67">
              <w:rPr>
                <w:color w:val="000000"/>
                <w:sz w:val="18"/>
                <w:szCs w:val="18"/>
              </w:rPr>
              <w:t>8.174,83</w:t>
            </w:r>
          </w:p>
        </w:tc>
        <w:tc>
          <w:tcPr>
            <w:tcW w:w="830" w:type="dxa"/>
            <w:tcBorders>
              <w:top w:val="nil"/>
              <w:left w:val="nil"/>
              <w:bottom w:val="single" w:sz="4" w:space="0" w:color="auto"/>
              <w:right w:val="single" w:sz="4" w:space="0" w:color="auto"/>
            </w:tcBorders>
            <w:noWrap/>
            <w:vAlign w:val="center"/>
            <w:hideMark/>
          </w:tcPr>
          <w:p w14:paraId="25DC833F" w14:textId="77777777" w:rsidR="00416D67" w:rsidRPr="00416D67" w:rsidRDefault="00416D67" w:rsidP="00416D67">
            <w:pPr>
              <w:jc w:val="right"/>
              <w:rPr>
                <w:color w:val="000000"/>
                <w:sz w:val="18"/>
                <w:szCs w:val="18"/>
              </w:rPr>
            </w:pPr>
            <w:r w:rsidRPr="00416D67">
              <w:rPr>
                <w:color w:val="000000"/>
                <w:sz w:val="18"/>
                <w:szCs w:val="18"/>
              </w:rPr>
              <w:t>102,35%</w:t>
            </w:r>
          </w:p>
        </w:tc>
        <w:tc>
          <w:tcPr>
            <w:tcW w:w="1123" w:type="dxa"/>
            <w:tcBorders>
              <w:top w:val="nil"/>
              <w:left w:val="nil"/>
              <w:bottom w:val="single" w:sz="4" w:space="0" w:color="auto"/>
              <w:right w:val="single" w:sz="4" w:space="0" w:color="auto"/>
            </w:tcBorders>
            <w:noWrap/>
            <w:vAlign w:val="center"/>
            <w:hideMark/>
          </w:tcPr>
          <w:p w14:paraId="17A3CE66" w14:textId="77777777" w:rsidR="00416D67" w:rsidRPr="00416D67" w:rsidRDefault="00416D67" w:rsidP="00416D67">
            <w:pPr>
              <w:jc w:val="right"/>
              <w:rPr>
                <w:color w:val="000000"/>
                <w:sz w:val="18"/>
                <w:szCs w:val="18"/>
              </w:rPr>
            </w:pPr>
            <w:r w:rsidRPr="00416D67">
              <w:rPr>
                <w:color w:val="000000"/>
                <w:sz w:val="18"/>
                <w:szCs w:val="18"/>
              </w:rPr>
              <w:t>77,86%</w:t>
            </w:r>
          </w:p>
        </w:tc>
      </w:tr>
      <w:tr w:rsidR="00416D67" w:rsidRPr="00416D67" w14:paraId="1EC6261F" w14:textId="77777777" w:rsidTr="00BB1392">
        <w:trPr>
          <w:trHeight w:val="383"/>
        </w:trPr>
        <w:tc>
          <w:tcPr>
            <w:tcW w:w="824" w:type="dxa"/>
            <w:tcBorders>
              <w:top w:val="nil"/>
              <w:left w:val="single" w:sz="4" w:space="0" w:color="auto"/>
              <w:bottom w:val="single" w:sz="4" w:space="0" w:color="auto"/>
              <w:right w:val="single" w:sz="4" w:space="0" w:color="auto"/>
            </w:tcBorders>
            <w:noWrap/>
            <w:vAlign w:val="center"/>
            <w:hideMark/>
          </w:tcPr>
          <w:p w14:paraId="4BF6621F" w14:textId="77777777" w:rsidR="00416D67" w:rsidRPr="00416D67" w:rsidRDefault="00416D67" w:rsidP="00416D67">
            <w:pPr>
              <w:rPr>
                <w:color w:val="000000"/>
                <w:sz w:val="18"/>
                <w:szCs w:val="18"/>
              </w:rPr>
            </w:pPr>
            <w:r w:rsidRPr="00416D67">
              <w:rPr>
                <w:color w:val="000000"/>
                <w:sz w:val="18"/>
                <w:szCs w:val="18"/>
              </w:rPr>
              <w:t>A100009</w:t>
            </w:r>
          </w:p>
        </w:tc>
        <w:tc>
          <w:tcPr>
            <w:tcW w:w="3847" w:type="dxa"/>
            <w:tcBorders>
              <w:top w:val="nil"/>
              <w:left w:val="nil"/>
              <w:bottom w:val="single" w:sz="4" w:space="0" w:color="auto"/>
              <w:right w:val="single" w:sz="4" w:space="0" w:color="auto"/>
            </w:tcBorders>
            <w:vAlign w:val="center"/>
            <w:hideMark/>
          </w:tcPr>
          <w:p w14:paraId="461F1FEC" w14:textId="77777777" w:rsidR="00416D67" w:rsidRPr="00416D67" w:rsidRDefault="00416D67" w:rsidP="00416D67">
            <w:pPr>
              <w:rPr>
                <w:color w:val="000000"/>
                <w:sz w:val="18"/>
                <w:szCs w:val="18"/>
              </w:rPr>
            </w:pPr>
            <w:r w:rsidRPr="00416D67">
              <w:rPr>
                <w:color w:val="000000"/>
                <w:sz w:val="18"/>
                <w:szCs w:val="18"/>
              </w:rPr>
              <w:t>Materijalna zaštita sudionika Drugog svjetskog rata i članova njihovih obitelji</w:t>
            </w:r>
          </w:p>
        </w:tc>
        <w:tc>
          <w:tcPr>
            <w:tcW w:w="953" w:type="dxa"/>
            <w:tcBorders>
              <w:top w:val="nil"/>
              <w:left w:val="nil"/>
              <w:bottom w:val="single" w:sz="4" w:space="0" w:color="auto"/>
              <w:right w:val="single" w:sz="4" w:space="0" w:color="auto"/>
            </w:tcBorders>
            <w:noWrap/>
            <w:vAlign w:val="center"/>
            <w:hideMark/>
          </w:tcPr>
          <w:p w14:paraId="3318775A" w14:textId="77777777" w:rsidR="00416D67" w:rsidRPr="00416D67" w:rsidRDefault="00416D67" w:rsidP="00416D67">
            <w:pPr>
              <w:jc w:val="right"/>
              <w:rPr>
                <w:color w:val="000000"/>
                <w:sz w:val="18"/>
                <w:szCs w:val="18"/>
              </w:rPr>
            </w:pPr>
            <w:r w:rsidRPr="00416D67">
              <w:rPr>
                <w:color w:val="000000"/>
                <w:sz w:val="18"/>
                <w:szCs w:val="18"/>
              </w:rPr>
              <w:t>0,00</w:t>
            </w:r>
          </w:p>
        </w:tc>
        <w:tc>
          <w:tcPr>
            <w:tcW w:w="983" w:type="dxa"/>
            <w:tcBorders>
              <w:top w:val="nil"/>
              <w:left w:val="nil"/>
              <w:bottom w:val="single" w:sz="4" w:space="0" w:color="auto"/>
              <w:right w:val="single" w:sz="4" w:space="0" w:color="auto"/>
            </w:tcBorders>
            <w:noWrap/>
            <w:vAlign w:val="center"/>
            <w:hideMark/>
          </w:tcPr>
          <w:p w14:paraId="4CA790A2" w14:textId="77777777" w:rsidR="00416D67" w:rsidRPr="00416D67" w:rsidRDefault="00416D67" w:rsidP="00416D67">
            <w:pPr>
              <w:jc w:val="right"/>
              <w:rPr>
                <w:color w:val="000000"/>
                <w:sz w:val="18"/>
                <w:szCs w:val="18"/>
              </w:rPr>
            </w:pPr>
            <w:r w:rsidRPr="00416D67">
              <w:rPr>
                <w:color w:val="000000"/>
                <w:sz w:val="18"/>
                <w:szCs w:val="18"/>
              </w:rPr>
              <w:t>800,00</w:t>
            </w:r>
          </w:p>
        </w:tc>
        <w:tc>
          <w:tcPr>
            <w:tcW w:w="953" w:type="dxa"/>
            <w:tcBorders>
              <w:top w:val="nil"/>
              <w:left w:val="nil"/>
              <w:bottom w:val="single" w:sz="4" w:space="0" w:color="auto"/>
              <w:right w:val="single" w:sz="4" w:space="0" w:color="auto"/>
            </w:tcBorders>
            <w:noWrap/>
            <w:vAlign w:val="center"/>
            <w:hideMark/>
          </w:tcPr>
          <w:p w14:paraId="536487FE" w14:textId="77777777" w:rsidR="00416D67" w:rsidRPr="00416D67" w:rsidRDefault="00416D67" w:rsidP="00416D67">
            <w:pPr>
              <w:jc w:val="right"/>
              <w:rPr>
                <w:color w:val="000000"/>
                <w:sz w:val="18"/>
                <w:szCs w:val="18"/>
              </w:rPr>
            </w:pPr>
            <w:r w:rsidRPr="00416D67">
              <w:rPr>
                <w:color w:val="000000"/>
                <w:sz w:val="18"/>
                <w:szCs w:val="18"/>
              </w:rPr>
              <w:t>0,00</w:t>
            </w:r>
          </w:p>
        </w:tc>
        <w:tc>
          <w:tcPr>
            <w:tcW w:w="830" w:type="dxa"/>
            <w:tcBorders>
              <w:top w:val="nil"/>
              <w:left w:val="nil"/>
              <w:bottom w:val="single" w:sz="4" w:space="0" w:color="auto"/>
              <w:right w:val="single" w:sz="4" w:space="0" w:color="auto"/>
            </w:tcBorders>
            <w:noWrap/>
            <w:vAlign w:val="center"/>
            <w:hideMark/>
          </w:tcPr>
          <w:p w14:paraId="52C1FFC0" w14:textId="77777777" w:rsidR="00416D67" w:rsidRPr="00416D67" w:rsidRDefault="00416D67" w:rsidP="00416D67">
            <w:pPr>
              <w:jc w:val="right"/>
              <w:rPr>
                <w:color w:val="000000"/>
                <w:sz w:val="18"/>
                <w:szCs w:val="18"/>
              </w:rPr>
            </w:pPr>
            <w:r w:rsidRPr="00416D67">
              <w:rPr>
                <w:color w:val="000000"/>
                <w:sz w:val="18"/>
                <w:szCs w:val="18"/>
              </w:rPr>
              <w:t>0,00%</w:t>
            </w:r>
          </w:p>
        </w:tc>
        <w:tc>
          <w:tcPr>
            <w:tcW w:w="1123" w:type="dxa"/>
            <w:tcBorders>
              <w:top w:val="nil"/>
              <w:left w:val="nil"/>
              <w:bottom w:val="single" w:sz="4" w:space="0" w:color="auto"/>
              <w:right w:val="single" w:sz="4" w:space="0" w:color="auto"/>
            </w:tcBorders>
            <w:noWrap/>
            <w:vAlign w:val="center"/>
            <w:hideMark/>
          </w:tcPr>
          <w:p w14:paraId="777D58D7" w14:textId="77777777" w:rsidR="00416D67" w:rsidRPr="00416D67" w:rsidRDefault="00416D67" w:rsidP="00416D67">
            <w:pPr>
              <w:jc w:val="right"/>
              <w:rPr>
                <w:color w:val="000000"/>
                <w:sz w:val="18"/>
                <w:szCs w:val="18"/>
              </w:rPr>
            </w:pPr>
            <w:r w:rsidRPr="00416D67">
              <w:rPr>
                <w:color w:val="000000"/>
                <w:sz w:val="18"/>
                <w:szCs w:val="18"/>
              </w:rPr>
              <w:t>0,00%</w:t>
            </w:r>
          </w:p>
        </w:tc>
      </w:tr>
      <w:tr w:rsidR="00416D67" w:rsidRPr="00416D67" w14:paraId="379E6687" w14:textId="77777777" w:rsidTr="00BB1392">
        <w:trPr>
          <w:trHeight w:val="480"/>
        </w:trPr>
        <w:tc>
          <w:tcPr>
            <w:tcW w:w="824" w:type="dxa"/>
            <w:tcBorders>
              <w:top w:val="nil"/>
              <w:left w:val="single" w:sz="4" w:space="0" w:color="auto"/>
              <w:bottom w:val="single" w:sz="4" w:space="0" w:color="auto"/>
              <w:right w:val="single" w:sz="4" w:space="0" w:color="auto"/>
            </w:tcBorders>
            <w:noWrap/>
            <w:vAlign w:val="center"/>
            <w:hideMark/>
          </w:tcPr>
          <w:p w14:paraId="32B12A09" w14:textId="77777777" w:rsidR="00416D67" w:rsidRPr="00416D67" w:rsidRDefault="00416D67" w:rsidP="00416D67">
            <w:pPr>
              <w:rPr>
                <w:color w:val="000000"/>
                <w:sz w:val="18"/>
                <w:szCs w:val="18"/>
              </w:rPr>
            </w:pPr>
            <w:r w:rsidRPr="00416D67">
              <w:rPr>
                <w:color w:val="000000"/>
                <w:sz w:val="18"/>
                <w:szCs w:val="18"/>
              </w:rPr>
              <w:t>A100010</w:t>
            </w:r>
          </w:p>
        </w:tc>
        <w:tc>
          <w:tcPr>
            <w:tcW w:w="3847" w:type="dxa"/>
            <w:tcBorders>
              <w:top w:val="nil"/>
              <w:left w:val="nil"/>
              <w:bottom w:val="single" w:sz="4" w:space="0" w:color="auto"/>
              <w:right w:val="single" w:sz="4" w:space="0" w:color="auto"/>
            </w:tcBorders>
            <w:vAlign w:val="center"/>
            <w:hideMark/>
          </w:tcPr>
          <w:p w14:paraId="51A66CA4" w14:textId="77777777" w:rsidR="00416D67" w:rsidRPr="00416D67" w:rsidRDefault="00416D67" w:rsidP="00416D67">
            <w:pPr>
              <w:rPr>
                <w:color w:val="000000"/>
                <w:sz w:val="18"/>
                <w:szCs w:val="18"/>
              </w:rPr>
            </w:pPr>
            <w:r w:rsidRPr="00416D67">
              <w:rPr>
                <w:color w:val="000000"/>
                <w:sz w:val="18"/>
                <w:szCs w:val="18"/>
              </w:rPr>
              <w:t>Materijalna zaštita hrvatskih branitelja Domovinskog rata</w:t>
            </w:r>
          </w:p>
        </w:tc>
        <w:tc>
          <w:tcPr>
            <w:tcW w:w="953" w:type="dxa"/>
            <w:tcBorders>
              <w:top w:val="nil"/>
              <w:left w:val="nil"/>
              <w:bottom w:val="single" w:sz="4" w:space="0" w:color="auto"/>
              <w:right w:val="single" w:sz="4" w:space="0" w:color="auto"/>
            </w:tcBorders>
            <w:noWrap/>
            <w:vAlign w:val="center"/>
            <w:hideMark/>
          </w:tcPr>
          <w:p w14:paraId="78A2B374" w14:textId="77777777" w:rsidR="00416D67" w:rsidRPr="00416D67" w:rsidRDefault="00416D67" w:rsidP="00416D67">
            <w:pPr>
              <w:jc w:val="right"/>
              <w:rPr>
                <w:color w:val="000000"/>
                <w:sz w:val="18"/>
                <w:szCs w:val="18"/>
              </w:rPr>
            </w:pPr>
            <w:r w:rsidRPr="00416D67">
              <w:rPr>
                <w:color w:val="000000"/>
                <w:sz w:val="18"/>
                <w:szCs w:val="18"/>
              </w:rPr>
              <w:t>1.330,00</w:t>
            </w:r>
          </w:p>
        </w:tc>
        <w:tc>
          <w:tcPr>
            <w:tcW w:w="983" w:type="dxa"/>
            <w:tcBorders>
              <w:top w:val="nil"/>
              <w:left w:val="nil"/>
              <w:bottom w:val="single" w:sz="4" w:space="0" w:color="auto"/>
              <w:right w:val="single" w:sz="4" w:space="0" w:color="auto"/>
            </w:tcBorders>
            <w:noWrap/>
            <w:vAlign w:val="center"/>
            <w:hideMark/>
          </w:tcPr>
          <w:p w14:paraId="14CB6E37" w14:textId="77777777" w:rsidR="00416D67" w:rsidRPr="00416D67" w:rsidRDefault="00416D67" w:rsidP="00416D67">
            <w:pPr>
              <w:jc w:val="right"/>
              <w:rPr>
                <w:color w:val="000000"/>
                <w:sz w:val="18"/>
                <w:szCs w:val="18"/>
              </w:rPr>
            </w:pPr>
            <w:r w:rsidRPr="00416D67">
              <w:rPr>
                <w:color w:val="000000"/>
                <w:sz w:val="18"/>
                <w:szCs w:val="18"/>
              </w:rPr>
              <w:t>1.320,00</w:t>
            </w:r>
          </w:p>
        </w:tc>
        <w:tc>
          <w:tcPr>
            <w:tcW w:w="953" w:type="dxa"/>
            <w:tcBorders>
              <w:top w:val="nil"/>
              <w:left w:val="nil"/>
              <w:bottom w:val="single" w:sz="4" w:space="0" w:color="auto"/>
              <w:right w:val="single" w:sz="4" w:space="0" w:color="auto"/>
            </w:tcBorders>
            <w:noWrap/>
            <w:vAlign w:val="center"/>
            <w:hideMark/>
          </w:tcPr>
          <w:p w14:paraId="5B4FFE3C" w14:textId="77777777" w:rsidR="00416D67" w:rsidRPr="00416D67" w:rsidRDefault="00416D67" w:rsidP="00416D67">
            <w:pPr>
              <w:jc w:val="right"/>
              <w:rPr>
                <w:color w:val="000000"/>
                <w:sz w:val="18"/>
                <w:szCs w:val="18"/>
              </w:rPr>
            </w:pPr>
            <w:r w:rsidRPr="00416D67">
              <w:rPr>
                <w:color w:val="000000"/>
                <w:sz w:val="18"/>
                <w:szCs w:val="18"/>
              </w:rPr>
              <w:t>1.320,00</w:t>
            </w:r>
          </w:p>
        </w:tc>
        <w:tc>
          <w:tcPr>
            <w:tcW w:w="830" w:type="dxa"/>
            <w:tcBorders>
              <w:top w:val="nil"/>
              <w:left w:val="nil"/>
              <w:bottom w:val="single" w:sz="4" w:space="0" w:color="auto"/>
              <w:right w:val="single" w:sz="4" w:space="0" w:color="auto"/>
            </w:tcBorders>
            <w:noWrap/>
            <w:vAlign w:val="center"/>
            <w:hideMark/>
          </w:tcPr>
          <w:p w14:paraId="26D91DDD" w14:textId="77777777" w:rsidR="00416D67" w:rsidRPr="00416D67" w:rsidRDefault="00416D67" w:rsidP="00416D67">
            <w:pPr>
              <w:jc w:val="right"/>
              <w:rPr>
                <w:color w:val="000000"/>
                <w:sz w:val="18"/>
                <w:szCs w:val="18"/>
              </w:rPr>
            </w:pPr>
            <w:r w:rsidRPr="00416D67">
              <w:rPr>
                <w:color w:val="000000"/>
                <w:sz w:val="18"/>
                <w:szCs w:val="18"/>
              </w:rPr>
              <w:t>99,25%</w:t>
            </w:r>
          </w:p>
        </w:tc>
        <w:tc>
          <w:tcPr>
            <w:tcW w:w="1123" w:type="dxa"/>
            <w:tcBorders>
              <w:top w:val="nil"/>
              <w:left w:val="nil"/>
              <w:bottom w:val="single" w:sz="4" w:space="0" w:color="auto"/>
              <w:right w:val="single" w:sz="4" w:space="0" w:color="auto"/>
            </w:tcBorders>
            <w:noWrap/>
            <w:vAlign w:val="center"/>
            <w:hideMark/>
          </w:tcPr>
          <w:p w14:paraId="725B677F" w14:textId="77777777" w:rsidR="00416D67" w:rsidRPr="00416D67" w:rsidRDefault="00416D67" w:rsidP="00416D67">
            <w:pPr>
              <w:jc w:val="right"/>
              <w:rPr>
                <w:color w:val="000000"/>
                <w:sz w:val="18"/>
                <w:szCs w:val="18"/>
              </w:rPr>
            </w:pPr>
            <w:r w:rsidRPr="00416D67">
              <w:rPr>
                <w:color w:val="000000"/>
                <w:sz w:val="18"/>
                <w:szCs w:val="18"/>
              </w:rPr>
              <w:t>100,00%</w:t>
            </w:r>
          </w:p>
        </w:tc>
      </w:tr>
      <w:tr w:rsidR="00416D67" w:rsidRPr="00416D67" w14:paraId="763436B5" w14:textId="77777777" w:rsidTr="00BB1392">
        <w:trPr>
          <w:trHeight w:val="453"/>
        </w:trPr>
        <w:tc>
          <w:tcPr>
            <w:tcW w:w="824" w:type="dxa"/>
            <w:tcBorders>
              <w:top w:val="nil"/>
              <w:left w:val="single" w:sz="4" w:space="0" w:color="auto"/>
              <w:bottom w:val="single" w:sz="4" w:space="0" w:color="auto"/>
              <w:right w:val="single" w:sz="4" w:space="0" w:color="auto"/>
            </w:tcBorders>
            <w:noWrap/>
            <w:vAlign w:val="center"/>
            <w:hideMark/>
          </w:tcPr>
          <w:p w14:paraId="52D01864" w14:textId="77777777" w:rsidR="00416D67" w:rsidRPr="00416D67" w:rsidRDefault="00416D67" w:rsidP="00416D67">
            <w:pPr>
              <w:rPr>
                <w:color w:val="000000"/>
                <w:sz w:val="18"/>
                <w:szCs w:val="18"/>
              </w:rPr>
            </w:pPr>
            <w:r w:rsidRPr="00416D67">
              <w:rPr>
                <w:color w:val="000000"/>
                <w:sz w:val="18"/>
                <w:szCs w:val="18"/>
              </w:rPr>
              <w:t>A100011</w:t>
            </w:r>
          </w:p>
        </w:tc>
        <w:tc>
          <w:tcPr>
            <w:tcW w:w="3847" w:type="dxa"/>
            <w:tcBorders>
              <w:top w:val="nil"/>
              <w:left w:val="nil"/>
              <w:bottom w:val="single" w:sz="4" w:space="0" w:color="auto"/>
              <w:right w:val="single" w:sz="4" w:space="0" w:color="auto"/>
            </w:tcBorders>
            <w:vAlign w:val="center"/>
            <w:hideMark/>
          </w:tcPr>
          <w:p w14:paraId="14449BE2" w14:textId="77777777" w:rsidR="00416D67" w:rsidRPr="00416D67" w:rsidRDefault="00416D67" w:rsidP="00416D67">
            <w:pPr>
              <w:rPr>
                <w:color w:val="000000"/>
                <w:sz w:val="18"/>
                <w:szCs w:val="18"/>
              </w:rPr>
            </w:pPr>
            <w:r w:rsidRPr="00416D67">
              <w:rPr>
                <w:color w:val="000000"/>
                <w:sz w:val="18"/>
                <w:szCs w:val="18"/>
              </w:rPr>
              <w:t>Potpore studentima (studentske stipendije i potpore)</w:t>
            </w:r>
          </w:p>
        </w:tc>
        <w:tc>
          <w:tcPr>
            <w:tcW w:w="953" w:type="dxa"/>
            <w:tcBorders>
              <w:top w:val="nil"/>
              <w:left w:val="nil"/>
              <w:bottom w:val="single" w:sz="4" w:space="0" w:color="auto"/>
              <w:right w:val="single" w:sz="4" w:space="0" w:color="auto"/>
            </w:tcBorders>
            <w:noWrap/>
            <w:vAlign w:val="center"/>
            <w:hideMark/>
          </w:tcPr>
          <w:p w14:paraId="271CE1A1" w14:textId="77777777" w:rsidR="00416D67" w:rsidRPr="00416D67" w:rsidRDefault="00416D67" w:rsidP="00416D67">
            <w:pPr>
              <w:jc w:val="right"/>
              <w:rPr>
                <w:color w:val="000000"/>
                <w:sz w:val="18"/>
                <w:szCs w:val="18"/>
              </w:rPr>
            </w:pPr>
            <w:r w:rsidRPr="00416D67">
              <w:rPr>
                <w:color w:val="000000"/>
                <w:sz w:val="18"/>
                <w:szCs w:val="18"/>
              </w:rPr>
              <w:t>18.790,00</w:t>
            </w:r>
          </w:p>
        </w:tc>
        <w:tc>
          <w:tcPr>
            <w:tcW w:w="983" w:type="dxa"/>
            <w:tcBorders>
              <w:top w:val="nil"/>
              <w:left w:val="nil"/>
              <w:bottom w:val="single" w:sz="4" w:space="0" w:color="auto"/>
              <w:right w:val="single" w:sz="4" w:space="0" w:color="auto"/>
            </w:tcBorders>
            <w:noWrap/>
            <w:vAlign w:val="center"/>
            <w:hideMark/>
          </w:tcPr>
          <w:p w14:paraId="1A089DA1" w14:textId="77777777" w:rsidR="00416D67" w:rsidRPr="00416D67" w:rsidRDefault="00416D67" w:rsidP="00416D67">
            <w:pPr>
              <w:jc w:val="right"/>
              <w:rPr>
                <w:color w:val="000000"/>
                <w:sz w:val="18"/>
                <w:szCs w:val="18"/>
              </w:rPr>
            </w:pPr>
            <w:r w:rsidRPr="00416D67">
              <w:rPr>
                <w:color w:val="000000"/>
                <w:sz w:val="18"/>
                <w:szCs w:val="18"/>
              </w:rPr>
              <w:t>30.000,00</w:t>
            </w:r>
          </w:p>
        </w:tc>
        <w:tc>
          <w:tcPr>
            <w:tcW w:w="953" w:type="dxa"/>
            <w:tcBorders>
              <w:top w:val="nil"/>
              <w:left w:val="nil"/>
              <w:bottom w:val="single" w:sz="4" w:space="0" w:color="auto"/>
              <w:right w:val="single" w:sz="4" w:space="0" w:color="auto"/>
            </w:tcBorders>
            <w:noWrap/>
            <w:vAlign w:val="center"/>
            <w:hideMark/>
          </w:tcPr>
          <w:p w14:paraId="5793EF8C" w14:textId="77777777" w:rsidR="00416D67" w:rsidRPr="00416D67" w:rsidRDefault="00416D67" w:rsidP="00416D67">
            <w:pPr>
              <w:jc w:val="right"/>
              <w:rPr>
                <w:color w:val="000000"/>
                <w:sz w:val="18"/>
                <w:szCs w:val="18"/>
              </w:rPr>
            </w:pPr>
            <w:r w:rsidRPr="00416D67">
              <w:rPr>
                <w:color w:val="000000"/>
                <w:sz w:val="18"/>
                <w:szCs w:val="18"/>
              </w:rPr>
              <w:t>26.160,00</w:t>
            </w:r>
          </w:p>
        </w:tc>
        <w:tc>
          <w:tcPr>
            <w:tcW w:w="830" w:type="dxa"/>
            <w:tcBorders>
              <w:top w:val="nil"/>
              <w:left w:val="nil"/>
              <w:bottom w:val="single" w:sz="4" w:space="0" w:color="auto"/>
              <w:right w:val="single" w:sz="4" w:space="0" w:color="auto"/>
            </w:tcBorders>
            <w:noWrap/>
            <w:vAlign w:val="center"/>
            <w:hideMark/>
          </w:tcPr>
          <w:p w14:paraId="6159A154" w14:textId="77777777" w:rsidR="00416D67" w:rsidRPr="00416D67" w:rsidRDefault="00416D67" w:rsidP="00416D67">
            <w:pPr>
              <w:jc w:val="right"/>
              <w:rPr>
                <w:color w:val="000000"/>
                <w:sz w:val="18"/>
                <w:szCs w:val="18"/>
              </w:rPr>
            </w:pPr>
            <w:r w:rsidRPr="00416D67">
              <w:rPr>
                <w:color w:val="000000"/>
                <w:sz w:val="18"/>
                <w:szCs w:val="18"/>
              </w:rPr>
              <w:t>139,22%</w:t>
            </w:r>
          </w:p>
        </w:tc>
        <w:tc>
          <w:tcPr>
            <w:tcW w:w="1123" w:type="dxa"/>
            <w:tcBorders>
              <w:top w:val="nil"/>
              <w:left w:val="nil"/>
              <w:bottom w:val="single" w:sz="4" w:space="0" w:color="auto"/>
              <w:right w:val="single" w:sz="4" w:space="0" w:color="auto"/>
            </w:tcBorders>
            <w:noWrap/>
            <w:vAlign w:val="center"/>
            <w:hideMark/>
          </w:tcPr>
          <w:p w14:paraId="468EFAB1" w14:textId="77777777" w:rsidR="00416D67" w:rsidRPr="00416D67" w:rsidRDefault="00416D67" w:rsidP="00416D67">
            <w:pPr>
              <w:jc w:val="right"/>
              <w:rPr>
                <w:color w:val="000000"/>
                <w:sz w:val="18"/>
                <w:szCs w:val="18"/>
              </w:rPr>
            </w:pPr>
            <w:r w:rsidRPr="00416D67">
              <w:rPr>
                <w:color w:val="000000"/>
                <w:sz w:val="18"/>
                <w:szCs w:val="18"/>
              </w:rPr>
              <w:t>87,20%</w:t>
            </w:r>
          </w:p>
        </w:tc>
      </w:tr>
      <w:tr w:rsidR="00416D67" w:rsidRPr="00416D67" w14:paraId="62E82EE3" w14:textId="77777777" w:rsidTr="00BB1392">
        <w:trPr>
          <w:trHeight w:val="559"/>
        </w:trPr>
        <w:tc>
          <w:tcPr>
            <w:tcW w:w="824" w:type="dxa"/>
            <w:tcBorders>
              <w:top w:val="nil"/>
              <w:left w:val="single" w:sz="4" w:space="0" w:color="auto"/>
              <w:bottom w:val="single" w:sz="4" w:space="0" w:color="auto"/>
              <w:right w:val="single" w:sz="4" w:space="0" w:color="auto"/>
            </w:tcBorders>
            <w:noWrap/>
            <w:vAlign w:val="center"/>
            <w:hideMark/>
          </w:tcPr>
          <w:p w14:paraId="4C23B8DC" w14:textId="77777777" w:rsidR="00416D67" w:rsidRPr="00416D67" w:rsidRDefault="00416D67" w:rsidP="00416D67">
            <w:pPr>
              <w:rPr>
                <w:color w:val="000000"/>
                <w:sz w:val="18"/>
                <w:szCs w:val="18"/>
              </w:rPr>
            </w:pPr>
            <w:r w:rsidRPr="00416D67">
              <w:rPr>
                <w:color w:val="000000"/>
                <w:sz w:val="18"/>
                <w:szCs w:val="18"/>
              </w:rPr>
              <w:t>A100013</w:t>
            </w:r>
          </w:p>
        </w:tc>
        <w:tc>
          <w:tcPr>
            <w:tcW w:w="3847" w:type="dxa"/>
            <w:tcBorders>
              <w:top w:val="nil"/>
              <w:left w:val="nil"/>
              <w:bottom w:val="single" w:sz="4" w:space="0" w:color="auto"/>
              <w:right w:val="single" w:sz="4" w:space="0" w:color="auto"/>
            </w:tcBorders>
            <w:vAlign w:val="center"/>
            <w:hideMark/>
          </w:tcPr>
          <w:p w14:paraId="1177BA8C" w14:textId="77777777" w:rsidR="00416D67" w:rsidRPr="00416D67" w:rsidRDefault="00416D67" w:rsidP="00416D67">
            <w:pPr>
              <w:rPr>
                <w:color w:val="000000"/>
                <w:sz w:val="18"/>
                <w:szCs w:val="18"/>
              </w:rPr>
            </w:pPr>
            <w:r w:rsidRPr="00416D67">
              <w:rPr>
                <w:color w:val="000000"/>
                <w:sz w:val="18"/>
                <w:szCs w:val="18"/>
              </w:rPr>
              <w:t>Sufinanciranje kamate kredita namijenjenog kupnji prve nekretnine na području Općine Marčana</w:t>
            </w:r>
          </w:p>
        </w:tc>
        <w:tc>
          <w:tcPr>
            <w:tcW w:w="953" w:type="dxa"/>
            <w:tcBorders>
              <w:top w:val="nil"/>
              <w:left w:val="nil"/>
              <w:bottom w:val="single" w:sz="4" w:space="0" w:color="auto"/>
              <w:right w:val="single" w:sz="4" w:space="0" w:color="auto"/>
            </w:tcBorders>
            <w:noWrap/>
            <w:vAlign w:val="center"/>
            <w:hideMark/>
          </w:tcPr>
          <w:p w14:paraId="393C528B" w14:textId="77777777" w:rsidR="00416D67" w:rsidRPr="00416D67" w:rsidRDefault="00416D67" w:rsidP="00416D67">
            <w:pPr>
              <w:jc w:val="right"/>
              <w:rPr>
                <w:color w:val="000000"/>
                <w:sz w:val="18"/>
                <w:szCs w:val="18"/>
              </w:rPr>
            </w:pPr>
            <w:r w:rsidRPr="00416D67">
              <w:rPr>
                <w:color w:val="000000"/>
                <w:sz w:val="18"/>
                <w:szCs w:val="18"/>
              </w:rPr>
              <w:t>0,00</w:t>
            </w:r>
          </w:p>
        </w:tc>
        <w:tc>
          <w:tcPr>
            <w:tcW w:w="983" w:type="dxa"/>
            <w:tcBorders>
              <w:top w:val="nil"/>
              <w:left w:val="nil"/>
              <w:bottom w:val="single" w:sz="4" w:space="0" w:color="auto"/>
              <w:right w:val="single" w:sz="4" w:space="0" w:color="auto"/>
            </w:tcBorders>
            <w:noWrap/>
            <w:vAlign w:val="center"/>
            <w:hideMark/>
          </w:tcPr>
          <w:p w14:paraId="5A37757D" w14:textId="77777777" w:rsidR="00416D67" w:rsidRPr="00416D67" w:rsidRDefault="00416D67" w:rsidP="00416D67">
            <w:pPr>
              <w:jc w:val="right"/>
              <w:rPr>
                <w:color w:val="000000"/>
                <w:sz w:val="18"/>
                <w:szCs w:val="18"/>
              </w:rPr>
            </w:pPr>
            <w:r w:rsidRPr="00416D67">
              <w:rPr>
                <w:color w:val="000000"/>
                <w:sz w:val="18"/>
                <w:szCs w:val="18"/>
              </w:rPr>
              <w:t>7.000,00</w:t>
            </w:r>
          </w:p>
        </w:tc>
        <w:tc>
          <w:tcPr>
            <w:tcW w:w="953" w:type="dxa"/>
            <w:tcBorders>
              <w:top w:val="nil"/>
              <w:left w:val="nil"/>
              <w:bottom w:val="single" w:sz="4" w:space="0" w:color="auto"/>
              <w:right w:val="single" w:sz="4" w:space="0" w:color="auto"/>
            </w:tcBorders>
            <w:noWrap/>
            <w:vAlign w:val="center"/>
            <w:hideMark/>
          </w:tcPr>
          <w:p w14:paraId="1CA311D5" w14:textId="77777777" w:rsidR="00416D67" w:rsidRPr="00416D67" w:rsidRDefault="00416D67" w:rsidP="00416D67">
            <w:pPr>
              <w:jc w:val="right"/>
              <w:rPr>
                <w:color w:val="000000"/>
                <w:sz w:val="18"/>
                <w:szCs w:val="18"/>
              </w:rPr>
            </w:pPr>
            <w:r w:rsidRPr="00416D67">
              <w:rPr>
                <w:color w:val="000000"/>
                <w:sz w:val="18"/>
                <w:szCs w:val="18"/>
              </w:rPr>
              <w:t>1.339,58</w:t>
            </w:r>
          </w:p>
        </w:tc>
        <w:tc>
          <w:tcPr>
            <w:tcW w:w="830" w:type="dxa"/>
            <w:tcBorders>
              <w:top w:val="nil"/>
              <w:left w:val="nil"/>
              <w:bottom w:val="single" w:sz="4" w:space="0" w:color="auto"/>
              <w:right w:val="single" w:sz="4" w:space="0" w:color="auto"/>
            </w:tcBorders>
            <w:noWrap/>
            <w:vAlign w:val="center"/>
            <w:hideMark/>
          </w:tcPr>
          <w:p w14:paraId="36EFCE8E" w14:textId="77777777" w:rsidR="00416D67" w:rsidRPr="00416D67" w:rsidRDefault="00416D67" w:rsidP="00416D67">
            <w:pPr>
              <w:jc w:val="right"/>
              <w:rPr>
                <w:color w:val="000000"/>
                <w:sz w:val="18"/>
                <w:szCs w:val="18"/>
              </w:rPr>
            </w:pPr>
            <w:r w:rsidRPr="00416D67">
              <w:rPr>
                <w:color w:val="000000"/>
                <w:sz w:val="18"/>
                <w:szCs w:val="18"/>
              </w:rPr>
              <w:t>0,00%</w:t>
            </w:r>
          </w:p>
        </w:tc>
        <w:tc>
          <w:tcPr>
            <w:tcW w:w="1123" w:type="dxa"/>
            <w:tcBorders>
              <w:top w:val="nil"/>
              <w:left w:val="nil"/>
              <w:bottom w:val="single" w:sz="4" w:space="0" w:color="auto"/>
              <w:right w:val="single" w:sz="4" w:space="0" w:color="auto"/>
            </w:tcBorders>
            <w:noWrap/>
            <w:vAlign w:val="center"/>
            <w:hideMark/>
          </w:tcPr>
          <w:p w14:paraId="28D3DD94" w14:textId="77777777" w:rsidR="00416D67" w:rsidRPr="00416D67" w:rsidRDefault="00416D67" w:rsidP="00416D67">
            <w:pPr>
              <w:jc w:val="right"/>
              <w:rPr>
                <w:color w:val="000000"/>
                <w:sz w:val="18"/>
                <w:szCs w:val="18"/>
              </w:rPr>
            </w:pPr>
            <w:r w:rsidRPr="00416D67">
              <w:rPr>
                <w:color w:val="000000"/>
                <w:sz w:val="18"/>
                <w:szCs w:val="18"/>
              </w:rPr>
              <w:t>19,14%</w:t>
            </w:r>
          </w:p>
        </w:tc>
      </w:tr>
      <w:tr w:rsidR="00416D67" w:rsidRPr="00416D67" w14:paraId="1663B39A" w14:textId="77777777" w:rsidTr="00BB1392">
        <w:trPr>
          <w:trHeight w:val="480"/>
        </w:trPr>
        <w:tc>
          <w:tcPr>
            <w:tcW w:w="824" w:type="dxa"/>
            <w:tcBorders>
              <w:top w:val="nil"/>
              <w:left w:val="single" w:sz="4" w:space="0" w:color="auto"/>
              <w:bottom w:val="single" w:sz="4" w:space="0" w:color="auto"/>
              <w:right w:val="single" w:sz="4" w:space="0" w:color="auto"/>
            </w:tcBorders>
            <w:noWrap/>
            <w:vAlign w:val="center"/>
            <w:hideMark/>
          </w:tcPr>
          <w:p w14:paraId="005B962E" w14:textId="77777777" w:rsidR="00416D67" w:rsidRPr="00416D67" w:rsidRDefault="00416D67" w:rsidP="00416D67">
            <w:pPr>
              <w:rPr>
                <w:color w:val="000000"/>
                <w:sz w:val="18"/>
                <w:szCs w:val="18"/>
              </w:rPr>
            </w:pPr>
            <w:r w:rsidRPr="00416D67">
              <w:rPr>
                <w:color w:val="000000"/>
                <w:sz w:val="18"/>
                <w:szCs w:val="18"/>
              </w:rPr>
              <w:t>A100014</w:t>
            </w:r>
          </w:p>
        </w:tc>
        <w:tc>
          <w:tcPr>
            <w:tcW w:w="3847" w:type="dxa"/>
            <w:tcBorders>
              <w:top w:val="nil"/>
              <w:left w:val="nil"/>
              <w:bottom w:val="single" w:sz="4" w:space="0" w:color="auto"/>
              <w:right w:val="single" w:sz="4" w:space="0" w:color="auto"/>
            </w:tcBorders>
            <w:vAlign w:val="center"/>
            <w:hideMark/>
          </w:tcPr>
          <w:p w14:paraId="549D22C6" w14:textId="77777777" w:rsidR="00416D67" w:rsidRPr="00416D67" w:rsidRDefault="00416D67" w:rsidP="00416D67">
            <w:pPr>
              <w:rPr>
                <w:color w:val="000000"/>
                <w:sz w:val="18"/>
                <w:szCs w:val="18"/>
              </w:rPr>
            </w:pPr>
            <w:r w:rsidRPr="00416D67">
              <w:rPr>
                <w:color w:val="000000"/>
                <w:sz w:val="18"/>
                <w:szCs w:val="18"/>
              </w:rPr>
              <w:t>Pomoć za nabavu udžbenika učenika srednjih škola</w:t>
            </w:r>
          </w:p>
        </w:tc>
        <w:tc>
          <w:tcPr>
            <w:tcW w:w="953" w:type="dxa"/>
            <w:tcBorders>
              <w:top w:val="nil"/>
              <w:left w:val="nil"/>
              <w:bottom w:val="single" w:sz="4" w:space="0" w:color="auto"/>
              <w:right w:val="single" w:sz="4" w:space="0" w:color="auto"/>
            </w:tcBorders>
            <w:noWrap/>
            <w:vAlign w:val="center"/>
            <w:hideMark/>
          </w:tcPr>
          <w:p w14:paraId="2B4BEB63" w14:textId="77777777" w:rsidR="00416D67" w:rsidRPr="00416D67" w:rsidRDefault="00416D67" w:rsidP="00416D67">
            <w:pPr>
              <w:jc w:val="right"/>
              <w:rPr>
                <w:color w:val="000000"/>
                <w:sz w:val="18"/>
                <w:szCs w:val="18"/>
              </w:rPr>
            </w:pPr>
            <w:r w:rsidRPr="00416D67">
              <w:rPr>
                <w:color w:val="000000"/>
                <w:sz w:val="18"/>
                <w:szCs w:val="18"/>
              </w:rPr>
              <w:t>2.441,49</w:t>
            </w:r>
          </w:p>
        </w:tc>
        <w:tc>
          <w:tcPr>
            <w:tcW w:w="983" w:type="dxa"/>
            <w:tcBorders>
              <w:top w:val="nil"/>
              <w:left w:val="nil"/>
              <w:bottom w:val="single" w:sz="4" w:space="0" w:color="auto"/>
              <w:right w:val="single" w:sz="4" w:space="0" w:color="auto"/>
            </w:tcBorders>
            <w:noWrap/>
            <w:vAlign w:val="center"/>
            <w:hideMark/>
          </w:tcPr>
          <w:p w14:paraId="1A91F495" w14:textId="77777777" w:rsidR="00416D67" w:rsidRPr="00416D67" w:rsidRDefault="00416D67" w:rsidP="00416D67">
            <w:pPr>
              <w:jc w:val="right"/>
              <w:rPr>
                <w:color w:val="000000"/>
                <w:sz w:val="18"/>
                <w:szCs w:val="18"/>
              </w:rPr>
            </w:pPr>
            <w:r w:rsidRPr="00416D67">
              <w:rPr>
                <w:color w:val="000000"/>
                <w:sz w:val="18"/>
                <w:szCs w:val="18"/>
              </w:rPr>
              <w:t>2.500,00</w:t>
            </w:r>
          </w:p>
        </w:tc>
        <w:tc>
          <w:tcPr>
            <w:tcW w:w="953" w:type="dxa"/>
            <w:tcBorders>
              <w:top w:val="nil"/>
              <w:left w:val="nil"/>
              <w:bottom w:val="single" w:sz="4" w:space="0" w:color="auto"/>
              <w:right w:val="single" w:sz="4" w:space="0" w:color="auto"/>
            </w:tcBorders>
            <w:noWrap/>
            <w:vAlign w:val="center"/>
            <w:hideMark/>
          </w:tcPr>
          <w:p w14:paraId="6C60B3C5" w14:textId="77777777" w:rsidR="00416D67" w:rsidRPr="00416D67" w:rsidRDefault="00416D67" w:rsidP="00416D67">
            <w:pPr>
              <w:jc w:val="right"/>
              <w:rPr>
                <w:color w:val="000000"/>
                <w:sz w:val="18"/>
                <w:szCs w:val="18"/>
              </w:rPr>
            </w:pPr>
            <w:r w:rsidRPr="00416D67">
              <w:rPr>
                <w:color w:val="000000"/>
                <w:sz w:val="18"/>
                <w:szCs w:val="18"/>
              </w:rPr>
              <w:t>2.036,59</w:t>
            </w:r>
          </w:p>
        </w:tc>
        <w:tc>
          <w:tcPr>
            <w:tcW w:w="830" w:type="dxa"/>
            <w:tcBorders>
              <w:top w:val="nil"/>
              <w:left w:val="nil"/>
              <w:bottom w:val="single" w:sz="4" w:space="0" w:color="auto"/>
              <w:right w:val="single" w:sz="4" w:space="0" w:color="auto"/>
            </w:tcBorders>
            <w:noWrap/>
            <w:vAlign w:val="center"/>
            <w:hideMark/>
          </w:tcPr>
          <w:p w14:paraId="54DD7CE2" w14:textId="77777777" w:rsidR="00416D67" w:rsidRPr="00416D67" w:rsidRDefault="00416D67" w:rsidP="00416D67">
            <w:pPr>
              <w:jc w:val="right"/>
              <w:rPr>
                <w:color w:val="000000"/>
                <w:sz w:val="18"/>
                <w:szCs w:val="18"/>
              </w:rPr>
            </w:pPr>
            <w:r w:rsidRPr="00416D67">
              <w:rPr>
                <w:color w:val="000000"/>
                <w:sz w:val="18"/>
                <w:szCs w:val="18"/>
              </w:rPr>
              <w:t>83,42%</w:t>
            </w:r>
          </w:p>
        </w:tc>
        <w:tc>
          <w:tcPr>
            <w:tcW w:w="1123" w:type="dxa"/>
            <w:tcBorders>
              <w:top w:val="nil"/>
              <w:left w:val="nil"/>
              <w:bottom w:val="single" w:sz="4" w:space="0" w:color="auto"/>
              <w:right w:val="single" w:sz="4" w:space="0" w:color="auto"/>
            </w:tcBorders>
            <w:noWrap/>
            <w:vAlign w:val="center"/>
            <w:hideMark/>
          </w:tcPr>
          <w:p w14:paraId="500CCEBB" w14:textId="77777777" w:rsidR="00416D67" w:rsidRPr="00416D67" w:rsidRDefault="00416D67" w:rsidP="00416D67">
            <w:pPr>
              <w:jc w:val="right"/>
              <w:rPr>
                <w:color w:val="000000"/>
                <w:sz w:val="18"/>
                <w:szCs w:val="18"/>
              </w:rPr>
            </w:pPr>
            <w:r w:rsidRPr="00416D67">
              <w:rPr>
                <w:color w:val="000000"/>
                <w:sz w:val="18"/>
                <w:szCs w:val="18"/>
              </w:rPr>
              <w:t>81,46%</w:t>
            </w:r>
          </w:p>
        </w:tc>
      </w:tr>
      <w:tr w:rsidR="00416D67" w:rsidRPr="00416D67" w14:paraId="7BB86792" w14:textId="77777777" w:rsidTr="00BB1392">
        <w:trPr>
          <w:trHeight w:val="561"/>
        </w:trPr>
        <w:tc>
          <w:tcPr>
            <w:tcW w:w="824" w:type="dxa"/>
            <w:tcBorders>
              <w:top w:val="nil"/>
              <w:left w:val="single" w:sz="4" w:space="0" w:color="auto"/>
              <w:bottom w:val="single" w:sz="4" w:space="0" w:color="auto"/>
              <w:right w:val="single" w:sz="4" w:space="0" w:color="auto"/>
            </w:tcBorders>
            <w:noWrap/>
            <w:vAlign w:val="center"/>
            <w:hideMark/>
          </w:tcPr>
          <w:p w14:paraId="09EDE25B" w14:textId="77777777" w:rsidR="00416D67" w:rsidRPr="00416D67" w:rsidRDefault="00416D67" w:rsidP="00416D67">
            <w:pPr>
              <w:rPr>
                <w:color w:val="000000"/>
                <w:sz w:val="18"/>
                <w:szCs w:val="18"/>
              </w:rPr>
            </w:pPr>
            <w:r w:rsidRPr="00416D67">
              <w:rPr>
                <w:color w:val="000000"/>
                <w:sz w:val="18"/>
                <w:szCs w:val="18"/>
              </w:rPr>
              <w:t>A100015</w:t>
            </w:r>
          </w:p>
        </w:tc>
        <w:tc>
          <w:tcPr>
            <w:tcW w:w="3847" w:type="dxa"/>
            <w:tcBorders>
              <w:top w:val="nil"/>
              <w:left w:val="nil"/>
              <w:bottom w:val="single" w:sz="4" w:space="0" w:color="auto"/>
              <w:right w:val="single" w:sz="4" w:space="0" w:color="auto"/>
            </w:tcBorders>
            <w:vAlign w:val="center"/>
            <w:hideMark/>
          </w:tcPr>
          <w:p w14:paraId="06117482" w14:textId="77777777" w:rsidR="00416D67" w:rsidRPr="00416D67" w:rsidRDefault="00416D67" w:rsidP="00416D67">
            <w:pPr>
              <w:rPr>
                <w:color w:val="000000"/>
                <w:sz w:val="18"/>
                <w:szCs w:val="18"/>
              </w:rPr>
            </w:pPr>
            <w:r w:rsidRPr="00416D67">
              <w:rPr>
                <w:color w:val="000000"/>
                <w:sz w:val="18"/>
                <w:szCs w:val="18"/>
              </w:rPr>
              <w:t xml:space="preserve">Tekuće pomoći Škola za odgoj i obrazovanje - </w:t>
            </w:r>
            <w:proofErr w:type="spellStart"/>
            <w:r w:rsidRPr="00416D67">
              <w:rPr>
                <w:color w:val="000000"/>
                <w:sz w:val="18"/>
                <w:szCs w:val="18"/>
              </w:rPr>
              <w:t>financ.pratitelja</w:t>
            </w:r>
            <w:proofErr w:type="spellEnd"/>
            <w:r w:rsidRPr="00416D67">
              <w:rPr>
                <w:color w:val="000000"/>
                <w:sz w:val="18"/>
                <w:szCs w:val="18"/>
              </w:rPr>
              <w:t xml:space="preserve"> u vozilu za učenike s </w:t>
            </w:r>
            <w:proofErr w:type="spellStart"/>
            <w:r w:rsidRPr="00416D67">
              <w:rPr>
                <w:color w:val="000000"/>
                <w:sz w:val="18"/>
                <w:szCs w:val="18"/>
              </w:rPr>
              <w:t>tešk.u</w:t>
            </w:r>
            <w:proofErr w:type="spellEnd"/>
            <w:r w:rsidRPr="00416D67">
              <w:rPr>
                <w:color w:val="000000"/>
                <w:sz w:val="18"/>
                <w:szCs w:val="18"/>
              </w:rPr>
              <w:t xml:space="preserve"> razvoju</w:t>
            </w:r>
          </w:p>
        </w:tc>
        <w:tc>
          <w:tcPr>
            <w:tcW w:w="953" w:type="dxa"/>
            <w:tcBorders>
              <w:top w:val="nil"/>
              <w:left w:val="nil"/>
              <w:bottom w:val="single" w:sz="4" w:space="0" w:color="auto"/>
              <w:right w:val="single" w:sz="4" w:space="0" w:color="auto"/>
            </w:tcBorders>
            <w:noWrap/>
            <w:vAlign w:val="center"/>
            <w:hideMark/>
          </w:tcPr>
          <w:p w14:paraId="66AF6296" w14:textId="77777777" w:rsidR="00416D67" w:rsidRPr="00416D67" w:rsidRDefault="00416D67" w:rsidP="00416D67">
            <w:pPr>
              <w:jc w:val="right"/>
              <w:rPr>
                <w:color w:val="000000"/>
                <w:sz w:val="18"/>
                <w:szCs w:val="18"/>
              </w:rPr>
            </w:pPr>
            <w:r w:rsidRPr="00416D67">
              <w:rPr>
                <w:color w:val="000000"/>
                <w:sz w:val="18"/>
                <w:szCs w:val="18"/>
              </w:rPr>
              <w:t>3.899,20</w:t>
            </w:r>
          </w:p>
        </w:tc>
        <w:tc>
          <w:tcPr>
            <w:tcW w:w="983" w:type="dxa"/>
            <w:tcBorders>
              <w:top w:val="nil"/>
              <w:left w:val="nil"/>
              <w:bottom w:val="single" w:sz="4" w:space="0" w:color="auto"/>
              <w:right w:val="single" w:sz="4" w:space="0" w:color="auto"/>
            </w:tcBorders>
            <w:noWrap/>
            <w:vAlign w:val="center"/>
            <w:hideMark/>
          </w:tcPr>
          <w:p w14:paraId="7165F9A5" w14:textId="77777777" w:rsidR="00416D67" w:rsidRPr="00416D67" w:rsidRDefault="00416D67" w:rsidP="00416D67">
            <w:pPr>
              <w:jc w:val="right"/>
              <w:rPr>
                <w:color w:val="000000"/>
                <w:sz w:val="18"/>
                <w:szCs w:val="18"/>
              </w:rPr>
            </w:pPr>
            <w:r w:rsidRPr="00416D67">
              <w:rPr>
                <w:color w:val="000000"/>
                <w:sz w:val="18"/>
                <w:szCs w:val="18"/>
              </w:rPr>
              <w:t>3.900,00</w:t>
            </w:r>
          </w:p>
        </w:tc>
        <w:tc>
          <w:tcPr>
            <w:tcW w:w="953" w:type="dxa"/>
            <w:tcBorders>
              <w:top w:val="nil"/>
              <w:left w:val="nil"/>
              <w:bottom w:val="single" w:sz="4" w:space="0" w:color="auto"/>
              <w:right w:val="single" w:sz="4" w:space="0" w:color="auto"/>
            </w:tcBorders>
            <w:noWrap/>
            <w:vAlign w:val="center"/>
            <w:hideMark/>
          </w:tcPr>
          <w:p w14:paraId="70271105" w14:textId="77777777" w:rsidR="00416D67" w:rsidRPr="00416D67" w:rsidRDefault="00416D67" w:rsidP="00416D67">
            <w:pPr>
              <w:jc w:val="right"/>
              <w:rPr>
                <w:color w:val="000000"/>
                <w:sz w:val="18"/>
                <w:szCs w:val="18"/>
              </w:rPr>
            </w:pPr>
            <w:r w:rsidRPr="00416D67">
              <w:rPr>
                <w:color w:val="000000"/>
                <w:sz w:val="18"/>
                <w:szCs w:val="18"/>
              </w:rPr>
              <w:t>3.899,20</w:t>
            </w:r>
          </w:p>
        </w:tc>
        <w:tc>
          <w:tcPr>
            <w:tcW w:w="830" w:type="dxa"/>
            <w:tcBorders>
              <w:top w:val="nil"/>
              <w:left w:val="nil"/>
              <w:bottom w:val="single" w:sz="4" w:space="0" w:color="auto"/>
              <w:right w:val="single" w:sz="4" w:space="0" w:color="auto"/>
            </w:tcBorders>
            <w:noWrap/>
            <w:vAlign w:val="center"/>
            <w:hideMark/>
          </w:tcPr>
          <w:p w14:paraId="25C4E42E" w14:textId="77777777" w:rsidR="00416D67" w:rsidRPr="00416D67" w:rsidRDefault="00416D67" w:rsidP="00416D67">
            <w:pPr>
              <w:jc w:val="right"/>
              <w:rPr>
                <w:color w:val="000000"/>
                <w:sz w:val="18"/>
                <w:szCs w:val="18"/>
              </w:rPr>
            </w:pPr>
            <w:r w:rsidRPr="00416D67">
              <w:rPr>
                <w:color w:val="000000"/>
                <w:sz w:val="18"/>
                <w:szCs w:val="18"/>
              </w:rPr>
              <w:t>100,00%</w:t>
            </w:r>
          </w:p>
        </w:tc>
        <w:tc>
          <w:tcPr>
            <w:tcW w:w="1123" w:type="dxa"/>
            <w:tcBorders>
              <w:top w:val="nil"/>
              <w:left w:val="nil"/>
              <w:bottom w:val="single" w:sz="4" w:space="0" w:color="auto"/>
              <w:right w:val="single" w:sz="4" w:space="0" w:color="auto"/>
            </w:tcBorders>
            <w:noWrap/>
            <w:vAlign w:val="center"/>
            <w:hideMark/>
          </w:tcPr>
          <w:p w14:paraId="0D7279D4" w14:textId="77777777" w:rsidR="00416D67" w:rsidRPr="00416D67" w:rsidRDefault="00416D67" w:rsidP="00416D67">
            <w:pPr>
              <w:jc w:val="right"/>
              <w:rPr>
                <w:color w:val="000000"/>
                <w:sz w:val="18"/>
                <w:szCs w:val="18"/>
              </w:rPr>
            </w:pPr>
            <w:r w:rsidRPr="00416D67">
              <w:rPr>
                <w:color w:val="000000"/>
                <w:sz w:val="18"/>
                <w:szCs w:val="18"/>
              </w:rPr>
              <w:t>99,98%</w:t>
            </w:r>
          </w:p>
        </w:tc>
      </w:tr>
      <w:tr w:rsidR="00416D67" w:rsidRPr="00416D67" w14:paraId="5FE71425" w14:textId="77777777" w:rsidTr="00BB1392">
        <w:trPr>
          <w:trHeight w:val="73"/>
        </w:trPr>
        <w:tc>
          <w:tcPr>
            <w:tcW w:w="824" w:type="dxa"/>
            <w:tcBorders>
              <w:top w:val="nil"/>
              <w:left w:val="single" w:sz="4" w:space="0" w:color="auto"/>
              <w:bottom w:val="single" w:sz="4" w:space="0" w:color="auto"/>
              <w:right w:val="single" w:sz="4" w:space="0" w:color="auto"/>
            </w:tcBorders>
            <w:noWrap/>
            <w:vAlign w:val="center"/>
            <w:hideMark/>
          </w:tcPr>
          <w:p w14:paraId="6C6A36A9" w14:textId="77777777" w:rsidR="00416D67" w:rsidRPr="00416D67" w:rsidRDefault="00416D67" w:rsidP="00416D67">
            <w:pPr>
              <w:rPr>
                <w:color w:val="000000"/>
                <w:sz w:val="18"/>
                <w:szCs w:val="18"/>
              </w:rPr>
            </w:pPr>
            <w:r w:rsidRPr="00416D67">
              <w:rPr>
                <w:color w:val="000000"/>
                <w:sz w:val="18"/>
                <w:szCs w:val="18"/>
              </w:rPr>
              <w:t>A200001</w:t>
            </w:r>
          </w:p>
        </w:tc>
        <w:tc>
          <w:tcPr>
            <w:tcW w:w="3847" w:type="dxa"/>
            <w:tcBorders>
              <w:top w:val="nil"/>
              <w:left w:val="nil"/>
              <w:bottom w:val="single" w:sz="4" w:space="0" w:color="auto"/>
              <w:right w:val="single" w:sz="4" w:space="0" w:color="auto"/>
            </w:tcBorders>
            <w:vAlign w:val="center"/>
            <w:hideMark/>
          </w:tcPr>
          <w:p w14:paraId="41BFDD84" w14:textId="77777777" w:rsidR="00416D67" w:rsidRPr="00416D67" w:rsidRDefault="00416D67" w:rsidP="00416D67">
            <w:pPr>
              <w:rPr>
                <w:color w:val="000000"/>
                <w:sz w:val="18"/>
                <w:szCs w:val="18"/>
              </w:rPr>
            </w:pPr>
            <w:r w:rsidRPr="00416D67">
              <w:rPr>
                <w:color w:val="000000"/>
                <w:sz w:val="18"/>
                <w:szCs w:val="18"/>
              </w:rPr>
              <w:t>Dnevni centar za rehabilitaciju Veruda</w:t>
            </w:r>
          </w:p>
        </w:tc>
        <w:tc>
          <w:tcPr>
            <w:tcW w:w="953" w:type="dxa"/>
            <w:tcBorders>
              <w:top w:val="nil"/>
              <w:left w:val="nil"/>
              <w:bottom w:val="single" w:sz="4" w:space="0" w:color="auto"/>
              <w:right w:val="single" w:sz="4" w:space="0" w:color="auto"/>
            </w:tcBorders>
            <w:noWrap/>
            <w:vAlign w:val="center"/>
            <w:hideMark/>
          </w:tcPr>
          <w:p w14:paraId="78A1EEFC" w14:textId="77777777" w:rsidR="00416D67" w:rsidRPr="00416D67" w:rsidRDefault="00416D67" w:rsidP="00416D67">
            <w:pPr>
              <w:jc w:val="right"/>
              <w:rPr>
                <w:color w:val="000000"/>
                <w:sz w:val="18"/>
                <w:szCs w:val="18"/>
              </w:rPr>
            </w:pPr>
            <w:r w:rsidRPr="00416D67">
              <w:rPr>
                <w:color w:val="000000"/>
                <w:sz w:val="18"/>
                <w:szCs w:val="18"/>
              </w:rPr>
              <w:t>1.327,00</w:t>
            </w:r>
          </w:p>
        </w:tc>
        <w:tc>
          <w:tcPr>
            <w:tcW w:w="983" w:type="dxa"/>
            <w:tcBorders>
              <w:top w:val="nil"/>
              <w:left w:val="nil"/>
              <w:bottom w:val="single" w:sz="4" w:space="0" w:color="auto"/>
              <w:right w:val="single" w:sz="4" w:space="0" w:color="auto"/>
            </w:tcBorders>
            <w:noWrap/>
            <w:vAlign w:val="center"/>
            <w:hideMark/>
          </w:tcPr>
          <w:p w14:paraId="775A382C" w14:textId="77777777" w:rsidR="00416D67" w:rsidRPr="00416D67" w:rsidRDefault="00416D67" w:rsidP="00416D67">
            <w:pPr>
              <w:jc w:val="right"/>
              <w:rPr>
                <w:color w:val="000000"/>
                <w:sz w:val="18"/>
                <w:szCs w:val="18"/>
              </w:rPr>
            </w:pPr>
            <w:r w:rsidRPr="00416D67">
              <w:rPr>
                <w:color w:val="000000"/>
                <w:sz w:val="18"/>
                <w:szCs w:val="18"/>
              </w:rPr>
              <w:t>5.000,00</w:t>
            </w:r>
          </w:p>
        </w:tc>
        <w:tc>
          <w:tcPr>
            <w:tcW w:w="953" w:type="dxa"/>
            <w:tcBorders>
              <w:top w:val="nil"/>
              <w:left w:val="nil"/>
              <w:bottom w:val="single" w:sz="4" w:space="0" w:color="auto"/>
              <w:right w:val="single" w:sz="4" w:space="0" w:color="auto"/>
            </w:tcBorders>
            <w:noWrap/>
            <w:vAlign w:val="center"/>
            <w:hideMark/>
          </w:tcPr>
          <w:p w14:paraId="5B29EF49" w14:textId="77777777" w:rsidR="00416D67" w:rsidRPr="00416D67" w:rsidRDefault="00416D67" w:rsidP="00416D67">
            <w:pPr>
              <w:jc w:val="right"/>
              <w:rPr>
                <w:color w:val="000000"/>
                <w:sz w:val="18"/>
                <w:szCs w:val="18"/>
              </w:rPr>
            </w:pPr>
            <w:r w:rsidRPr="00416D67">
              <w:rPr>
                <w:color w:val="000000"/>
                <w:sz w:val="18"/>
                <w:szCs w:val="18"/>
              </w:rPr>
              <w:t>0,00</w:t>
            </w:r>
          </w:p>
        </w:tc>
        <w:tc>
          <w:tcPr>
            <w:tcW w:w="830" w:type="dxa"/>
            <w:tcBorders>
              <w:top w:val="nil"/>
              <w:left w:val="nil"/>
              <w:bottom w:val="single" w:sz="4" w:space="0" w:color="auto"/>
              <w:right w:val="single" w:sz="4" w:space="0" w:color="auto"/>
            </w:tcBorders>
            <w:noWrap/>
            <w:vAlign w:val="center"/>
            <w:hideMark/>
          </w:tcPr>
          <w:p w14:paraId="72CDB4BC" w14:textId="77777777" w:rsidR="00416D67" w:rsidRPr="00416D67" w:rsidRDefault="00416D67" w:rsidP="00416D67">
            <w:pPr>
              <w:jc w:val="right"/>
              <w:rPr>
                <w:color w:val="000000"/>
                <w:sz w:val="18"/>
                <w:szCs w:val="18"/>
              </w:rPr>
            </w:pPr>
            <w:r w:rsidRPr="00416D67">
              <w:rPr>
                <w:color w:val="000000"/>
                <w:sz w:val="18"/>
                <w:szCs w:val="18"/>
              </w:rPr>
              <w:t>0,00%</w:t>
            </w:r>
          </w:p>
        </w:tc>
        <w:tc>
          <w:tcPr>
            <w:tcW w:w="1123" w:type="dxa"/>
            <w:tcBorders>
              <w:top w:val="nil"/>
              <w:left w:val="nil"/>
              <w:bottom w:val="single" w:sz="4" w:space="0" w:color="auto"/>
              <w:right w:val="single" w:sz="4" w:space="0" w:color="auto"/>
            </w:tcBorders>
            <w:noWrap/>
            <w:vAlign w:val="center"/>
            <w:hideMark/>
          </w:tcPr>
          <w:p w14:paraId="589B7BBE" w14:textId="77777777" w:rsidR="00416D67" w:rsidRPr="00416D67" w:rsidRDefault="00416D67" w:rsidP="00416D67">
            <w:pPr>
              <w:jc w:val="right"/>
              <w:rPr>
                <w:color w:val="000000"/>
                <w:sz w:val="18"/>
                <w:szCs w:val="18"/>
              </w:rPr>
            </w:pPr>
            <w:r w:rsidRPr="00416D67">
              <w:rPr>
                <w:color w:val="000000"/>
                <w:sz w:val="18"/>
                <w:szCs w:val="18"/>
              </w:rPr>
              <w:t>0,00%</w:t>
            </w:r>
          </w:p>
        </w:tc>
      </w:tr>
      <w:tr w:rsidR="00416D67" w:rsidRPr="00416D67" w14:paraId="49456F15" w14:textId="77777777" w:rsidTr="00BB1392">
        <w:trPr>
          <w:trHeight w:val="166"/>
        </w:trPr>
        <w:tc>
          <w:tcPr>
            <w:tcW w:w="824" w:type="dxa"/>
            <w:tcBorders>
              <w:top w:val="nil"/>
              <w:left w:val="single" w:sz="4" w:space="0" w:color="auto"/>
              <w:bottom w:val="single" w:sz="4" w:space="0" w:color="auto"/>
              <w:right w:val="single" w:sz="4" w:space="0" w:color="auto"/>
            </w:tcBorders>
            <w:noWrap/>
            <w:vAlign w:val="center"/>
            <w:hideMark/>
          </w:tcPr>
          <w:p w14:paraId="3EFCAD67" w14:textId="77777777" w:rsidR="00416D67" w:rsidRPr="00416D67" w:rsidRDefault="00416D67" w:rsidP="00416D67">
            <w:pPr>
              <w:rPr>
                <w:color w:val="000000"/>
                <w:sz w:val="18"/>
                <w:szCs w:val="18"/>
              </w:rPr>
            </w:pPr>
            <w:r w:rsidRPr="00416D67">
              <w:rPr>
                <w:color w:val="000000"/>
                <w:sz w:val="18"/>
                <w:szCs w:val="18"/>
              </w:rPr>
              <w:t>A200002</w:t>
            </w:r>
          </w:p>
        </w:tc>
        <w:tc>
          <w:tcPr>
            <w:tcW w:w="3847" w:type="dxa"/>
            <w:tcBorders>
              <w:top w:val="nil"/>
              <w:left w:val="nil"/>
              <w:bottom w:val="single" w:sz="4" w:space="0" w:color="auto"/>
              <w:right w:val="single" w:sz="4" w:space="0" w:color="auto"/>
            </w:tcBorders>
            <w:vAlign w:val="center"/>
            <w:hideMark/>
          </w:tcPr>
          <w:p w14:paraId="7E9519B6" w14:textId="77777777" w:rsidR="00416D67" w:rsidRPr="00416D67" w:rsidRDefault="00416D67" w:rsidP="00416D67">
            <w:pPr>
              <w:rPr>
                <w:color w:val="000000"/>
                <w:sz w:val="18"/>
                <w:szCs w:val="18"/>
              </w:rPr>
            </w:pPr>
            <w:r w:rsidRPr="00416D67">
              <w:rPr>
                <w:color w:val="000000"/>
                <w:sz w:val="18"/>
                <w:szCs w:val="18"/>
              </w:rPr>
              <w:t>Centar za rehabilitaciju Pula (</w:t>
            </w:r>
            <w:proofErr w:type="spellStart"/>
            <w:r w:rsidRPr="00416D67">
              <w:rPr>
                <w:color w:val="000000"/>
                <w:sz w:val="18"/>
                <w:szCs w:val="18"/>
              </w:rPr>
              <w:t>Santoriova</w:t>
            </w:r>
            <w:proofErr w:type="spellEnd"/>
            <w:r w:rsidRPr="00416D67">
              <w:rPr>
                <w:color w:val="000000"/>
                <w:sz w:val="18"/>
                <w:szCs w:val="18"/>
              </w:rPr>
              <w:t xml:space="preserve"> 11)</w:t>
            </w:r>
          </w:p>
        </w:tc>
        <w:tc>
          <w:tcPr>
            <w:tcW w:w="953" w:type="dxa"/>
            <w:tcBorders>
              <w:top w:val="nil"/>
              <w:left w:val="nil"/>
              <w:bottom w:val="single" w:sz="4" w:space="0" w:color="auto"/>
              <w:right w:val="single" w:sz="4" w:space="0" w:color="auto"/>
            </w:tcBorders>
            <w:noWrap/>
            <w:vAlign w:val="center"/>
            <w:hideMark/>
          </w:tcPr>
          <w:p w14:paraId="39085E64" w14:textId="77777777" w:rsidR="00416D67" w:rsidRPr="00416D67" w:rsidRDefault="00416D67" w:rsidP="00416D67">
            <w:pPr>
              <w:jc w:val="right"/>
              <w:rPr>
                <w:color w:val="000000"/>
                <w:sz w:val="18"/>
                <w:szCs w:val="18"/>
              </w:rPr>
            </w:pPr>
            <w:r w:rsidRPr="00416D67">
              <w:rPr>
                <w:color w:val="000000"/>
                <w:sz w:val="18"/>
                <w:szCs w:val="18"/>
              </w:rPr>
              <w:t>265,50</w:t>
            </w:r>
          </w:p>
        </w:tc>
        <w:tc>
          <w:tcPr>
            <w:tcW w:w="983" w:type="dxa"/>
            <w:tcBorders>
              <w:top w:val="nil"/>
              <w:left w:val="nil"/>
              <w:bottom w:val="single" w:sz="4" w:space="0" w:color="auto"/>
              <w:right w:val="single" w:sz="4" w:space="0" w:color="auto"/>
            </w:tcBorders>
            <w:noWrap/>
            <w:vAlign w:val="center"/>
            <w:hideMark/>
          </w:tcPr>
          <w:p w14:paraId="111A0529" w14:textId="77777777" w:rsidR="00416D67" w:rsidRPr="00416D67" w:rsidRDefault="00416D67" w:rsidP="00416D67">
            <w:pPr>
              <w:jc w:val="right"/>
              <w:rPr>
                <w:color w:val="000000"/>
                <w:sz w:val="18"/>
                <w:szCs w:val="18"/>
              </w:rPr>
            </w:pPr>
            <w:r w:rsidRPr="00416D67">
              <w:rPr>
                <w:color w:val="000000"/>
                <w:sz w:val="18"/>
                <w:szCs w:val="18"/>
              </w:rPr>
              <w:t>266,00</w:t>
            </w:r>
          </w:p>
        </w:tc>
        <w:tc>
          <w:tcPr>
            <w:tcW w:w="953" w:type="dxa"/>
            <w:tcBorders>
              <w:top w:val="nil"/>
              <w:left w:val="nil"/>
              <w:bottom w:val="single" w:sz="4" w:space="0" w:color="auto"/>
              <w:right w:val="single" w:sz="4" w:space="0" w:color="auto"/>
            </w:tcBorders>
            <w:noWrap/>
            <w:vAlign w:val="center"/>
            <w:hideMark/>
          </w:tcPr>
          <w:p w14:paraId="2E44BFC6" w14:textId="77777777" w:rsidR="00416D67" w:rsidRPr="00416D67" w:rsidRDefault="00416D67" w:rsidP="00416D67">
            <w:pPr>
              <w:jc w:val="right"/>
              <w:rPr>
                <w:color w:val="000000"/>
                <w:sz w:val="18"/>
                <w:szCs w:val="18"/>
              </w:rPr>
            </w:pPr>
            <w:r w:rsidRPr="00416D67">
              <w:rPr>
                <w:color w:val="000000"/>
                <w:sz w:val="18"/>
                <w:szCs w:val="18"/>
              </w:rPr>
              <w:t>0,00</w:t>
            </w:r>
          </w:p>
        </w:tc>
        <w:tc>
          <w:tcPr>
            <w:tcW w:w="830" w:type="dxa"/>
            <w:tcBorders>
              <w:top w:val="nil"/>
              <w:left w:val="nil"/>
              <w:bottom w:val="single" w:sz="4" w:space="0" w:color="auto"/>
              <w:right w:val="single" w:sz="4" w:space="0" w:color="auto"/>
            </w:tcBorders>
            <w:noWrap/>
            <w:vAlign w:val="center"/>
            <w:hideMark/>
          </w:tcPr>
          <w:p w14:paraId="1E7DEC84" w14:textId="77777777" w:rsidR="00416D67" w:rsidRPr="00416D67" w:rsidRDefault="00416D67" w:rsidP="00416D67">
            <w:pPr>
              <w:jc w:val="right"/>
              <w:rPr>
                <w:color w:val="000000"/>
                <w:sz w:val="18"/>
                <w:szCs w:val="18"/>
              </w:rPr>
            </w:pPr>
            <w:r w:rsidRPr="00416D67">
              <w:rPr>
                <w:color w:val="000000"/>
                <w:sz w:val="18"/>
                <w:szCs w:val="18"/>
              </w:rPr>
              <w:t>0,00%</w:t>
            </w:r>
          </w:p>
        </w:tc>
        <w:tc>
          <w:tcPr>
            <w:tcW w:w="1123" w:type="dxa"/>
            <w:tcBorders>
              <w:top w:val="nil"/>
              <w:left w:val="nil"/>
              <w:bottom w:val="single" w:sz="4" w:space="0" w:color="auto"/>
              <w:right w:val="single" w:sz="4" w:space="0" w:color="auto"/>
            </w:tcBorders>
            <w:noWrap/>
            <w:vAlign w:val="center"/>
            <w:hideMark/>
          </w:tcPr>
          <w:p w14:paraId="5FE758C5" w14:textId="77777777" w:rsidR="00416D67" w:rsidRPr="00416D67" w:rsidRDefault="00416D67" w:rsidP="00416D67">
            <w:pPr>
              <w:jc w:val="right"/>
              <w:rPr>
                <w:color w:val="000000"/>
                <w:sz w:val="18"/>
                <w:szCs w:val="18"/>
              </w:rPr>
            </w:pPr>
            <w:r w:rsidRPr="00416D67">
              <w:rPr>
                <w:color w:val="000000"/>
                <w:sz w:val="18"/>
                <w:szCs w:val="18"/>
              </w:rPr>
              <w:t>0,00%</w:t>
            </w:r>
          </w:p>
        </w:tc>
      </w:tr>
      <w:tr w:rsidR="00416D67" w:rsidRPr="00416D67" w14:paraId="15867526" w14:textId="77777777" w:rsidTr="00BB1392">
        <w:trPr>
          <w:trHeight w:val="480"/>
        </w:trPr>
        <w:tc>
          <w:tcPr>
            <w:tcW w:w="824" w:type="dxa"/>
            <w:tcBorders>
              <w:top w:val="nil"/>
              <w:left w:val="single" w:sz="4" w:space="0" w:color="auto"/>
              <w:bottom w:val="single" w:sz="4" w:space="0" w:color="auto"/>
              <w:right w:val="single" w:sz="4" w:space="0" w:color="auto"/>
            </w:tcBorders>
            <w:noWrap/>
            <w:vAlign w:val="center"/>
            <w:hideMark/>
          </w:tcPr>
          <w:p w14:paraId="07C35997" w14:textId="77777777" w:rsidR="00416D67" w:rsidRPr="00416D67" w:rsidRDefault="00416D67" w:rsidP="00416D67">
            <w:pPr>
              <w:rPr>
                <w:color w:val="000000"/>
                <w:sz w:val="18"/>
                <w:szCs w:val="18"/>
              </w:rPr>
            </w:pPr>
            <w:r w:rsidRPr="00416D67">
              <w:rPr>
                <w:color w:val="000000"/>
                <w:sz w:val="18"/>
                <w:szCs w:val="18"/>
              </w:rPr>
              <w:t>A200003</w:t>
            </w:r>
          </w:p>
        </w:tc>
        <w:tc>
          <w:tcPr>
            <w:tcW w:w="3847" w:type="dxa"/>
            <w:tcBorders>
              <w:top w:val="nil"/>
              <w:left w:val="nil"/>
              <w:bottom w:val="single" w:sz="4" w:space="0" w:color="auto"/>
              <w:right w:val="single" w:sz="4" w:space="0" w:color="auto"/>
            </w:tcBorders>
            <w:vAlign w:val="center"/>
            <w:hideMark/>
          </w:tcPr>
          <w:p w14:paraId="6C50AAFA" w14:textId="77777777" w:rsidR="00416D67" w:rsidRPr="00416D67" w:rsidRDefault="00416D67" w:rsidP="00416D67">
            <w:pPr>
              <w:rPr>
                <w:color w:val="000000"/>
                <w:sz w:val="18"/>
                <w:szCs w:val="18"/>
              </w:rPr>
            </w:pPr>
            <w:r w:rsidRPr="00416D67">
              <w:rPr>
                <w:color w:val="000000"/>
                <w:sz w:val="18"/>
                <w:szCs w:val="18"/>
              </w:rPr>
              <w:t>Dnevni centar za radnu terapiju i rehabilitaciju Pula (Gajeva 3)</w:t>
            </w:r>
          </w:p>
        </w:tc>
        <w:tc>
          <w:tcPr>
            <w:tcW w:w="953" w:type="dxa"/>
            <w:tcBorders>
              <w:top w:val="nil"/>
              <w:left w:val="nil"/>
              <w:bottom w:val="single" w:sz="4" w:space="0" w:color="auto"/>
              <w:right w:val="single" w:sz="4" w:space="0" w:color="auto"/>
            </w:tcBorders>
            <w:noWrap/>
            <w:vAlign w:val="center"/>
            <w:hideMark/>
          </w:tcPr>
          <w:p w14:paraId="6DBC30B4" w14:textId="77777777" w:rsidR="00416D67" w:rsidRPr="00416D67" w:rsidRDefault="00416D67" w:rsidP="00416D67">
            <w:pPr>
              <w:jc w:val="right"/>
              <w:rPr>
                <w:color w:val="000000"/>
                <w:sz w:val="18"/>
                <w:szCs w:val="18"/>
              </w:rPr>
            </w:pPr>
            <w:r w:rsidRPr="00416D67">
              <w:rPr>
                <w:color w:val="000000"/>
                <w:sz w:val="18"/>
                <w:szCs w:val="18"/>
              </w:rPr>
              <w:t>0,00</w:t>
            </w:r>
          </w:p>
        </w:tc>
        <w:tc>
          <w:tcPr>
            <w:tcW w:w="983" w:type="dxa"/>
            <w:tcBorders>
              <w:top w:val="nil"/>
              <w:left w:val="nil"/>
              <w:bottom w:val="single" w:sz="4" w:space="0" w:color="auto"/>
              <w:right w:val="single" w:sz="4" w:space="0" w:color="auto"/>
            </w:tcBorders>
            <w:noWrap/>
            <w:vAlign w:val="center"/>
            <w:hideMark/>
          </w:tcPr>
          <w:p w14:paraId="67A55B34" w14:textId="77777777" w:rsidR="00416D67" w:rsidRPr="00416D67" w:rsidRDefault="00416D67" w:rsidP="00416D67">
            <w:pPr>
              <w:jc w:val="right"/>
              <w:rPr>
                <w:color w:val="000000"/>
                <w:sz w:val="18"/>
                <w:szCs w:val="18"/>
              </w:rPr>
            </w:pPr>
            <w:r w:rsidRPr="00416D67">
              <w:rPr>
                <w:color w:val="000000"/>
                <w:sz w:val="18"/>
                <w:szCs w:val="18"/>
              </w:rPr>
              <w:t>266,00</w:t>
            </w:r>
          </w:p>
        </w:tc>
        <w:tc>
          <w:tcPr>
            <w:tcW w:w="953" w:type="dxa"/>
            <w:tcBorders>
              <w:top w:val="nil"/>
              <w:left w:val="nil"/>
              <w:bottom w:val="single" w:sz="4" w:space="0" w:color="auto"/>
              <w:right w:val="single" w:sz="4" w:space="0" w:color="auto"/>
            </w:tcBorders>
            <w:noWrap/>
            <w:vAlign w:val="center"/>
            <w:hideMark/>
          </w:tcPr>
          <w:p w14:paraId="4DA8D6CC" w14:textId="77777777" w:rsidR="00416D67" w:rsidRPr="00416D67" w:rsidRDefault="00416D67" w:rsidP="00416D67">
            <w:pPr>
              <w:jc w:val="right"/>
              <w:rPr>
                <w:color w:val="000000"/>
                <w:sz w:val="18"/>
                <w:szCs w:val="18"/>
              </w:rPr>
            </w:pPr>
            <w:r w:rsidRPr="00416D67">
              <w:rPr>
                <w:color w:val="000000"/>
                <w:sz w:val="18"/>
                <w:szCs w:val="18"/>
              </w:rPr>
              <w:t>0,00</w:t>
            </w:r>
          </w:p>
        </w:tc>
        <w:tc>
          <w:tcPr>
            <w:tcW w:w="830" w:type="dxa"/>
            <w:tcBorders>
              <w:top w:val="nil"/>
              <w:left w:val="nil"/>
              <w:bottom w:val="single" w:sz="4" w:space="0" w:color="auto"/>
              <w:right w:val="single" w:sz="4" w:space="0" w:color="auto"/>
            </w:tcBorders>
            <w:noWrap/>
            <w:vAlign w:val="center"/>
            <w:hideMark/>
          </w:tcPr>
          <w:p w14:paraId="61452214" w14:textId="77777777" w:rsidR="00416D67" w:rsidRPr="00416D67" w:rsidRDefault="00416D67" w:rsidP="00416D67">
            <w:pPr>
              <w:jc w:val="right"/>
              <w:rPr>
                <w:color w:val="000000"/>
                <w:sz w:val="18"/>
                <w:szCs w:val="18"/>
              </w:rPr>
            </w:pPr>
            <w:r w:rsidRPr="00416D67">
              <w:rPr>
                <w:color w:val="000000"/>
                <w:sz w:val="18"/>
                <w:szCs w:val="18"/>
              </w:rPr>
              <w:t>0,00%</w:t>
            </w:r>
          </w:p>
        </w:tc>
        <w:tc>
          <w:tcPr>
            <w:tcW w:w="1123" w:type="dxa"/>
            <w:tcBorders>
              <w:top w:val="nil"/>
              <w:left w:val="nil"/>
              <w:bottom w:val="single" w:sz="4" w:space="0" w:color="auto"/>
              <w:right w:val="single" w:sz="4" w:space="0" w:color="auto"/>
            </w:tcBorders>
            <w:noWrap/>
            <w:vAlign w:val="center"/>
            <w:hideMark/>
          </w:tcPr>
          <w:p w14:paraId="34394E88" w14:textId="77777777" w:rsidR="00416D67" w:rsidRPr="00416D67" w:rsidRDefault="00416D67" w:rsidP="00416D67">
            <w:pPr>
              <w:jc w:val="right"/>
              <w:rPr>
                <w:color w:val="000000"/>
                <w:sz w:val="18"/>
                <w:szCs w:val="18"/>
              </w:rPr>
            </w:pPr>
            <w:r w:rsidRPr="00416D67">
              <w:rPr>
                <w:color w:val="000000"/>
                <w:sz w:val="18"/>
                <w:szCs w:val="18"/>
              </w:rPr>
              <w:t>0,00%</w:t>
            </w:r>
          </w:p>
        </w:tc>
      </w:tr>
      <w:tr w:rsidR="00416D67" w:rsidRPr="00416D67" w14:paraId="720BA6EF" w14:textId="77777777" w:rsidTr="00BB1392">
        <w:trPr>
          <w:trHeight w:val="300"/>
        </w:trPr>
        <w:tc>
          <w:tcPr>
            <w:tcW w:w="824" w:type="dxa"/>
            <w:tcBorders>
              <w:top w:val="nil"/>
              <w:left w:val="single" w:sz="4" w:space="0" w:color="auto"/>
              <w:bottom w:val="single" w:sz="4" w:space="0" w:color="auto"/>
              <w:right w:val="single" w:sz="4" w:space="0" w:color="auto"/>
            </w:tcBorders>
            <w:noWrap/>
            <w:vAlign w:val="center"/>
            <w:hideMark/>
          </w:tcPr>
          <w:p w14:paraId="6249000E" w14:textId="77777777" w:rsidR="00416D67" w:rsidRPr="00416D67" w:rsidRDefault="00416D67" w:rsidP="00416D67">
            <w:pPr>
              <w:rPr>
                <w:color w:val="000000"/>
                <w:sz w:val="18"/>
                <w:szCs w:val="18"/>
              </w:rPr>
            </w:pPr>
            <w:r w:rsidRPr="00416D67">
              <w:rPr>
                <w:color w:val="000000"/>
                <w:sz w:val="18"/>
                <w:szCs w:val="18"/>
              </w:rPr>
              <w:t>A200004</w:t>
            </w:r>
          </w:p>
        </w:tc>
        <w:tc>
          <w:tcPr>
            <w:tcW w:w="3847" w:type="dxa"/>
            <w:tcBorders>
              <w:top w:val="nil"/>
              <w:left w:val="nil"/>
              <w:bottom w:val="single" w:sz="4" w:space="0" w:color="auto"/>
              <w:right w:val="single" w:sz="4" w:space="0" w:color="auto"/>
            </w:tcBorders>
            <w:vAlign w:val="center"/>
            <w:hideMark/>
          </w:tcPr>
          <w:p w14:paraId="2593FD58" w14:textId="77777777" w:rsidR="00416D67" w:rsidRPr="00416D67" w:rsidRDefault="00416D67" w:rsidP="00416D67">
            <w:pPr>
              <w:rPr>
                <w:color w:val="000000"/>
                <w:sz w:val="18"/>
                <w:szCs w:val="18"/>
              </w:rPr>
            </w:pPr>
            <w:r w:rsidRPr="00416D67">
              <w:rPr>
                <w:color w:val="000000"/>
                <w:sz w:val="18"/>
                <w:szCs w:val="18"/>
              </w:rPr>
              <w:t>Domovi za starije i nemoćne</w:t>
            </w:r>
          </w:p>
        </w:tc>
        <w:tc>
          <w:tcPr>
            <w:tcW w:w="953" w:type="dxa"/>
            <w:tcBorders>
              <w:top w:val="nil"/>
              <w:left w:val="nil"/>
              <w:bottom w:val="single" w:sz="4" w:space="0" w:color="auto"/>
              <w:right w:val="single" w:sz="4" w:space="0" w:color="auto"/>
            </w:tcBorders>
            <w:noWrap/>
            <w:vAlign w:val="center"/>
            <w:hideMark/>
          </w:tcPr>
          <w:p w14:paraId="396ACDCB" w14:textId="77777777" w:rsidR="00416D67" w:rsidRPr="00416D67" w:rsidRDefault="00416D67" w:rsidP="00416D67">
            <w:pPr>
              <w:jc w:val="right"/>
              <w:rPr>
                <w:color w:val="000000"/>
                <w:sz w:val="18"/>
                <w:szCs w:val="18"/>
              </w:rPr>
            </w:pPr>
            <w:r w:rsidRPr="00416D67">
              <w:rPr>
                <w:color w:val="000000"/>
                <w:sz w:val="18"/>
                <w:szCs w:val="18"/>
              </w:rPr>
              <w:t>266,00</w:t>
            </w:r>
          </w:p>
        </w:tc>
        <w:tc>
          <w:tcPr>
            <w:tcW w:w="983" w:type="dxa"/>
            <w:tcBorders>
              <w:top w:val="nil"/>
              <w:left w:val="nil"/>
              <w:bottom w:val="single" w:sz="4" w:space="0" w:color="auto"/>
              <w:right w:val="single" w:sz="4" w:space="0" w:color="auto"/>
            </w:tcBorders>
            <w:noWrap/>
            <w:vAlign w:val="center"/>
            <w:hideMark/>
          </w:tcPr>
          <w:p w14:paraId="5165C0C2" w14:textId="77777777" w:rsidR="00416D67" w:rsidRPr="00416D67" w:rsidRDefault="00416D67" w:rsidP="00416D67">
            <w:pPr>
              <w:jc w:val="right"/>
              <w:rPr>
                <w:color w:val="000000"/>
                <w:sz w:val="18"/>
                <w:szCs w:val="18"/>
              </w:rPr>
            </w:pPr>
            <w:r w:rsidRPr="00416D67">
              <w:rPr>
                <w:color w:val="000000"/>
                <w:sz w:val="18"/>
                <w:szCs w:val="18"/>
              </w:rPr>
              <w:t>530,00</w:t>
            </w:r>
          </w:p>
        </w:tc>
        <w:tc>
          <w:tcPr>
            <w:tcW w:w="953" w:type="dxa"/>
            <w:tcBorders>
              <w:top w:val="nil"/>
              <w:left w:val="nil"/>
              <w:bottom w:val="single" w:sz="4" w:space="0" w:color="auto"/>
              <w:right w:val="single" w:sz="4" w:space="0" w:color="auto"/>
            </w:tcBorders>
            <w:noWrap/>
            <w:vAlign w:val="center"/>
            <w:hideMark/>
          </w:tcPr>
          <w:p w14:paraId="47A0AE6A" w14:textId="77777777" w:rsidR="00416D67" w:rsidRPr="00416D67" w:rsidRDefault="00416D67" w:rsidP="00416D67">
            <w:pPr>
              <w:jc w:val="right"/>
              <w:rPr>
                <w:color w:val="000000"/>
                <w:sz w:val="18"/>
                <w:szCs w:val="18"/>
              </w:rPr>
            </w:pPr>
            <w:r w:rsidRPr="00416D67">
              <w:rPr>
                <w:color w:val="000000"/>
                <w:sz w:val="18"/>
                <w:szCs w:val="18"/>
              </w:rPr>
              <w:t>266,00</w:t>
            </w:r>
          </w:p>
        </w:tc>
        <w:tc>
          <w:tcPr>
            <w:tcW w:w="830" w:type="dxa"/>
            <w:tcBorders>
              <w:top w:val="nil"/>
              <w:left w:val="nil"/>
              <w:bottom w:val="single" w:sz="4" w:space="0" w:color="auto"/>
              <w:right w:val="single" w:sz="4" w:space="0" w:color="auto"/>
            </w:tcBorders>
            <w:noWrap/>
            <w:vAlign w:val="center"/>
            <w:hideMark/>
          </w:tcPr>
          <w:p w14:paraId="7A4FED79" w14:textId="77777777" w:rsidR="00416D67" w:rsidRPr="00416D67" w:rsidRDefault="00416D67" w:rsidP="00416D67">
            <w:pPr>
              <w:jc w:val="right"/>
              <w:rPr>
                <w:color w:val="000000"/>
                <w:sz w:val="18"/>
                <w:szCs w:val="18"/>
              </w:rPr>
            </w:pPr>
            <w:r w:rsidRPr="00416D67">
              <w:rPr>
                <w:color w:val="000000"/>
                <w:sz w:val="18"/>
                <w:szCs w:val="18"/>
              </w:rPr>
              <w:t>100,00%</w:t>
            </w:r>
          </w:p>
        </w:tc>
        <w:tc>
          <w:tcPr>
            <w:tcW w:w="1123" w:type="dxa"/>
            <w:tcBorders>
              <w:top w:val="nil"/>
              <w:left w:val="nil"/>
              <w:bottom w:val="single" w:sz="4" w:space="0" w:color="auto"/>
              <w:right w:val="single" w:sz="4" w:space="0" w:color="auto"/>
            </w:tcBorders>
            <w:noWrap/>
            <w:vAlign w:val="center"/>
            <w:hideMark/>
          </w:tcPr>
          <w:p w14:paraId="67563A68" w14:textId="77777777" w:rsidR="00416D67" w:rsidRPr="00416D67" w:rsidRDefault="00416D67" w:rsidP="00416D67">
            <w:pPr>
              <w:jc w:val="right"/>
              <w:rPr>
                <w:color w:val="000000"/>
                <w:sz w:val="18"/>
                <w:szCs w:val="18"/>
              </w:rPr>
            </w:pPr>
            <w:r w:rsidRPr="00416D67">
              <w:rPr>
                <w:color w:val="000000"/>
                <w:sz w:val="18"/>
                <w:szCs w:val="18"/>
              </w:rPr>
              <w:t>50,19%</w:t>
            </w:r>
          </w:p>
        </w:tc>
      </w:tr>
      <w:tr w:rsidR="00416D67" w:rsidRPr="00416D67" w14:paraId="12A378BE" w14:textId="77777777" w:rsidTr="00BB1392">
        <w:trPr>
          <w:trHeight w:val="387"/>
        </w:trPr>
        <w:tc>
          <w:tcPr>
            <w:tcW w:w="824" w:type="dxa"/>
            <w:tcBorders>
              <w:top w:val="nil"/>
              <w:left w:val="single" w:sz="4" w:space="0" w:color="auto"/>
              <w:bottom w:val="single" w:sz="4" w:space="0" w:color="auto"/>
              <w:right w:val="single" w:sz="4" w:space="0" w:color="auto"/>
            </w:tcBorders>
            <w:noWrap/>
            <w:vAlign w:val="center"/>
            <w:hideMark/>
          </w:tcPr>
          <w:p w14:paraId="44100208" w14:textId="77777777" w:rsidR="00416D67" w:rsidRPr="00416D67" w:rsidRDefault="00416D67" w:rsidP="00416D67">
            <w:pPr>
              <w:rPr>
                <w:color w:val="000000"/>
                <w:sz w:val="18"/>
                <w:szCs w:val="18"/>
              </w:rPr>
            </w:pPr>
            <w:r w:rsidRPr="00416D67">
              <w:rPr>
                <w:color w:val="000000"/>
                <w:sz w:val="18"/>
                <w:szCs w:val="18"/>
              </w:rPr>
              <w:t>A200006</w:t>
            </w:r>
          </w:p>
        </w:tc>
        <w:tc>
          <w:tcPr>
            <w:tcW w:w="3847" w:type="dxa"/>
            <w:tcBorders>
              <w:top w:val="nil"/>
              <w:left w:val="nil"/>
              <w:bottom w:val="single" w:sz="4" w:space="0" w:color="auto"/>
              <w:right w:val="single" w:sz="4" w:space="0" w:color="auto"/>
            </w:tcBorders>
            <w:vAlign w:val="center"/>
            <w:hideMark/>
          </w:tcPr>
          <w:p w14:paraId="352AB344" w14:textId="77777777" w:rsidR="00416D67" w:rsidRPr="00416D67" w:rsidRDefault="00416D67" w:rsidP="00416D67">
            <w:pPr>
              <w:rPr>
                <w:color w:val="000000"/>
                <w:sz w:val="18"/>
                <w:szCs w:val="18"/>
              </w:rPr>
            </w:pPr>
            <w:r w:rsidRPr="00416D67">
              <w:rPr>
                <w:color w:val="000000"/>
                <w:sz w:val="18"/>
                <w:szCs w:val="18"/>
              </w:rPr>
              <w:t>Društvo osoba s tjelesnim invaliditetom  - podružnica Marčana</w:t>
            </w:r>
          </w:p>
        </w:tc>
        <w:tc>
          <w:tcPr>
            <w:tcW w:w="953" w:type="dxa"/>
            <w:tcBorders>
              <w:top w:val="nil"/>
              <w:left w:val="nil"/>
              <w:bottom w:val="single" w:sz="4" w:space="0" w:color="auto"/>
              <w:right w:val="single" w:sz="4" w:space="0" w:color="auto"/>
            </w:tcBorders>
            <w:noWrap/>
            <w:vAlign w:val="center"/>
            <w:hideMark/>
          </w:tcPr>
          <w:p w14:paraId="422C00AF" w14:textId="77777777" w:rsidR="00416D67" w:rsidRPr="00416D67" w:rsidRDefault="00416D67" w:rsidP="00416D67">
            <w:pPr>
              <w:jc w:val="right"/>
              <w:rPr>
                <w:color w:val="000000"/>
                <w:sz w:val="18"/>
                <w:szCs w:val="18"/>
              </w:rPr>
            </w:pPr>
            <w:r w:rsidRPr="00416D67">
              <w:rPr>
                <w:color w:val="000000"/>
                <w:sz w:val="18"/>
                <w:szCs w:val="18"/>
              </w:rPr>
              <w:t>3.055,00</w:t>
            </w:r>
          </w:p>
        </w:tc>
        <w:tc>
          <w:tcPr>
            <w:tcW w:w="983" w:type="dxa"/>
            <w:tcBorders>
              <w:top w:val="nil"/>
              <w:left w:val="nil"/>
              <w:bottom w:val="single" w:sz="4" w:space="0" w:color="auto"/>
              <w:right w:val="single" w:sz="4" w:space="0" w:color="auto"/>
            </w:tcBorders>
            <w:noWrap/>
            <w:vAlign w:val="center"/>
            <w:hideMark/>
          </w:tcPr>
          <w:p w14:paraId="2D231045" w14:textId="77777777" w:rsidR="00416D67" w:rsidRPr="00416D67" w:rsidRDefault="00416D67" w:rsidP="00416D67">
            <w:pPr>
              <w:jc w:val="right"/>
              <w:rPr>
                <w:color w:val="000000"/>
                <w:sz w:val="18"/>
                <w:szCs w:val="18"/>
              </w:rPr>
            </w:pPr>
            <w:r w:rsidRPr="00416D67">
              <w:rPr>
                <w:color w:val="000000"/>
                <w:sz w:val="18"/>
                <w:szCs w:val="18"/>
              </w:rPr>
              <w:t>3.200,00</w:t>
            </w:r>
          </w:p>
        </w:tc>
        <w:tc>
          <w:tcPr>
            <w:tcW w:w="953" w:type="dxa"/>
            <w:tcBorders>
              <w:top w:val="nil"/>
              <w:left w:val="nil"/>
              <w:bottom w:val="single" w:sz="4" w:space="0" w:color="auto"/>
              <w:right w:val="single" w:sz="4" w:space="0" w:color="auto"/>
            </w:tcBorders>
            <w:noWrap/>
            <w:vAlign w:val="center"/>
            <w:hideMark/>
          </w:tcPr>
          <w:p w14:paraId="3533E09D" w14:textId="77777777" w:rsidR="00416D67" w:rsidRPr="00416D67" w:rsidRDefault="00416D67" w:rsidP="00416D67">
            <w:pPr>
              <w:jc w:val="right"/>
              <w:rPr>
                <w:color w:val="000000"/>
                <w:sz w:val="18"/>
                <w:szCs w:val="18"/>
              </w:rPr>
            </w:pPr>
            <w:r w:rsidRPr="00416D67">
              <w:rPr>
                <w:color w:val="000000"/>
                <w:sz w:val="18"/>
                <w:szCs w:val="18"/>
              </w:rPr>
              <w:t>3.193,00</w:t>
            </w:r>
          </w:p>
        </w:tc>
        <w:tc>
          <w:tcPr>
            <w:tcW w:w="830" w:type="dxa"/>
            <w:tcBorders>
              <w:top w:val="nil"/>
              <w:left w:val="nil"/>
              <w:bottom w:val="single" w:sz="4" w:space="0" w:color="auto"/>
              <w:right w:val="single" w:sz="4" w:space="0" w:color="auto"/>
            </w:tcBorders>
            <w:noWrap/>
            <w:vAlign w:val="center"/>
            <w:hideMark/>
          </w:tcPr>
          <w:p w14:paraId="223CADB2" w14:textId="77777777" w:rsidR="00416D67" w:rsidRPr="00416D67" w:rsidRDefault="00416D67" w:rsidP="00416D67">
            <w:pPr>
              <w:jc w:val="right"/>
              <w:rPr>
                <w:color w:val="000000"/>
                <w:sz w:val="18"/>
                <w:szCs w:val="18"/>
              </w:rPr>
            </w:pPr>
            <w:r w:rsidRPr="00416D67">
              <w:rPr>
                <w:color w:val="000000"/>
                <w:sz w:val="18"/>
                <w:szCs w:val="18"/>
              </w:rPr>
              <w:t>104,52%</w:t>
            </w:r>
          </w:p>
        </w:tc>
        <w:tc>
          <w:tcPr>
            <w:tcW w:w="1123" w:type="dxa"/>
            <w:tcBorders>
              <w:top w:val="nil"/>
              <w:left w:val="nil"/>
              <w:bottom w:val="single" w:sz="4" w:space="0" w:color="auto"/>
              <w:right w:val="single" w:sz="4" w:space="0" w:color="auto"/>
            </w:tcBorders>
            <w:noWrap/>
            <w:vAlign w:val="center"/>
            <w:hideMark/>
          </w:tcPr>
          <w:p w14:paraId="0CE04428" w14:textId="77777777" w:rsidR="00416D67" w:rsidRPr="00416D67" w:rsidRDefault="00416D67" w:rsidP="00416D67">
            <w:pPr>
              <w:jc w:val="right"/>
              <w:rPr>
                <w:color w:val="000000"/>
                <w:sz w:val="18"/>
                <w:szCs w:val="18"/>
              </w:rPr>
            </w:pPr>
            <w:r w:rsidRPr="00416D67">
              <w:rPr>
                <w:color w:val="000000"/>
                <w:sz w:val="18"/>
                <w:szCs w:val="18"/>
              </w:rPr>
              <w:t>99,78%</w:t>
            </w:r>
          </w:p>
        </w:tc>
      </w:tr>
      <w:tr w:rsidR="00416D67" w:rsidRPr="00416D67" w14:paraId="1396DC58" w14:textId="77777777" w:rsidTr="00BB1392">
        <w:trPr>
          <w:trHeight w:val="297"/>
        </w:trPr>
        <w:tc>
          <w:tcPr>
            <w:tcW w:w="824" w:type="dxa"/>
            <w:tcBorders>
              <w:top w:val="nil"/>
              <w:left w:val="single" w:sz="4" w:space="0" w:color="auto"/>
              <w:bottom w:val="single" w:sz="4" w:space="0" w:color="auto"/>
              <w:right w:val="single" w:sz="4" w:space="0" w:color="auto"/>
            </w:tcBorders>
            <w:noWrap/>
            <w:vAlign w:val="center"/>
            <w:hideMark/>
          </w:tcPr>
          <w:p w14:paraId="245BCC12" w14:textId="77777777" w:rsidR="00416D67" w:rsidRPr="00416D67" w:rsidRDefault="00416D67" w:rsidP="00416D67">
            <w:pPr>
              <w:rPr>
                <w:color w:val="000000"/>
                <w:sz w:val="18"/>
                <w:szCs w:val="18"/>
              </w:rPr>
            </w:pPr>
            <w:r w:rsidRPr="00416D67">
              <w:rPr>
                <w:color w:val="000000"/>
                <w:sz w:val="18"/>
                <w:szCs w:val="18"/>
              </w:rPr>
              <w:t>A200007</w:t>
            </w:r>
          </w:p>
        </w:tc>
        <w:tc>
          <w:tcPr>
            <w:tcW w:w="3847" w:type="dxa"/>
            <w:tcBorders>
              <w:top w:val="nil"/>
              <w:left w:val="nil"/>
              <w:bottom w:val="single" w:sz="4" w:space="0" w:color="auto"/>
              <w:right w:val="single" w:sz="4" w:space="0" w:color="auto"/>
            </w:tcBorders>
            <w:vAlign w:val="center"/>
            <w:hideMark/>
          </w:tcPr>
          <w:p w14:paraId="70B0871B" w14:textId="77777777" w:rsidR="00416D67" w:rsidRPr="00416D67" w:rsidRDefault="00416D67" w:rsidP="00416D67">
            <w:pPr>
              <w:rPr>
                <w:color w:val="000000"/>
                <w:sz w:val="18"/>
                <w:szCs w:val="18"/>
              </w:rPr>
            </w:pPr>
            <w:r w:rsidRPr="00416D67">
              <w:rPr>
                <w:color w:val="000000"/>
                <w:sz w:val="18"/>
                <w:szCs w:val="18"/>
              </w:rPr>
              <w:t xml:space="preserve">Crveni križ -GD Pula - Pomoć u kući na </w:t>
            </w:r>
            <w:proofErr w:type="spellStart"/>
            <w:r w:rsidRPr="00416D67">
              <w:rPr>
                <w:color w:val="000000"/>
                <w:sz w:val="18"/>
                <w:szCs w:val="18"/>
              </w:rPr>
              <w:t>Puljštini</w:t>
            </w:r>
            <w:proofErr w:type="spellEnd"/>
          </w:p>
        </w:tc>
        <w:tc>
          <w:tcPr>
            <w:tcW w:w="953" w:type="dxa"/>
            <w:tcBorders>
              <w:top w:val="nil"/>
              <w:left w:val="nil"/>
              <w:bottom w:val="single" w:sz="4" w:space="0" w:color="auto"/>
              <w:right w:val="single" w:sz="4" w:space="0" w:color="auto"/>
            </w:tcBorders>
            <w:noWrap/>
            <w:vAlign w:val="center"/>
            <w:hideMark/>
          </w:tcPr>
          <w:p w14:paraId="3F3C1C55" w14:textId="77777777" w:rsidR="00416D67" w:rsidRPr="00416D67" w:rsidRDefault="00416D67" w:rsidP="00416D67">
            <w:pPr>
              <w:jc w:val="right"/>
              <w:rPr>
                <w:color w:val="000000"/>
                <w:sz w:val="18"/>
                <w:szCs w:val="18"/>
              </w:rPr>
            </w:pPr>
            <w:r w:rsidRPr="00416D67">
              <w:rPr>
                <w:color w:val="000000"/>
                <w:sz w:val="18"/>
                <w:szCs w:val="18"/>
              </w:rPr>
              <w:t>12.341,97</w:t>
            </w:r>
          </w:p>
        </w:tc>
        <w:tc>
          <w:tcPr>
            <w:tcW w:w="983" w:type="dxa"/>
            <w:tcBorders>
              <w:top w:val="nil"/>
              <w:left w:val="nil"/>
              <w:bottom w:val="single" w:sz="4" w:space="0" w:color="auto"/>
              <w:right w:val="single" w:sz="4" w:space="0" w:color="auto"/>
            </w:tcBorders>
            <w:noWrap/>
            <w:vAlign w:val="center"/>
            <w:hideMark/>
          </w:tcPr>
          <w:p w14:paraId="0017B6BC" w14:textId="77777777" w:rsidR="00416D67" w:rsidRPr="00416D67" w:rsidRDefault="00416D67" w:rsidP="00416D67">
            <w:pPr>
              <w:jc w:val="right"/>
              <w:rPr>
                <w:color w:val="000000"/>
                <w:sz w:val="18"/>
                <w:szCs w:val="18"/>
              </w:rPr>
            </w:pPr>
            <w:r w:rsidRPr="00416D67">
              <w:rPr>
                <w:color w:val="000000"/>
                <w:sz w:val="18"/>
                <w:szCs w:val="18"/>
              </w:rPr>
              <w:t>17.300,00</w:t>
            </w:r>
          </w:p>
        </w:tc>
        <w:tc>
          <w:tcPr>
            <w:tcW w:w="953" w:type="dxa"/>
            <w:tcBorders>
              <w:top w:val="nil"/>
              <w:left w:val="nil"/>
              <w:bottom w:val="single" w:sz="4" w:space="0" w:color="auto"/>
              <w:right w:val="single" w:sz="4" w:space="0" w:color="auto"/>
            </w:tcBorders>
            <w:noWrap/>
            <w:vAlign w:val="center"/>
            <w:hideMark/>
          </w:tcPr>
          <w:p w14:paraId="28C9F336" w14:textId="77777777" w:rsidR="00416D67" w:rsidRPr="00416D67" w:rsidRDefault="00416D67" w:rsidP="00416D67">
            <w:pPr>
              <w:jc w:val="right"/>
              <w:rPr>
                <w:color w:val="000000"/>
                <w:sz w:val="18"/>
                <w:szCs w:val="18"/>
              </w:rPr>
            </w:pPr>
            <w:r w:rsidRPr="00416D67">
              <w:rPr>
                <w:color w:val="000000"/>
                <w:sz w:val="18"/>
                <w:szCs w:val="18"/>
              </w:rPr>
              <w:t>16.828,54</w:t>
            </w:r>
          </w:p>
        </w:tc>
        <w:tc>
          <w:tcPr>
            <w:tcW w:w="830" w:type="dxa"/>
            <w:tcBorders>
              <w:top w:val="nil"/>
              <w:left w:val="nil"/>
              <w:bottom w:val="single" w:sz="4" w:space="0" w:color="auto"/>
              <w:right w:val="single" w:sz="4" w:space="0" w:color="auto"/>
            </w:tcBorders>
            <w:noWrap/>
            <w:vAlign w:val="center"/>
            <w:hideMark/>
          </w:tcPr>
          <w:p w14:paraId="668418D6" w14:textId="77777777" w:rsidR="00416D67" w:rsidRPr="00416D67" w:rsidRDefault="00416D67" w:rsidP="00416D67">
            <w:pPr>
              <w:jc w:val="right"/>
              <w:rPr>
                <w:color w:val="000000"/>
                <w:sz w:val="18"/>
                <w:szCs w:val="18"/>
              </w:rPr>
            </w:pPr>
            <w:r w:rsidRPr="00416D67">
              <w:rPr>
                <w:color w:val="000000"/>
                <w:sz w:val="18"/>
                <w:szCs w:val="18"/>
              </w:rPr>
              <w:t>136,35%</w:t>
            </w:r>
          </w:p>
        </w:tc>
        <w:tc>
          <w:tcPr>
            <w:tcW w:w="1123" w:type="dxa"/>
            <w:tcBorders>
              <w:top w:val="nil"/>
              <w:left w:val="nil"/>
              <w:bottom w:val="single" w:sz="4" w:space="0" w:color="auto"/>
              <w:right w:val="single" w:sz="4" w:space="0" w:color="auto"/>
            </w:tcBorders>
            <w:noWrap/>
            <w:vAlign w:val="center"/>
            <w:hideMark/>
          </w:tcPr>
          <w:p w14:paraId="74B9B663" w14:textId="77777777" w:rsidR="00416D67" w:rsidRPr="00416D67" w:rsidRDefault="00416D67" w:rsidP="00416D67">
            <w:pPr>
              <w:jc w:val="right"/>
              <w:rPr>
                <w:color w:val="000000"/>
                <w:sz w:val="18"/>
                <w:szCs w:val="18"/>
              </w:rPr>
            </w:pPr>
            <w:r w:rsidRPr="00416D67">
              <w:rPr>
                <w:color w:val="000000"/>
                <w:sz w:val="18"/>
                <w:szCs w:val="18"/>
              </w:rPr>
              <w:t>97,27%</w:t>
            </w:r>
          </w:p>
        </w:tc>
      </w:tr>
      <w:tr w:rsidR="00416D67" w:rsidRPr="00416D67" w14:paraId="3D9BD4AE" w14:textId="77777777" w:rsidTr="00BB1392">
        <w:trPr>
          <w:trHeight w:val="480"/>
        </w:trPr>
        <w:tc>
          <w:tcPr>
            <w:tcW w:w="824" w:type="dxa"/>
            <w:tcBorders>
              <w:top w:val="nil"/>
              <w:left w:val="single" w:sz="4" w:space="0" w:color="auto"/>
              <w:bottom w:val="single" w:sz="4" w:space="0" w:color="auto"/>
              <w:right w:val="single" w:sz="4" w:space="0" w:color="auto"/>
            </w:tcBorders>
            <w:noWrap/>
            <w:vAlign w:val="center"/>
            <w:hideMark/>
          </w:tcPr>
          <w:p w14:paraId="1D8FD07F" w14:textId="77777777" w:rsidR="00416D67" w:rsidRPr="00416D67" w:rsidRDefault="00416D67" w:rsidP="00416D67">
            <w:pPr>
              <w:rPr>
                <w:color w:val="000000"/>
                <w:sz w:val="18"/>
                <w:szCs w:val="18"/>
              </w:rPr>
            </w:pPr>
            <w:r w:rsidRPr="00416D67">
              <w:rPr>
                <w:color w:val="000000"/>
                <w:sz w:val="18"/>
                <w:szCs w:val="18"/>
              </w:rPr>
              <w:t>A200008</w:t>
            </w:r>
          </w:p>
        </w:tc>
        <w:tc>
          <w:tcPr>
            <w:tcW w:w="3847" w:type="dxa"/>
            <w:tcBorders>
              <w:top w:val="nil"/>
              <w:left w:val="nil"/>
              <w:bottom w:val="single" w:sz="4" w:space="0" w:color="auto"/>
              <w:right w:val="single" w:sz="4" w:space="0" w:color="auto"/>
            </w:tcBorders>
            <w:vAlign w:val="center"/>
            <w:hideMark/>
          </w:tcPr>
          <w:p w14:paraId="313E5847" w14:textId="77777777" w:rsidR="00416D67" w:rsidRPr="00416D67" w:rsidRDefault="00416D67" w:rsidP="00416D67">
            <w:pPr>
              <w:rPr>
                <w:color w:val="000000"/>
                <w:sz w:val="18"/>
                <w:szCs w:val="18"/>
              </w:rPr>
            </w:pPr>
            <w:r w:rsidRPr="00416D67">
              <w:rPr>
                <w:color w:val="000000"/>
                <w:sz w:val="18"/>
                <w:szCs w:val="18"/>
              </w:rPr>
              <w:t>Centar podrške 521 u okviru ITU aglomeracije Pula</w:t>
            </w:r>
          </w:p>
        </w:tc>
        <w:tc>
          <w:tcPr>
            <w:tcW w:w="953" w:type="dxa"/>
            <w:tcBorders>
              <w:top w:val="nil"/>
              <w:left w:val="nil"/>
              <w:bottom w:val="single" w:sz="4" w:space="0" w:color="auto"/>
              <w:right w:val="single" w:sz="4" w:space="0" w:color="auto"/>
            </w:tcBorders>
            <w:noWrap/>
            <w:vAlign w:val="center"/>
            <w:hideMark/>
          </w:tcPr>
          <w:p w14:paraId="3FCD61DA" w14:textId="77777777" w:rsidR="00416D67" w:rsidRPr="00416D67" w:rsidRDefault="00416D67" w:rsidP="00416D67">
            <w:pPr>
              <w:jc w:val="right"/>
              <w:rPr>
                <w:color w:val="000000"/>
                <w:sz w:val="18"/>
                <w:szCs w:val="18"/>
              </w:rPr>
            </w:pPr>
            <w:r w:rsidRPr="00416D67">
              <w:rPr>
                <w:color w:val="000000"/>
                <w:sz w:val="18"/>
                <w:szCs w:val="18"/>
              </w:rPr>
              <w:t>3.200,00</w:t>
            </w:r>
          </w:p>
        </w:tc>
        <w:tc>
          <w:tcPr>
            <w:tcW w:w="983" w:type="dxa"/>
            <w:tcBorders>
              <w:top w:val="nil"/>
              <w:left w:val="nil"/>
              <w:bottom w:val="single" w:sz="4" w:space="0" w:color="auto"/>
              <w:right w:val="single" w:sz="4" w:space="0" w:color="auto"/>
            </w:tcBorders>
            <w:noWrap/>
            <w:vAlign w:val="center"/>
            <w:hideMark/>
          </w:tcPr>
          <w:p w14:paraId="452FBBAA" w14:textId="77777777" w:rsidR="00416D67" w:rsidRPr="00416D67" w:rsidRDefault="00416D67" w:rsidP="00416D67">
            <w:pPr>
              <w:jc w:val="right"/>
              <w:rPr>
                <w:color w:val="000000"/>
                <w:sz w:val="18"/>
                <w:szCs w:val="18"/>
              </w:rPr>
            </w:pPr>
            <w:r w:rsidRPr="00416D67">
              <w:rPr>
                <w:color w:val="000000"/>
                <w:sz w:val="18"/>
                <w:szCs w:val="18"/>
              </w:rPr>
              <w:t>3.200,00</w:t>
            </w:r>
          </w:p>
        </w:tc>
        <w:tc>
          <w:tcPr>
            <w:tcW w:w="953" w:type="dxa"/>
            <w:tcBorders>
              <w:top w:val="nil"/>
              <w:left w:val="nil"/>
              <w:bottom w:val="single" w:sz="4" w:space="0" w:color="auto"/>
              <w:right w:val="single" w:sz="4" w:space="0" w:color="auto"/>
            </w:tcBorders>
            <w:noWrap/>
            <w:vAlign w:val="center"/>
            <w:hideMark/>
          </w:tcPr>
          <w:p w14:paraId="533F4FEF" w14:textId="77777777" w:rsidR="00416D67" w:rsidRPr="00416D67" w:rsidRDefault="00416D67" w:rsidP="00416D67">
            <w:pPr>
              <w:jc w:val="right"/>
              <w:rPr>
                <w:color w:val="000000"/>
                <w:sz w:val="18"/>
                <w:szCs w:val="18"/>
              </w:rPr>
            </w:pPr>
            <w:r w:rsidRPr="00416D67">
              <w:rPr>
                <w:color w:val="000000"/>
                <w:sz w:val="18"/>
                <w:szCs w:val="18"/>
              </w:rPr>
              <w:t>3.200,00</w:t>
            </w:r>
          </w:p>
        </w:tc>
        <w:tc>
          <w:tcPr>
            <w:tcW w:w="830" w:type="dxa"/>
            <w:tcBorders>
              <w:top w:val="nil"/>
              <w:left w:val="nil"/>
              <w:bottom w:val="single" w:sz="4" w:space="0" w:color="auto"/>
              <w:right w:val="single" w:sz="4" w:space="0" w:color="auto"/>
            </w:tcBorders>
            <w:noWrap/>
            <w:vAlign w:val="center"/>
            <w:hideMark/>
          </w:tcPr>
          <w:p w14:paraId="3EEA623C" w14:textId="77777777" w:rsidR="00416D67" w:rsidRPr="00416D67" w:rsidRDefault="00416D67" w:rsidP="00416D67">
            <w:pPr>
              <w:jc w:val="right"/>
              <w:rPr>
                <w:color w:val="000000"/>
                <w:sz w:val="18"/>
                <w:szCs w:val="18"/>
              </w:rPr>
            </w:pPr>
            <w:r w:rsidRPr="00416D67">
              <w:rPr>
                <w:color w:val="000000"/>
                <w:sz w:val="18"/>
                <w:szCs w:val="18"/>
              </w:rPr>
              <w:t>100,00%</w:t>
            </w:r>
          </w:p>
        </w:tc>
        <w:tc>
          <w:tcPr>
            <w:tcW w:w="1123" w:type="dxa"/>
            <w:tcBorders>
              <w:top w:val="nil"/>
              <w:left w:val="nil"/>
              <w:bottom w:val="single" w:sz="4" w:space="0" w:color="auto"/>
              <w:right w:val="single" w:sz="4" w:space="0" w:color="auto"/>
            </w:tcBorders>
            <w:noWrap/>
            <w:vAlign w:val="center"/>
            <w:hideMark/>
          </w:tcPr>
          <w:p w14:paraId="40C76C8B" w14:textId="77777777" w:rsidR="00416D67" w:rsidRPr="00416D67" w:rsidRDefault="00416D67" w:rsidP="00416D67">
            <w:pPr>
              <w:jc w:val="right"/>
              <w:rPr>
                <w:color w:val="000000"/>
                <w:sz w:val="18"/>
                <w:szCs w:val="18"/>
              </w:rPr>
            </w:pPr>
            <w:r w:rsidRPr="00416D67">
              <w:rPr>
                <w:color w:val="000000"/>
                <w:sz w:val="18"/>
                <w:szCs w:val="18"/>
              </w:rPr>
              <w:t>100,00%</w:t>
            </w:r>
          </w:p>
        </w:tc>
      </w:tr>
      <w:tr w:rsidR="00416D67" w:rsidRPr="00416D67" w14:paraId="1BD848F1" w14:textId="77777777" w:rsidTr="00BB1392">
        <w:trPr>
          <w:trHeight w:val="480"/>
        </w:trPr>
        <w:tc>
          <w:tcPr>
            <w:tcW w:w="824" w:type="dxa"/>
            <w:tcBorders>
              <w:top w:val="nil"/>
              <w:left w:val="single" w:sz="4" w:space="0" w:color="auto"/>
              <w:bottom w:val="single" w:sz="4" w:space="0" w:color="auto"/>
              <w:right w:val="single" w:sz="4" w:space="0" w:color="auto"/>
            </w:tcBorders>
            <w:noWrap/>
            <w:vAlign w:val="center"/>
            <w:hideMark/>
          </w:tcPr>
          <w:p w14:paraId="1E3AFC4B" w14:textId="77777777" w:rsidR="00416D67" w:rsidRPr="00416D67" w:rsidRDefault="00416D67" w:rsidP="00416D67">
            <w:pPr>
              <w:rPr>
                <w:color w:val="000000"/>
                <w:sz w:val="18"/>
                <w:szCs w:val="18"/>
              </w:rPr>
            </w:pPr>
            <w:r w:rsidRPr="00416D67">
              <w:rPr>
                <w:color w:val="000000"/>
                <w:sz w:val="18"/>
                <w:szCs w:val="18"/>
              </w:rPr>
              <w:t>A200009</w:t>
            </w:r>
          </w:p>
        </w:tc>
        <w:tc>
          <w:tcPr>
            <w:tcW w:w="3847" w:type="dxa"/>
            <w:tcBorders>
              <w:top w:val="nil"/>
              <w:left w:val="nil"/>
              <w:bottom w:val="single" w:sz="4" w:space="0" w:color="auto"/>
              <w:right w:val="single" w:sz="4" w:space="0" w:color="auto"/>
            </w:tcBorders>
            <w:vAlign w:val="center"/>
            <w:hideMark/>
          </w:tcPr>
          <w:p w14:paraId="57ED7DFF" w14:textId="77777777" w:rsidR="00416D67" w:rsidRPr="00416D67" w:rsidRDefault="00416D67" w:rsidP="00416D67">
            <w:pPr>
              <w:rPr>
                <w:color w:val="000000"/>
                <w:sz w:val="18"/>
                <w:szCs w:val="18"/>
              </w:rPr>
            </w:pPr>
            <w:r w:rsidRPr="00416D67">
              <w:rPr>
                <w:color w:val="000000"/>
                <w:sz w:val="18"/>
                <w:szCs w:val="18"/>
              </w:rPr>
              <w:t xml:space="preserve">Potpora Društvu distrofičara Iste za kupnju službenog vozila </w:t>
            </w:r>
          </w:p>
        </w:tc>
        <w:tc>
          <w:tcPr>
            <w:tcW w:w="953" w:type="dxa"/>
            <w:tcBorders>
              <w:top w:val="nil"/>
              <w:left w:val="nil"/>
              <w:bottom w:val="single" w:sz="4" w:space="0" w:color="auto"/>
              <w:right w:val="single" w:sz="4" w:space="0" w:color="auto"/>
            </w:tcBorders>
            <w:noWrap/>
            <w:vAlign w:val="center"/>
            <w:hideMark/>
          </w:tcPr>
          <w:p w14:paraId="4D0774AE" w14:textId="77777777" w:rsidR="00416D67" w:rsidRPr="00416D67" w:rsidRDefault="00416D67" w:rsidP="00416D67">
            <w:pPr>
              <w:jc w:val="right"/>
              <w:rPr>
                <w:color w:val="000000"/>
                <w:sz w:val="18"/>
                <w:szCs w:val="18"/>
              </w:rPr>
            </w:pPr>
            <w:r w:rsidRPr="00416D67">
              <w:rPr>
                <w:color w:val="000000"/>
                <w:sz w:val="18"/>
                <w:szCs w:val="18"/>
              </w:rPr>
              <w:t> </w:t>
            </w:r>
          </w:p>
        </w:tc>
        <w:tc>
          <w:tcPr>
            <w:tcW w:w="983" w:type="dxa"/>
            <w:tcBorders>
              <w:top w:val="nil"/>
              <w:left w:val="nil"/>
              <w:bottom w:val="single" w:sz="4" w:space="0" w:color="auto"/>
              <w:right w:val="single" w:sz="4" w:space="0" w:color="auto"/>
            </w:tcBorders>
            <w:noWrap/>
            <w:vAlign w:val="center"/>
            <w:hideMark/>
          </w:tcPr>
          <w:p w14:paraId="32141745" w14:textId="77777777" w:rsidR="00416D67" w:rsidRPr="00416D67" w:rsidRDefault="00416D67" w:rsidP="00416D67">
            <w:pPr>
              <w:jc w:val="right"/>
              <w:rPr>
                <w:color w:val="000000"/>
                <w:sz w:val="18"/>
                <w:szCs w:val="18"/>
              </w:rPr>
            </w:pPr>
            <w:r w:rsidRPr="00416D67">
              <w:rPr>
                <w:color w:val="000000"/>
                <w:sz w:val="18"/>
                <w:szCs w:val="18"/>
              </w:rPr>
              <w:t>600,00</w:t>
            </w:r>
          </w:p>
        </w:tc>
        <w:tc>
          <w:tcPr>
            <w:tcW w:w="953" w:type="dxa"/>
            <w:tcBorders>
              <w:top w:val="nil"/>
              <w:left w:val="nil"/>
              <w:bottom w:val="single" w:sz="4" w:space="0" w:color="auto"/>
              <w:right w:val="single" w:sz="4" w:space="0" w:color="auto"/>
            </w:tcBorders>
            <w:noWrap/>
            <w:vAlign w:val="center"/>
            <w:hideMark/>
          </w:tcPr>
          <w:p w14:paraId="47CD86A9" w14:textId="77777777" w:rsidR="00416D67" w:rsidRPr="00416D67" w:rsidRDefault="00416D67" w:rsidP="00416D67">
            <w:pPr>
              <w:jc w:val="right"/>
              <w:rPr>
                <w:color w:val="000000"/>
                <w:sz w:val="18"/>
                <w:szCs w:val="18"/>
              </w:rPr>
            </w:pPr>
            <w:r w:rsidRPr="00416D67">
              <w:rPr>
                <w:color w:val="000000"/>
                <w:sz w:val="18"/>
                <w:szCs w:val="18"/>
              </w:rPr>
              <w:t>600,00</w:t>
            </w:r>
          </w:p>
        </w:tc>
        <w:tc>
          <w:tcPr>
            <w:tcW w:w="830" w:type="dxa"/>
            <w:tcBorders>
              <w:top w:val="nil"/>
              <w:left w:val="nil"/>
              <w:bottom w:val="single" w:sz="4" w:space="0" w:color="auto"/>
              <w:right w:val="single" w:sz="4" w:space="0" w:color="auto"/>
            </w:tcBorders>
            <w:noWrap/>
            <w:vAlign w:val="center"/>
            <w:hideMark/>
          </w:tcPr>
          <w:p w14:paraId="32B3DE02" w14:textId="77777777" w:rsidR="00416D67" w:rsidRPr="00416D67" w:rsidRDefault="00416D67" w:rsidP="00416D67">
            <w:pPr>
              <w:jc w:val="right"/>
              <w:rPr>
                <w:color w:val="000000"/>
                <w:sz w:val="18"/>
                <w:szCs w:val="18"/>
              </w:rPr>
            </w:pPr>
            <w:r w:rsidRPr="00416D67">
              <w:rPr>
                <w:color w:val="000000"/>
                <w:sz w:val="18"/>
                <w:szCs w:val="18"/>
              </w:rPr>
              <w:t>0,00%</w:t>
            </w:r>
          </w:p>
        </w:tc>
        <w:tc>
          <w:tcPr>
            <w:tcW w:w="1123" w:type="dxa"/>
            <w:tcBorders>
              <w:top w:val="nil"/>
              <w:left w:val="nil"/>
              <w:bottom w:val="single" w:sz="4" w:space="0" w:color="auto"/>
              <w:right w:val="single" w:sz="4" w:space="0" w:color="auto"/>
            </w:tcBorders>
            <w:noWrap/>
            <w:vAlign w:val="center"/>
            <w:hideMark/>
          </w:tcPr>
          <w:p w14:paraId="3958B9AF" w14:textId="77777777" w:rsidR="00416D67" w:rsidRPr="00416D67" w:rsidRDefault="00416D67" w:rsidP="00416D67">
            <w:pPr>
              <w:jc w:val="right"/>
              <w:rPr>
                <w:color w:val="000000"/>
                <w:sz w:val="18"/>
                <w:szCs w:val="18"/>
              </w:rPr>
            </w:pPr>
            <w:r w:rsidRPr="00416D67">
              <w:rPr>
                <w:color w:val="000000"/>
                <w:sz w:val="18"/>
                <w:szCs w:val="18"/>
              </w:rPr>
              <w:t>100,00%</w:t>
            </w:r>
          </w:p>
        </w:tc>
      </w:tr>
      <w:tr w:rsidR="00416D67" w:rsidRPr="00416D67" w14:paraId="222EDF0C" w14:textId="77777777" w:rsidTr="00BB1392">
        <w:trPr>
          <w:trHeight w:val="300"/>
        </w:trPr>
        <w:tc>
          <w:tcPr>
            <w:tcW w:w="824" w:type="dxa"/>
            <w:tcBorders>
              <w:top w:val="nil"/>
              <w:left w:val="single" w:sz="4" w:space="0" w:color="auto"/>
              <w:bottom w:val="single" w:sz="4" w:space="0" w:color="auto"/>
              <w:right w:val="single" w:sz="4" w:space="0" w:color="auto"/>
            </w:tcBorders>
            <w:noWrap/>
            <w:vAlign w:val="center"/>
            <w:hideMark/>
          </w:tcPr>
          <w:p w14:paraId="5372FB46" w14:textId="77777777" w:rsidR="00416D67" w:rsidRPr="00416D67" w:rsidRDefault="00416D67" w:rsidP="00416D67">
            <w:pPr>
              <w:rPr>
                <w:color w:val="000000"/>
                <w:sz w:val="18"/>
                <w:szCs w:val="18"/>
              </w:rPr>
            </w:pPr>
            <w:r w:rsidRPr="00416D67">
              <w:rPr>
                <w:color w:val="000000"/>
                <w:sz w:val="18"/>
                <w:szCs w:val="18"/>
              </w:rPr>
              <w:t>A300001</w:t>
            </w:r>
          </w:p>
        </w:tc>
        <w:tc>
          <w:tcPr>
            <w:tcW w:w="3847" w:type="dxa"/>
            <w:tcBorders>
              <w:top w:val="nil"/>
              <w:left w:val="nil"/>
              <w:bottom w:val="single" w:sz="4" w:space="0" w:color="auto"/>
              <w:right w:val="single" w:sz="4" w:space="0" w:color="auto"/>
            </w:tcBorders>
            <w:noWrap/>
            <w:vAlign w:val="center"/>
            <w:hideMark/>
          </w:tcPr>
          <w:p w14:paraId="7D1E8F55" w14:textId="77777777" w:rsidR="00416D67" w:rsidRPr="00416D67" w:rsidRDefault="00416D67" w:rsidP="00416D67">
            <w:pPr>
              <w:rPr>
                <w:color w:val="000000"/>
                <w:sz w:val="18"/>
                <w:szCs w:val="18"/>
              </w:rPr>
            </w:pPr>
            <w:r w:rsidRPr="00416D67">
              <w:rPr>
                <w:color w:val="000000"/>
                <w:sz w:val="18"/>
                <w:szCs w:val="18"/>
              </w:rPr>
              <w:t>Hrvatski crveni križ - Gradsko društvo crvenog križa Pula</w:t>
            </w:r>
          </w:p>
        </w:tc>
        <w:tc>
          <w:tcPr>
            <w:tcW w:w="953" w:type="dxa"/>
            <w:tcBorders>
              <w:top w:val="nil"/>
              <w:left w:val="nil"/>
              <w:bottom w:val="single" w:sz="4" w:space="0" w:color="auto"/>
              <w:right w:val="single" w:sz="4" w:space="0" w:color="auto"/>
            </w:tcBorders>
            <w:noWrap/>
            <w:vAlign w:val="center"/>
            <w:hideMark/>
          </w:tcPr>
          <w:p w14:paraId="186DA718" w14:textId="77777777" w:rsidR="00416D67" w:rsidRPr="00416D67" w:rsidRDefault="00416D67" w:rsidP="00416D67">
            <w:pPr>
              <w:jc w:val="right"/>
              <w:rPr>
                <w:color w:val="000000"/>
                <w:sz w:val="18"/>
                <w:szCs w:val="18"/>
              </w:rPr>
            </w:pPr>
            <w:r w:rsidRPr="00416D67">
              <w:rPr>
                <w:color w:val="000000"/>
                <w:sz w:val="18"/>
                <w:szCs w:val="18"/>
              </w:rPr>
              <w:t>10.600,00</w:t>
            </w:r>
          </w:p>
        </w:tc>
        <w:tc>
          <w:tcPr>
            <w:tcW w:w="983" w:type="dxa"/>
            <w:tcBorders>
              <w:top w:val="nil"/>
              <w:left w:val="nil"/>
              <w:bottom w:val="single" w:sz="4" w:space="0" w:color="auto"/>
              <w:right w:val="single" w:sz="4" w:space="0" w:color="auto"/>
            </w:tcBorders>
            <w:noWrap/>
            <w:vAlign w:val="center"/>
            <w:hideMark/>
          </w:tcPr>
          <w:p w14:paraId="41AFF6E5" w14:textId="77777777" w:rsidR="00416D67" w:rsidRPr="00416D67" w:rsidRDefault="00416D67" w:rsidP="00416D67">
            <w:pPr>
              <w:jc w:val="right"/>
              <w:rPr>
                <w:color w:val="000000"/>
                <w:sz w:val="18"/>
                <w:szCs w:val="18"/>
              </w:rPr>
            </w:pPr>
            <w:r w:rsidRPr="00416D67">
              <w:rPr>
                <w:color w:val="000000"/>
                <w:sz w:val="18"/>
                <w:szCs w:val="18"/>
              </w:rPr>
              <w:t>15.000,00</w:t>
            </w:r>
          </w:p>
        </w:tc>
        <w:tc>
          <w:tcPr>
            <w:tcW w:w="953" w:type="dxa"/>
            <w:tcBorders>
              <w:top w:val="nil"/>
              <w:left w:val="nil"/>
              <w:bottom w:val="single" w:sz="4" w:space="0" w:color="auto"/>
              <w:right w:val="single" w:sz="4" w:space="0" w:color="auto"/>
            </w:tcBorders>
            <w:noWrap/>
            <w:vAlign w:val="center"/>
            <w:hideMark/>
          </w:tcPr>
          <w:p w14:paraId="169F8B5B" w14:textId="77777777" w:rsidR="00416D67" w:rsidRPr="00416D67" w:rsidRDefault="00416D67" w:rsidP="00416D67">
            <w:pPr>
              <w:jc w:val="right"/>
              <w:rPr>
                <w:color w:val="000000"/>
                <w:sz w:val="18"/>
                <w:szCs w:val="18"/>
              </w:rPr>
            </w:pPr>
            <w:r w:rsidRPr="00416D67">
              <w:rPr>
                <w:color w:val="000000"/>
                <w:sz w:val="18"/>
                <w:szCs w:val="18"/>
              </w:rPr>
              <w:t>15.000,00</w:t>
            </w:r>
          </w:p>
        </w:tc>
        <w:tc>
          <w:tcPr>
            <w:tcW w:w="830" w:type="dxa"/>
            <w:tcBorders>
              <w:top w:val="nil"/>
              <w:left w:val="nil"/>
              <w:bottom w:val="single" w:sz="4" w:space="0" w:color="auto"/>
              <w:right w:val="single" w:sz="4" w:space="0" w:color="auto"/>
            </w:tcBorders>
            <w:noWrap/>
            <w:vAlign w:val="center"/>
            <w:hideMark/>
          </w:tcPr>
          <w:p w14:paraId="01B1E593" w14:textId="77777777" w:rsidR="00416D67" w:rsidRPr="00416D67" w:rsidRDefault="00416D67" w:rsidP="00416D67">
            <w:pPr>
              <w:jc w:val="right"/>
              <w:rPr>
                <w:color w:val="000000"/>
                <w:sz w:val="18"/>
                <w:szCs w:val="18"/>
              </w:rPr>
            </w:pPr>
            <w:r w:rsidRPr="00416D67">
              <w:rPr>
                <w:color w:val="000000"/>
                <w:sz w:val="18"/>
                <w:szCs w:val="18"/>
              </w:rPr>
              <w:t>141,51%</w:t>
            </w:r>
          </w:p>
        </w:tc>
        <w:tc>
          <w:tcPr>
            <w:tcW w:w="1123" w:type="dxa"/>
            <w:tcBorders>
              <w:top w:val="nil"/>
              <w:left w:val="nil"/>
              <w:bottom w:val="single" w:sz="4" w:space="0" w:color="auto"/>
              <w:right w:val="single" w:sz="4" w:space="0" w:color="auto"/>
            </w:tcBorders>
            <w:noWrap/>
            <w:vAlign w:val="center"/>
            <w:hideMark/>
          </w:tcPr>
          <w:p w14:paraId="20C0DEC5" w14:textId="77777777" w:rsidR="00416D67" w:rsidRPr="00416D67" w:rsidRDefault="00416D67" w:rsidP="00416D67">
            <w:pPr>
              <w:jc w:val="right"/>
              <w:rPr>
                <w:color w:val="000000"/>
                <w:sz w:val="18"/>
                <w:szCs w:val="18"/>
              </w:rPr>
            </w:pPr>
            <w:r w:rsidRPr="00416D67">
              <w:rPr>
                <w:color w:val="000000"/>
                <w:sz w:val="18"/>
                <w:szCs w:val="18"/>
              </w:rPr>
              <w:t>100,00%</w:t>
            </w:r>
          </w:p>
        </w:tc>
      </w:tr>
      <w:tr w:rsidR="00416D67" w:rsidRPr="00416D67" w14:paraId="63F6891A" w14:textId="77777777" w:rsidTr="00BB1392">
        <w:trPr>
          <w:trHeight w:val="91"/>
        </w:trPr>
        <w:tc>
          <w:tcPr>
            <w:tcW w:w="824" w:type="dxa"/>
            <w:tcBorders>
              <w:top w:val="nil"/>
              <w:left w:val="single" w:sz="4" w:space="0" w:color="auto"/>
              <w:bottom w:val="single" w:sz="4" w:space="0" w:color="auto"/>
              <w:right w:val="single" w:sz="4" w:space="0" w:color="auto"/>
            </w:tcBorders>
            <w:noWrap/>
            <w:vAlign w:val="center"/>
            <w:hideMark/>
          </w:tcPr>
          <w:p w14:paraId="7B2F91AB" w14:textId="77777777" w:rsidR="00416D67" w:rsidRPr="00416D67" w:rsidRDefault="00416D67" w:rsidP="00416D67">
            <w:pPr>
              <w:rPr>
                <w:color w:val="000000"/>
                <w:sz w:val="18"/>
                <w:szCs w:val="18"/>
              </w:rPr>
            </w:pPr>
            <w:r w:rsidRPr="00416D67">
              <w:rPr>
                <w:color w:val="000000"/>
                <w:sz w:val="18"/>
                <w:szCs w:val="18"/>
              </w:rPr>
              <w:t>A300002</w:t>
            </w:r>
          </w:p>
        </w:tc>
        <w:tc>
          <w:tcPr>
            <w:tcW w:w="3847" w:type="dxa"/>
            <w:tcBorders>
              <w:top w:val="nil"/>
              <w:left w:val="nil"/>
              <w:bottom w:val="single" w:sz="4" w:space="0" w:color="auto"/>
              <w:right w:val="single" w:sz="4" w:space="0" w:color="auto"/>
            </w:tcBorders>
            <w:vAlign w:val="center"/>
            <w:hideMark/>
          </w:tcPr>
          <w:p w14:paraId="6AF443CE" w14:textId="77777777" w:rsidR="00416D67" w:rsidRPr="00416D67" w:rsidRDefault="00416D67" w:rsidP="00416D67">
            <w:pPr>
              <w:rPr>
                <w:color w:val="000000"/>
                <w:sz w:val="18"/>
                <w:szCs w:val="18"/>
              </w:rPr>
            </w:pPr>
            <w:r w:rsidRPr="00416D67">
              <w:rPr>
                <w:color w:val="000000"/>
                <w:sz w:val="18"/>
                <w:szCs w:val="18"/>
              </w:rPr>
              <w:t>Financiranje programa udruga u zdravstvu i socijalnoj skrbi</w:t>
            </w:r>
          </w:p>
        </w:tc>
        <w:tc>
          <w:tcPr>
            <w:tcW w:w="953" w:type="dxa"/>
            <w:tcBorders>
              <w:top w:val="nil"/>
              <w:left w:val="nil"/>
              <w:bottom w:val="single" w:sz="4" w:space="0" w:color="auto"/>
              <w:right w:val="single" w:sz="4" w:space="0" w:color="auto"/>
            </w:tcBorders>
            <w:noWrap/>
            <w:vAlign w:val="center"/>
            <w:hideMark/>
          </w:tcPr>
          <w:p w14:paraId="37DA2B40" w14:textId="77777777" w:rsidR="00416D67" w:rsidRPr="00416D67" w:rsidRDefault="00416D67" w:rsidP="00416D67">
            <w:pPr>
              <w:jc w:val="right"/>
              <w:rPr>
                <w:color w:val="000000"/>
                <w:sz w:val="18"/>
                <w:szCs w:val="18"/>
              </w:rPr>
            </w:pPr>
            <w:r w:rsidRPr="00416D67">
              <w:rPr>
                <w:color w:val="000000"/>
                <w:sz w:val="18"/>
                <w:szCs w:val="18"/>
              </w:rPr>
              <w:t>5.300,00</w:t>
            </w:r>
          </w:p>
        </w:tc>
        <w:tc>
          <w:tcPr>
            <w:tcW w:w="983" w:type="dxa"/>
            <w:tcBorders>
              <w:top w:val="nil"/>
              <w:left w:val="nil"/>
              <w:bottom w:val="single" w:sz="4" w:space="0" w:color="auto"/>
              <w:right w:val="single" w:sz="4" w:space="0" w:color="auto"/>
            </w:tcBorders>
            <w:noWrap/>
            <w:vAlign w:val="center"/>
            <w:hideMark/>
          </w:tcPr>
          <w:p w14:paraId="47BA0201" w14:textId="77777777" w:rsidR="00416D67" w:rsidRPr="00416D67" w:rsidRDefault="00416D67" w:rsidP="00416D67">
            <w:pPr>
              <w:jc w:val="right"/>
              <w:rPr>
                <w:color w:val="000000"/>
                <w:sz w:val="18"/>
                <w:szCs w:val="18"/>
              </w:rPr>
            </w:pPr>
            <w:r w:rsidRPr="00416D67">
              <w:rPr>
                <w:color w:val="000000"/>
                <w:sz w:val="18"/>
                <w:szCs w:val="18"/>
              </w:rPr>
              <w:t>7.000,00</w:t>
            </w:r>
          </w:p>
        </w:tc>
        <w:tc>
          <w:tcPr>
            <w:tcW w:w="953" w:type="dxa"/>
            <w:tcBorders>
              <w:top w:val="nil"/>
              <w:left w:val="nil"/>
              <w:bottom w:val="single" w:sz="4" w:space="0" w:color="auto"/>
              <w:right w:val="single" w:sz="4" w:space="0" w:color="auto"/>
            </w:tcBorders>
            <w:noWrap/>
            <w:vAlign w:val="center"/>
            <w:hideMark/>
          </w:tcPr>
          <w:p w14:paraId="45EBAC57" w14:textId="77777777" w:rsidR="00416D67" w:rsidRPr="00416D67" w:rsidRDefault="00416D67" w:rsidP="00416D67">
            <w:pPr>
              <w:jc w:val="right"/>
              <w:rPr>
                <w:color w:val="000000"/>
                <w:sz w:val="18"/>
                <w:szCs w:val="18"/>
              </w:rPr>
            </w:pPr>
            <w:r w:rsidRPr="00416D67">
              <w:rPr>
                <w:color w:val="000000"/>
                <w:sz w:val="18"/>
                <w:szCs w:val="18"/>
              </w:rPr>
              <w:t>7.000,00</w:t>
            </w:r>
          </w:p>
        </w:tc>
        <w:tc>
          <w:tcPr>
            <w:tcW w:w="830" w:type="dxa"/>
            <w:tcBorders>
              <w:top w:val="nil"/>
              <w:left w:val="nil"/>
              <w:bottom w:val="single" w:sz="4" w:space="0" w:color="auto"/>
              <w:right w:val="single" w:sz="4" w:space="0" w:color="auto"/>
            </w:tcBorders>
            <w:noWrap/>
            <w:vAlign w:val="center"/>
            <w:hideMark/>
          </w:tcPr>
          <w:p w14:paraId="7D3F667C" w14:textId="77777777" w:rsidR="00416D67" w:rsidRPr="00416D67" w:rsidRDefault="00416D67" w:rsidP="00416D67">
            <w:pPr>
              <w:jc w:val="right"/>
              <w:rPr>
                <w:color w:val="000000"/>
                <w:sz w:val="18"/>
                <w:szCs w:val="18"/>
              </w:rPr>
            </w:pPr>
            <w:r w:rsidRPr="00416D67">
              <w:rPr>
                <w:color w:val="000000"/>
                <w:sz w:val="18"/>
                <w:szCs w:val="18"/>
              </w:rPr>
              <w:t>132,08%</w:t>
            </w:r>
          </w:p>
        </w:tc>
        <w:tc>
          <w:tcPr>
            <w:tcW w:w="1123" w:type="dxa"/>
            <w:tcBorders>
              <w:top w:val="nil"/>
              <w:left w:val="nil"/>
              <w:bottom w:val="single" w:sz="4" w:space="0" w:color="auto"/>
              <w:right w:val="single" w:sz="4" w:space="0" w:color="auto"/>
            </w:tcBorders>
            <w:noWrap/>
            <w:vAlign w:val="center"/>
            <w:hideMark/>
          </w:tcPr>
          <w:p w14:paraId="044B9DEF" w14:textId="77777777" w:rsidR="00416D67" w:rsidRPr="00416D67" w:rsidRDefault="00416D67" w:rsidP="00416D67">
            <w:pPr>
              <w:jc w:val="right"/>
              <w:rPr>
                <w:color w:val="000000"/>
                <w:sz w:val="18"/>
                <w:szCs w:val="18"/>
              </w:rPr>
            </w:pPr>
            <w:r w:rsidRPr="00416D67">
              <w:rPr>
                <w:color w:val="000000"/>
                <w:sz w:val="18"/>
                <w:szCs w:val="18"/>
              </w:rPr>
              <w:t>100,00%</w:t>
            </w:r>
          </w:p>
        </w:tc>
      </w:tr>
      <w:tr w:rsidR="00416D67" w:rsidRPr="00416D67" w14:paraId="71C5552B" w14:textId="77777777" w:rsidTr="00BB1392">
        <w:trPr>
          <w:trHeight w:val="311"/>
        </w:trPr>
        <w:tc>
          <w:tcPr>
            <w:tcW w:w="824" w:type="dxa"/>
            <w:tcBorders>
              <w:top w:val="nil"/>
              <w:left w:val="single" w:sz="4" w:space="0" w:color="auto"/>
              <w:bottom w:val="single" w:sz="4" w:space="0" w:color="auto"/>
              <w:right w:val="single" w:sz="4" w:space="0" w:color="auto"/>
            </w:tcBorders>
            <w:noWrap/>
            <w:vAlign w:val="center"/>
            <w:hideMark/>
          </w:tcPr>
          <w:p w14:paraId="03F69BE4" w14:textId="77777777" w:rsidR="00416D67" w:rsidRPr="00416D67" w:rsidRDefault="00416D67" w:rsidP="00416D67">
            <w:pPr>
              <w:rPr>
                <w:color w:val="000000"/>
                <w:sz w:val="18"/>
                <w:szCs w:val="18"/>
              </w:rPr>
            </w:pPr>
            <w:r w:rsidRPr="00416D67">
              <w:rPr>
                <w:color w:val="000000"/>
                <w:sz w:val="18"/>
                <w:szCs w:val="18"/>
              </w:rPr>
              <w:t>A400002</w:t>
            </w:r>
          </w:p>
        </w:tc>
        <w:tc>
          <w:tcPr>
            <w:tcW w:w="3847" w:type="dxa"/>
            <w:tcBorders>
              <w:top w:val="nil"/>
              <w:left w:val="nil"/>
              <w:bottom w:val="single" w:sz="4" w:space="0" w:color="auto"/>
              <w:right w:val="single" w:sz="4" w:space="0" w:color="auto"/>
            </w:tcBorders>
            <w:vAlign w:val="center"/>
            <w:hideMark/>
          </w:tcPr>
          <w:p w14:paraId="26C72D75" w14:textId="77777777" w:rsidR="00416D67" w:rsidRPr="00416D67" w:rsidRDefault="00416D67" w:rsidP="00416D67">
            <w:pPr>
              <w:rPr>
                <w:color w:val="000000"/>
                <w:sz w:val="18"/>
                <w:szCs w:val="18"/>
              </w:rPr>
            </w:pPr>
            <w:r w:rsidRPr="00416D67">
              <w:rPr>
                <w:color w:val="000000"/>
                <w:sz w:val="18"/>
                <w:szCs w:val="18"/>
              </w:rPr>
              <w:t>Nastavni zavod za hitnu medicinu IŽ HMP  - dodatno  zapošljavanje radnika</w:t>
            </w:r>
          </w:p>
        </w:tc>
        <w:tc>
          <w:tcPr>
            <w:tcW w:w="953" w:type="dxa"/>
            <w:tcBorders>
              <w:top w:val="nil"/>
              <w:left w:val="nil"/>
              <w:bottom w:val="single" w:sz="4" w:space="0" w:color="auto"/>
              <w:right w:val="single" w:sz="4" w:space="0" w:color="auto"/>
            </w:tcBorders>
            <w:noWrap/>
            <w:vAlign w:val="center"/>
            <w:hideMark/>
          </w:tcPr>
          <w:p w14:paraId="42279AC0" w14:textId="77777777" w:rsidR="00416D67" w:rsidRPr="00416D67" w:rsidRDefault="00416D67" w:rsidP="00416D67">
            <w:pPr>
              <w:jc w:val="right"/>
              <w:rPr>
                <w:color w:val="000000"/>
                <w:sz w:val="18"/>
                <w:szCs w:val="18"/>
              </w:rPr>
            </w:pPr>
            <w:r w:rsidRPr="00416D67">
              <w:rPr>
                <w:color w:val="000000"/>
                <w:sz w:val="18"/>
                <w:szCs w:val="18"/>
              </w:rPr>
              <w:t>23.682,00</w:t>
            </w:r>
          </w:p>
        </w:tc>
        <w:tc>
          <w:tcPr>
            <w:tcW w:w="983" w:type="dxa"/>
            <w:tcBorders>
              <w:top w:val="nil"/>
              <w:left w:val="nil"/>
              <w:bottom w:val="single" w:sz="4" w:space="0" w:color="auto"/>
              <w:right w:val="single" w:sz="4" w:space="0" w:color="auto"/>
            </w:tcBorders>
            <w:noWrap/>
            <w:vAlign w:val="center"/>
            <w:hideMark/>
          </w:tcPr>
          <w:p w14:paraId="046888E7" w14:textId="77777777" w:rsidR="00416D67" w:rsidRPr="00416D67" w:rsidRDefault="00416D67" w:rsidP="00416D67">
            <w:pPr>
              <w:jc w:val="right"/>
              <w:rPr>
                <w:color w:val="000000"/>
                <w:sz w:val="18"/>
                <w:szCs w:val="18"/>
              </w:rPr>
            </w:pPr>
            <w:r w:rsidRPr="00416D67">
              <w:rPr>
                <w:color w:val="000000"/>
                <w:sz w:val="18"/>
                <w:szCs w:val="18"/>
              </w:rPr>
              <w:t>23.774,00</w:t>
            </w:r>
          </w:p>
        </w:tc>
        <w:tc>
          <w:tcPr>
            <w:tcW w:w="953" w:type="dxa"/>
            <w:tcBorders>
              <w:top w:val="nil"/>
              <w:left w:val="nil"/>
              <w:bottom w:val="single" w:sz="4" w:space="0" w:color="auto"/>
              <w:right w:val="single" w:sz="4" w:space="0" w:color="auto"/>
            </w:tcBorders>
            <w:noWrap/>
            <w:vAlign w:val="center"/>
            <w:hideMark/>
          </w:tcPr>
          <w:p w14:paraId="3958AE88" w14:textId="77777777" w:rsidR="00416D67" w:rsidRPr="00416D67" w:rsidRDefault="00416D67" w:rsidP="00416D67">
            <w:pPr>
              <w:jc w:val="right"/>
              <w:rPr>
                <w:color w:val="000000"/>
                <w:sz w:val="18"/>
                <w:szCs w:val="18"/>
              </w:rPr>
            </w:pPr>
            <w:r w:rsidRPr="00416D67">
              <w:rPr>
                <w:color w:val="000000"/>
                <w:sz w:val="18"/>
                <w:szCs w:val="18"/>
              </w:rPr>
              <w:t>23.774,00</w:t>
            </w:r>
          </w:p>
        </w:tc>
        <w:tc>
          <w:tcPr>
            <w:tcW w:w="830" w:type="dxa"/>
            <w:tcBorders>
              <w:top w:val="nil"/>
              <w:left w:val="nil"/>
              <w:bottom w:val="single" w:sz="4" w:space="0" w:color="auto"/>
              <w:right w:val="single" w:sz="4" w:space="0" w:color="auto"/>
            </w:tcBorders>
            <w:noWrap/>
            <w:vAlign w:val="center"/>
            <w:hideMark/>
          </w:tcPr>
          <w:p w14:paraId="1A2C5C1E" w14:textId="77777777" w:rsidR="00416D67" w:rsidRPr="00416D67" w:rsidRDefault="00416D67" w:rsidP="00416D67">
            <w:pPr>
              <w:jc w:val="right"/>
              <w:rPr>
                <w:color w:val="000000"/>
                <w:sz w:val="18"/>
                <w:szCs w:val="18"/>
              </w:rPr>
            </w:pPr>
            <w:r w:rsidRPr="00416D67">
              <w:rPr>
                <w:color w:val="000000"/>
                <w:sz w:val="18"/>
                <w:szCs w:val="18"/>
              </w:rPr>
              <w:t>100,39%</w:t>
            </w:r>
          </w:p>
        </w:tc>
        <w:tc>
          <w:tcPr>
            <w:tcW w:w="1123" w:type="dxa"/>
            <w:tcBorders>
              <w:top w:val="nil"/>
              <w:left w:val="nil"/>
              <w:bottom w:val="single" w:sz="4" w:space="0" w:color="auto"/>
              <w:right w:val="single" w:sz="4" w:space="0" w:color="auto"/>
            </w:tcBorders>
            <w:noWrap/>
            <w:vAlign w:val="center"/>
            <w:hideMark/>
          </w:tcPr>
          <w:p w14:paraId="32D6B408" w14:textId="77777777" w:rsidR="00416D67" w:rsidRPr="00416D67" w:rsidRDefault="00416D67" w:rsidP="00416D67">
            <w:pPr>
              <w:jc w:val="right"/>
              <w:rPr>
                <w:color w:val="000000"/>
                <w:sz w:val="18"/>
                <w:szCs w:val="18"/>
              </w:rPr>
            </w:pPr>
            <w:r w:rsidRPr="00416D67">
              <w:rPr>
                <w:color w:val="000000"/>
                <w:sz w:val="18"/>
                <w:szCs w:val="18"/>
              </w:rPr>
              <w:t>100,00%</w:t>
            </w:r>
          </w:p>
        </w:tc>
      </w:tr>
      <w:tr w:rsidR="00416D67" w:rsidRPr="00416D67" w14:paraId="59AA4F74" w14:textId="77777777" w:rsidTr="00BB1392">
        <w:trPr>
          <w:trHeight w:val="265"/>
        </w:trPr>
        <w:tc>
          <w:tcPr>
            <w:tcW w:w="824" w:type="dxa"/>
            <w:tcBorders>
              <w:top w:val="nil"/>
              <w:left w:val="single" w:sz="4" w:space="0" w:color="auto"/>
              <w:bottom w:val="single" w:sz="4" w:space="0" w:color="auto"/>
              <w:right w:val="single" w:sz="4" w:space="0" w:color="auto"/>
            </w:tcBorders>
            <w:noWrap/>
            <w:vAlign w:val="center"/>
            <w:hideMark/>
          </w:tcPr>
          <w:p w14:paraId="3A6150A7" w14:textId="77777777" w:rsidR="00416D67" w:rsidRPr="00416D67" w:rsidRDefault="00416D67" w:rsidP="00416D67">
            <w:pPr>
              <w:rPr>
                <w:color w:val="000000"/>
                <w:sz w:val="18"/>
                <w:szCs w:val="18"/>
              </w:rPr>
            </w:pPr>
            <w:r w:rsidRPr="00416D67">
              <w:rPr>
                <w:color w:val="000000"/>
                <w:sz w:val="18"/>
                <w:szCs w:val="18"/>
              </w:rPr>
              <w:t>A400003</w:t>
            </w:r>
          </w:p>
        </w:tc>
        <w:tc>
          <w:tcPr>
            <w:tcW w:w="3847" w:type="dxa"/>
            <w:tcBorders>
              <w:top w:val="nil"/>
              <w:left w:val="nil"/>
              <w:bottom w:val="single" w:sz="4" w:space="0" w:color="auto"/>
              <w:right w:val="single" w:sz="4" w:space="0" w:color="auto"/>
            </w:tcBorders>
            <w:vAlign w:val="center"/>
            <w:hideMark/>
          </w:tcPr>
          <w:p w14:paraId="425FDE3A" w14:textId="77777777" w:rsidR="00416D67" w:rsidRPr="00416D67" w:rsidRDefault="00416D67" w:rsidP="00416D67">
            <w:pPr>
              <w:rPr>
                <w:color w:val="000000"/>
                <w:sz w:val="18"/>
                <w:szCs w:val="18"/>
              </w:rPr>
            </w:pPr>
            <w:r w:rsidRPr="00416D67">
              <w:rPr>
                <w:color w:val="000000"/>
                <w:sz w:val="18"/>
                <w:szCs w:val="18"/>
              </w:rPr>
              <w:t>Organizacija povremenog prijevoza pacijenata</w:t>
            </w:r>
          </w:p>
        </w:tc>
        <w:tc>
          <w:tcPr>
            <w:tcW w:w="953" w:type="dxa"/>
            <w:tcBorders>
              <w:top w:val="nil"/>
              <w:left w:val="nil"/>
              <w:bottom w:val="single" w:sz="4" w:space="0" w:color="auto"/>
              <w:right w:val="single" w:sz="4" w:space="0" w:color="auto"/>
            </w:tcBorders>
            <w:noWrap/>
            <w:vAlign w:val="center"/>
            <w:hideMark/>
          </w:tcPr>
          <w:p w14:paraId="72DD1C73" w14:textId="77777777" w:rsidR="00416D67" w:rsidRPr="00416D67" w:rsidRDefault="00416D67" w:rsidP="00416D67">
            <w:pPr>
              <w:jc w:val="right"/>
              <w:rPr>
                <w:color w:val="000000"/>
                <w:sz w:val="18"/>
                <w:szCs w:val="18"/>
              </w:rPr>
            </w:pPr>
            <w:r w:rsidRPr="00416D67">
              <w:rPr>
                <w:color w:val="000000"/>
                <w:sz w:val="18"/>
                <w:szCs w:val="18"/>
              </w:rPr>
              <w:t>14.623,58</w:t>
            </w:r>
          </w:p>
        </w:tc>
        <w:tc>
          <w:tcPr>
            <w:tcW w:w="983" w:type="dxa"/>
            <w:tcBorders>
              <w:top w:val="nil"/>
              <w:left w:val="nil"/>
              <w:bottom w:val="single" w:sz="4" w:space="0" w:color="auto"/>
              <w:right w:val="single" w:sz="4" w:space="0" w:color="auto"/>
            </w:tcBorders>
            <w:noWrap/>
            <w:vAlign w:val="center"/>
            <w:hideMark/>
          </w:tcPr>
          <w:p w14:paraId="27996FA0" w14:textId="77777777" w:rsidR="00416D67" w:rsidRPr="00416D67" w:rsidRDefault="00416D67" w:rsidP="00416D67">
            <w:pPr>
              <w:jc w:val="right"/>
              <w:rPr>
                <w:color w:val="000000"/>
                <w:sz w:val="18"/>
                <w:szCs w:val="18"/>
              </w:rPr>
            </w:pPr>
            <w:r w:rsidRPr="00416D67">
              <w:rPr>
                <w:color w:val="000000"/>
                <w:sz w:val="18"/>
                <w:szCs w:val="18"/>
              </w:rPr>
              <w:t>17.000,00</w:t>
            </w:r>
          </w:p>
        </w:tc>
        <w:tc>
          <w:tcPr>
            <w:tcW w:w="953" w:type="dxa"/>
            <w:tcBorders>
              <w:top w:val="nil"/>
              <w:left w:val="nil"/>
              <w:bottom w:val="single" w:sz="4" w:space="0" w:color="auto"/>
              <w:right w:val="single" w:sz="4" w:space="0" w:color="auto"/>
            </w:tcBorders>
            <w:noWrap/>
            <w:vAlign w:val="center"/>
            <w:hideMark/>
          </w:tcPr>
          <w:p w14:paraId="445C0CBD" w14:textId="77777777" w:rsidR="00416D67" w:rsidRPr="00416D67" w:rsidRDefault="00416D67" w:rsidP="00416D67">
            <w:pPr>
              <w:jc w:val="right"/>
              <w:rPr>
                <w:color w:val="000000"/>
                <w:sz w:val="18"/>
                <w:szCs w:val="18"/>
              </w:rPr>
            </w:pPr>
            <w:r w:rsidRPr="00416D67">
              <w:rPr>
                <w:color w:val="000000"/>
                <w:sz w:val="18"/>
                <w:szCs w:val="18"/>
              </w:rPr>
              <w:t>15.363,51</w:t>
            </w:r>
          </w:p>
        </w:tc>
        <w:tc>
          <w:tcPr>
            <w:tcW w:w="830" w:type="dxa"/>
            <w:tcBorders>
              <w:top w:val="nil"/>
              <w:left w:val="nil"/>
              <w:bottom w:val="single" w:sz="4" w:space="0" w:color="auto"/>
              <w:right w:val="single" w:sz="4" w:space="0" w:color="auto"/>
            </w:tcBorders>
            <w:noWrap/>
            <w:vAlign w:val="center"/>
            <w:hideMark/>
          </w:tcPr>
          <w:p w14:paraId="1A6190AB" w14:textId="77777777" w:rsidR="00416D67" w:rsidRPr="00416D67" w:rsidRDefault="00416D67" w:rsidP="00416D67">
            <w:pPr>
              <w:jc w:val="right"/>
              <w:rPr>
                <w:color w:val="000000"/>
                <w:sz w:val="18"/>
                <w:szCs w:val="18"/>
              </w:rPr>
            </w:pPr>
            <w:r w:rsidRPr="00416D67">
              <w:rPr>
                <w:color w:val="000000"/>
                <w:sz w:val="18"/>
                <w:szCs w:val="18"/>
              </w:rPr>
              <w:t>105,06%</w:t>
            </w:r>
          </w:p>
        </w:tc>
        <w:tc>
          <w:tcPr>
            <w:tcW w:w="1123" w:type="dxa"/>
            <w:tcBorders>
              <w:top w:val="nil"/>
              <w:left w:val="nil"/>
              <w:bottom w:val="single" w:sz="4" w:space="0" w:color="auto"/>
              <w:right w:val="single" w:sz="4" w:space="0" w:color="auto"/>
            </w:tcBorders>
            <w:noWrap/>
            <w:vAlign w:val="center"/>
            <w:hideMark/>
          </w:tcPr>
          <w:p w14:paraId="2BF7BA14" w14:textId="77777777" w:rsidR="00416D67" w:rsidRPr="00416D67" w:rsidRDefault="00416D67" w:rsidP="00416D67">
            <w:pPr>
              <w:jc w:val="right"/>
              <w:rPr>
                <w:color w:val="000000"/>
                <w:sz w:val="18"/>
                <w:szCs w:val="18"/>
              </w:rPr>
            </w:pPr>
            <w:r w:rsidRPr="00416D67">
              <w:rPr>
                <w:color w:val="000000"/>
                <w:sz w:val="18"/>
                <w:szCs w:val="18"/>
              </w:rPr>
              <w:t>90,37%</w:t>
            </w:r>
          </w:p>
        </w:tc>
      </w:tr>
      <w:tr w:rsidR="00416D67" w:rsidRPr="00416D67" w14:paraId="0012AD03" w14:textId="77777777" w:rsidTr="00BB1392">
        <w:trPr>
          <w:trHeight w:val="300"/>
        </w:trPr>
        <w:tc>
          <w:tcPr>
            <w:tcW w:w="824" w:type="dxa"/>
            <w:tcBorders>
              <w:top w:val="nil"/>
              <w:left w:val="single" w:sz="4" w:space="0" w:color="auto"/>
              <w:bottom w:val="single" w:sz="4" w:space="0" w:color="auto"/>
              <w:right w:val="single" w:sz="4" w:space="0" w:color="auto"/>
            </w:tcBorders>
            <w:noWrap/>
            <w:vAlign w:val="center"/>
            <w:hideMark/>
          </w:tcPr>
          <w:p w14:paraId="75B70C33" w14:textId="77777777" w:rsidR="00416D67" w:rsidRPr="00416D67" w:rsidRDefault="00416D67" w:rsidP="00416D67">
            <w:pPr>
              <w:rPr>
                <w:color w:val="000000"/>
                <w:sz w:val="18"/>
                <w:szCs w:val="18"/>
              </w:rPr>
            </w:pPr>
            <w:r w:rsidRPr="00416D67">
              <w:rPr>
                <w:color w:val="000000"/>
                <w:sz w:val="18"/>
                <w:szCs w:val="18"/>
              </w:rPr>
              <w:t>A400024</w:t>
            </w:r>
          </w:p>
        </w:tc>
        <w:tc>
          <w:tcPr>
            <w:tcW w:w="3847" w:type="dxa"/>
            <w:tcBorders>
              <w:top w:val="nil"/>
              <w:left w:val="nil"/>
              <w:bottom w:val="single" w:sz="4" w:space="0" w:color="auto"/>
              <w:right w:val="single" w:sz="4" w:space="0" w:color="auto"/>
            </w:tcBorders>
            <w:vAlign w:val="center"/>
            <w:hideMark/>
          </w:tcPr>
          <w:p w14:paraId="0A5BF26C" w14:textId="77777777" w:rsidR="00416D67" w:rsidRPr="00416D67" w:rsidRDefault="00416D67" w:rsidP="00416D67">
            <w:pPr>
              <w:rPr>
                <w:color w:val="000000"/>
                <w:sz w:val="18"/>
                <w:szCs w:val="18"/>
              </w:rPr>
            </w:pPr>
            <w:r w:rsidRPr="00416D67">
              <w:rPr>
                <w:color w:val="000000"/>
                <w:sz w:val="18"/>
                <w:szCs w:val="18"/>
              </w:rPr>
              <w:t>Donacija Opća bolnica Pula</w:t>
            </w:r>
          </w:p>
        </w:tc>
        <w:tc>
          <w:tcPr>
            <w:tcW w:w="953" w:type="dxa"/>
            <w:tcBorders>
              <w:top w:val="nil"/>
              <w:left w:val="nil"/>
              <w:bottom w:val="single" w:sz="4" w:space="0" w:color="auto"/>
              <w:right w:val="single" w:sz="4" w:space="0" w:color="auto"/>
            </w:tcBorders>
            <w:noWrap/>
            <w:vAlign w:val="center"/>
            <w:hideMark/>
          </w:tcPr>
          <w:p w14:paraId="046FD050" w14:textId="77777777" w:rsidR="00416D67" w:rsidRPr="00416D67" w:rsidRDefault="00416D67" w:rsidP="00416D67">
            <w:pPr>
              <w:jc w:val="right"/>
              <w:rPr>
                <w:color w:val="000000"/>
                <w:sz w:val="18"/>
                <w:szCs w:val="18"/>
              </w:rPr>
            </w:pPr>
            <w:r w:rsidRPr="00416D67">
              <w:rPr>
                <w:color w:val="000000"/>
                <w:sz w:val="18"/>
                <w:szCs w:val="18"/>
              </w:rPr>
              <w:t> </w:t>
            </w:r>
          </w:p>
        </w:tc>
        <w:tc>
          <w:tcPr>
            <w:tcW w:w="983" w:type="dxa"/>
            <w:tcBorders>
              <w:top w:val="nil"/>
              <w:left w:val="nil"/>
              <w:bottom w:val="single" w:sz="4" w:space="0" w:color="auto"/>
              <w:right w:val="single" w:sz="4" w:space="0" w:color="auto"/>
            </w:tcBorders>
            <w:noWrap/>
            <w:vAlign w:val="center"/>
            <w:hideMark/>
          </w:tcPr>
          <w:p w14:paraId="50972D95" w14:textId="77777777" w:rsidR="00416D67" w:rsidRPr="00416D67" w:rsidRDefault="00416D67" w:rsidP="00416D67">
            <w:pPr>
              <w:jc w:val="right"/>
              <w:rPr>
                <w:color w:val="000000"/>
                <w:sz w:val="18"/>
                <w:szCs w:val="18"/>
              </w:rPr>
            </w:pPr>
            <w:r w:rsidRPr="00416D67">
              <w:rPr>
                <w:color w:val="000000"/>
                <w:sz w:val="18"/>
                <w:szCs w:val="18"/>
              </w:rPr>
              <w:t>600,00</w:t>
            </w:r>
          </w:p>
        </w:tc>
        <w:tc>
          <w:tcPr>
            <w:tcW w:w="953" w:type="dxa"/>
            <w:tcBorders>
              <w:top w:val="nil"/>
              <w:left w:val="nil"/>
              <w:bottom w:val="single" w:sz="4" w:space="0" w:color="auto"/>
              <w:right w:val="single" w:sz="4" w:space="0" w:color="auto"/>
            </w:tcBorders>
            <w:noWrap/>
            <w:vAlign w:val="center"/>
            <w:hideMark/>
          </w:tcPr>
          <w:p w14:paraId="52BC8086" w14:textId="77777777" w:rsidR="00416D67" w:rsidRPr="00416D67" w:rsidRDefault="00416D67" w:rsidP="00416D67">
            <w:pPr>
              <w:jc w:val="right"/>
              <w:rPr>
                <w:color w:val="000000"/>
                <w:sz w:val="18"/>
                <w:szCs w:val="18"/>
              </w:rPr>
            </w:pPr>
            <w:r w:rsidRPr="00416D67">
              <w:rPr>
                <w:color w:val="000000"/>
                <w:sz w:val="18"/>
                <w:szCs w:val="18"/>
              </w:rPr>
              <w:t>600,00</w:t>
            </w:r>
          </w:p>
        </w:tc>
        <w:tc>
          <w:tcPr>
            <w:tcW w:w="830" w:type="dxa"/>
            <w:tcBorders>
              <w:top w:val="nil"/>
              <w:left w:val="nil"/>
              <w:bottom w:val="single" w:sz="4" w:space="0" w:color="auto"/>
              <w:right w:val="single" w:sz="4" w:space="0" w:color="auto"/>
            </w:tcBorders>
            <w:noWrap/>
            <w:vAlign w:val="center"/>
            <w:hideMark/>
          </w:tcPr>
          <w:p w14:paraId="249B74E4" w14:textId="77777777" w:rsidR="00416D67" w:rsidRPr="00416D67" w:rsidRDefault="00416D67" w:rsidP="00416D67">
            <w:pPr>
              <w:jc w:val="right"/>
              <w:rPr>
                <w:color w:val="000000"/>
                <w:sz w:val="18"/>
                <w:szCs w:val="18"/>
              </w:rPr>
            </w:pPr>
            <w:r w:rsidRPr="00416D67">
              <w:rPr>
                <w:color w:val="000000"/>
                <w:sz w:val="18"/>
                <w:szCs w:val="18"/>
              </w:rPr>
              <w:t>0,00%</w:t>
            </w:r>
          </w:p>
        </w:tc>
        <w:tc>
          <w:tcPr>
            <w:tcW w:w="1123" w:type="dxa"/>
            <w:tcBorders>
              <w:top w:val="nil"/>
              <w:left w:val="nil"/>
              <w:bottom w:val="single" w:sz="4" w:space="0" w:color="auto"/>
              <w:right w:val="single" w:sz="4" w:space="0" w:color="auto"/>
            </w:tcBorders>
            <w:noWrap/>
            <w:vAlign w:val="center"/>
            <w:hideMark/>
          </w:tcPr>
          <w:p w14:paraId="7AE00AFE" w14:textId="77777777" w:rsidR="00416D67" w:rsidRPr="00416D67" w:rsidRDefault="00416D67" w:rsidP="00416D67">
            <w:pPr>
              <w:jc w:val="right"/>
              <w:rPr>
                <w:color w:val="000000"/>
                <w:sz w:val="18"/>
                <w:szCs w:val="18"/>
              </w:rPr>
            </w:pPr>
            <w:r w:rsidRPr="00416D67">
              <w:rPr>
                <w:color w:val="000000"/>
                <w:sz w:val="18"/>
                <w:szCs w:val="18"/>
              </w:rPr>
              <w:t>100,00%</w:t>
            </w:r>
          </w:p>
        </w:tc>
      </w:tr>
      <w:tr w:rsidR="00416D67" w:rsidRPr="00416D67" w14:paraId="2F2356BB" w14:textId="77777777" w:rsidTr="00BB1392">
        <w:trPr>
          <w:trHeight w:val="480"/>
        </w:trPr>
        <w:tc>
          <w:tcPr>
            <w:tcW w:w="824" w:type="dxa"/>
            <w:tcBorders>
              <w:top w:val="nil"/>
              <w:left w:val="single" w:sz="4" w:space="0" w:color="auto"/>
              <w:bottom w:val="single" w:sz="4" w:space="0" w:color="auto"/>
              <w:right w:val="single" w:sz="4" w:space="0" w:color="auto"/>
            </w:tcBorders>
            <w:noWrap/>
            <w:vAlign w:val="center"/>
            <w:hideMark/>
          </w:tcPr>
          <w:p w14:paraId="6783ED95" w14:textId="77777777" w:rsidR="00416D67" w:rsidRPr="00416D67" w:rsidRDefault="00416D67" w:rsidP="00416D67">
            <w:pPr>
              <w:rPr>
                <w:color w:val="000000"/>
                <w:sz w:val="18"/>
                <w:szCs w:val="18"/>
              </w:rPr>
            </w:pPr>
            <w:r w:rsidRPr="00416D67">
              <w:rPr>
                <w:color w:val="000000"/>
                <w:sz w:val="18"/>
                <w:szCs w:val="18"/>
              </w:rPr>
              <w:t>A400025</w:t>
            </w:r>
          </w:p>
        </w:tc>
        <w:tc>
          <w:tcPr>
            <w:tcW w:w="3847" w:type="dxa"/>
            <w:tcBorders>
              <w:top w:val="nil"/>
              <w:left w:val="nil"/>
              <w:bottom w:val="single" w:sz="4" w:space="0" w:color="auto"/>
              <w:right w:val="single" w:sz="4" w:space="0" w:color="auto"/>
            </w:tcBorders>
            <w:vAlign w:val="center"/>
            <w:hideMark/>
          </w:tcPr>
          <w:p w14:paraId="4B3E4E63" w14:textId="77777777" w:rsidR="00416D67" w:rsidRPr="00416D67" w:rsidRDefault="00416D67" w:rsidP="00416D67">
            <w:pPr>
              <w:rPr>
                <w:color w:val="000000"/>
                <w:sz w:val="18"/>
                <w:szCs w:val="18"/>
              </w:rPr>
            </w:pPr>
            <w:r w:rsidRPr="00416D67">
              <w:rPr>
                <w:color w:val="000000"/>
                <w:sz w:val="18"/>
                <w:szCs w:val="18"/>
              </w:rPr>
              <w:t>Sufinanciranje nabave opreme IDZ ordinacija Marčana</w:t>
            </w:r>
          </w:p>
        </w:tc>
        <w:tc>
          <w:tcPr>
            <w:tcW w:w="953" w:type="dxa"/>
            <w:tcBorders>
              <w:top w:val="nil"/>
              <w:left w:val="nil"/>
              <w:bottom w:val="single" w:sz="4" w:space="0" w:color="auto"/>
              <w:right w:val="single" w:sz="4" w:space="0" w:color="auto"/>
            </w:tcBorders>
            <w:noWrap/>
            <w:vAlign w:val="center"/>
            <w:hideMark/>
          </w:tcPr>
          <w:p w14:paraId="30520A9A" w14:textId="77777777" w:rsidR="00416D67" w:rsidRPr="00416D67" w:rsidRDefault="00416D67" w:rsidP="00416D67">
            <w:pPr>
              <w:jc w:val="right"/>
              <w:rPr>
                <w:color w:val="000000"/>
                <w:sz w:val="18"/>
                <w:szCs w:val="18"/>
              </w:rPr>
            </w:pPr>
            <w:r w:rsidRPr="00416D67">
              <w:rPr>
                <w:color w:val="000000"/>
                <w:sz w:val="18"/>
                <w:szCs w:val="18"/>
              </w:rPr>
              <w:t>757,13</w:t>
            </w:r>
          </w:p>
        </w:tc>
        <w:tc>
          <w:tcPr>
            <w:tcW w:w="983" w:type="dxa"/>
            <w:tcBorders>
              <w:top w:val="nil"/>
              <w:left w:val="nil"/>
              <w:bottom w:val="single" w:sz="4" w:space="0" w:color="auto"/>
              <w:right w:val="single" w:sz="4" w:space="0" w:color="auto"/>
            </w:tcBorders>
            <w:noWrap/>
            <w:vAlign w:val="center"/>
            <w:hideMark/>
          </w:tcPr>
          <w:p w14:paraId="566D793B" w14:textId="77777777" w:rsidR="00416D67" w:rsidRPr="00416D67" w:rsidRDefault="00416D67" w:rsidP="00416D67">
            <w:pPr>
              <w:jc w:val="right"/>
              <w:rPr>
                <w:color w:val="000000"/>
                <w:sz w:val="18"/>
                <w:szCs w:val="18"/>
              </w:rPr>
            </w:pPr>
            <w:r w:rsidRPr="00416D67">
              <w:rPr>
                <w:color w:val="000000"/>
                <w:sz w:val="18"/>
                <w:szCs w:val="18"/>
              </w:rPr>
              <w:t>8.000,00</w:t>
            </w:r>
          </w:p>
        </w:tc>
        <w:tc>
          <w:tcPr>
            <w:tcW w:w="953" w:type="dxa"/>
            <w:tcBorders>
              <w:top w:val="nil"/>
              <w:left w:val="nil"/>
              <w:bottom w:val="single" w:sz="4" w:space="0" w:color="auto"/>
              <w:right w:val="single" w:sz="4" w:space="0" w:color="auto"/>
            </w:tcBorders>
            <w:noWrap/>
            <w:vAlign w:val="center"/>
            <w:hideMark/>
          </w:tcPr>
          <w:p w14:paraId="40D0AA9E" w14:textId="77777777" w:rsidR="00416D67" w:rsidRPr="00416D67" w:rsidRDefault="00416D67" w:rsidP="00416D67">
            <w:pPr>
              <w:jc w:val="right"/>
              <w:rPr>
                <w:color w:val="000000"/>
                <w:sz w:val="18"/>
                <w:szCs w:val="18"/>
              </w:rPr>
            </w:pPr>
            <w:r w:rsidRPr="00416D67">
              <w:rPr>
                <w:color w:val="000000"/>
                <w:sz w:val="18"/>
                <w:szCs w:val="18"/>
              </w:rPr>
              <w:t>0,00</w:t>
            </w:r>
          </w:p>
        </w:tc>
        <w:tc>
          <w:tcPr>
            <w:tcW w:w="830" w:type="dxa"/>
            <w:tcBorders>
              <w:top w:val="nil"/>
              <w:left w:val="nil"/>
              <w:bottom w:val="single" w:sz="4" w:space="0" w:color="auto"/>
              <w:right w:val="single" w:sz="4" w:space="0" w:color="auto"/>
            </w:tcBorders>
            <w:noWrap/>
            <w:vAlign w:val="center"/>
            <w:hideMark/>
          </w:tcPr>
          <w:p w14:paraId="202E559A" w14:textId="77777777" w:rsidR="00416D67" w:rsidRPr="00416D67" w:rsidRDefault="00416D67" w:rsidP="00416D67">
            <w:pPr>
              <w:jc w:val="right"/>
              <w:rPr>
                <w:color w:val="000000"/>
                <w:sz w:val="18"/>
                <w:szCs w:val="18"/>
              </w:rPr>
            </w:pPr>
            <w:r w:rsidRPr="00416D67">
              <w:rPr>
                <w:color w:val="000000"/>
                <w:sz w:val="18"/>
                <w:szCs w:val="18"/>
              </w:rPr>
              <w:t>0,00%</w:t>
            </w:r>
          </w:p>
        </w:tc>
        <w:tc>
          <w:tcPr>
            <w:tcW w:w="1123" w:type="dxa"/>
            <w:tcBorders>
              <w:top w:val="nil"/>
              <w:left w:val="nil"/>
              <w:bottom w:val="single" w:sz="4" w:space="0" w:color="auto"/>
              <w:right w:val="single" w:sz="4" w:space="0" w:color="auto"/>
            </w:tcBorders>
            <w:noWrap/>
            <w:vAlign w:val="center"/>
            <w:hideMark/>
          </w:tcPr>
          <w:p w14:paraId="2C96C57F" w14:textId="77777777" w:rsidR="00416D67" w:rsidRPr="00416D67" w:rsidRDefault="00416D67" w:rsidP="00416D67">
            <w:pPr>
              <w:jc w:val="right"/>
              <w:rPr>
                <w:color w:val="000000"/>
                <w:sz w:val="18"/>
                <w:szCs w:val="18"/>
              </w:rPr>
            </w:pPr>
            <w:r w:rsidRPr="00416D67">
              <w:rPr>
                <w:color w:val="000000"/>
                <w:sz w:val="18"/>
                <w:szCs w:val="18"/>
              </w:rPr>
              <w:t>0,00%</w:t>
            </w:r>
          </w:p>
        </w:tc>
      </w:tr>
      <w:tr w:rsidR="00416D67" w:rsidRPr="00416D67" w14:paraId="5A7499DE" w14:textId="77777777" w:rsidTr="00BB1392">
        <w:trPr>
          <w:trHeight w:val="126"/>
        </w:trPr>
        <w:tc>
          <w:tcPr>
            <w:tcW w:w="824" w:type="dxa"/>
            <w:tcBorders>
              <w:top w:val="nil"/>
              <w:left w:val="single" w:sz="4" w:space="0" w:color="auto"/>
              <w:bottom w:val="single" w:sz="4" w:space="0" w:color="auto"/>
              <w:right w:val="single" w:sz="4" w:space="0" w:color="auto"/>
            </w:tcBorders>
            <w:noWrap/>
            <w:vAlign w:val="center"/>
            <w:hideMark/>
          </w:tcPr>
          <w:p w14:paraId="79C3033F" w14:textId="77777777" w:rsidR="00416D67" w:rsidRPr="00416D67" w:rsidRDefault="00416D67" w:rsidP="00416D67">
            <w:pPr>
              <w:rPr>
                <w:color w:val="000000"/>
                <w:sz w:val="18"/>
                <w:szCs w:val="18"/>
              </w:rPr>
            </w:pPr>
            <w:r w:rsidRPr="00416D67">
              <w:rPr>
                <w:color w:val="000000"/>
                <w:sz w:val="18"/>
                <w:szCs w:val="18"/>
              </w:rPr>
              <w:t>K400002</w:t>
            </w:r>
          </w:p>
        </w:tc>
        <w:tc>
          <w:tcPr>
            <w:tcW w:w="3847" w:type="dxa"/>
            <w:tcBorders>
              <w:top w:val="nil"/>
              <w:left w:val="nil"/>
              <w:bottom w:val="single" w:sz="4" w:space="0" w:color="auto"/>
              <w:right w:val="single" w:sz="4" w:space="0" w:color="auto"/>
            </w:tcBorders>
            <w:vAlign w:val="center"/>
            <w:hideMark/>
          </w:tcPr>
          <w:p w14:paraId="49607462" w14:textId="77777777" w:rsidR="00416D67" w:rsidRPr="00416D67" w:rsidRDefault="00416D67" w:rsidP="00416D67">
            <w:pPr>
              <w:rPr>
                <w:color w:val="000000"/>
                <w:sz w:val="18"/>
                <w:szCs w:val="18"/>
              </w:rPr>
            </w:pPr>
            <w:r w:rsidRPr="00416D67">
              <w:rPr>
                <w:color w:val="000000"/>
                <w:sz w:val="18"/>
                <w:szCs w:val="18"/>
              </w:rPr>
              <w:t xml:space="preserve">Potpora </w:t>
            </w:r>
            <w:proofErr w:type="spellStart"/>
            <w:r w:rsidRPr="00416D67">
              <w:rPr>
                <w:color w:val="000000"/>
                <w:sz w:val="18"/>
                <w:szCs w:val="18"/>
              </w:rPr>
              <w:t>Specijanoj</w:t>
            </w:r>
            <w:proofErr w:type="spellEnd"/>
            <w:r w:rsidRPr="00416D67">
              <w:rPr>
                <w:color w:val="000000"/>
                <w:sz w:val="18"/>
                <w:szCs w:val="18"/>
              </w:rPr>
              <w:t xml:space="preserve"> bolnici </w:t>
            </w:r>
            <w:proofErr w:type="spellStart"/>
            <w:r w:rsidRPr="00416D67">
              <w:rPr>
                <w:color w:val="000000"/>
                <w:sz w:val="18"/>
                <w:szCs w:val="18"/>
              </w:rPr>
              <w:t>dr</w:t>
            </w:r>
            <w:proofErr w:type="spellEnd"/>
            <w:r w:rsidRPr="00416D67">
              <w:rPr>
                <w:color w:val="000000"/>
                <w:sz w:val="18"/>
                <w:szCs w:val="18"/>
              </w:rPr>
              <w:t xml:space="preserve"> "Martin  Horvat" Rovinj</w:t>
            </w:r>
          </w:p>
        </w:tc>
        <w:tc>
          <w:tcPr>
            <w:tcW w:w="953" w:type="dxa"/>
            <w:tcBorders>
              <w:top w:val="nil"/>
              <w:left w:val="nil"/>
              <w:bottom w:val="single" w:sz="4" w:space="0" w:color="auto"/>
              <w:right w:val="single" w:sz="4" w:space="0" w:color="auto"/>
            </w:tcBorders>
            <w:noWrap/>
            <w:vAlign w:val="center"/>
            <w:hideMark/>
          </w:tcPr>
          <w:p w14:paraId="145DAE0B" w14:textId="77777777" w:rsidR="00416D67" w:rsidRPr="00416D67" w:rsidRDefault="00416D67" w:rsidP="00416D67">
            <w:pPr>
              <w:jc w:val="right"/>
              <w:rPr>
                <w:color w:val="000000"/>
                <w:sz w:val="18"/>
                <w:szCs w:val="18"/>
              </w:rPr>
            </w:pPr>
            <w:r w:rsidRPr="00416D67">
              <w:rPr>
                <w:color w:val="000000"/>
                <w:sz w:val="18"/>
                <w:szCs w:val="18"/>
              </w:rPr>
              <w:t>476,30</w:t>
            </w:r>
          </w:p>
        </w:tc>
        <w:tc>
          <w:tcPr>
            <w:tcW w:w="983" w:type="dxa"/>
            <w:tcBorders>
              <w:top w:val="nil"/>
              <w:left w:val="nil"/>
              <w:bottom w:val="single" w:sz="4" w:space="0" w:color="auto"/>
              <w:right w:val="single" w:sz="4" w:space="0" w:color="auto"/>
            </w:tcBorders>
            <w:noWrap/>
            <w:vAlign w:val="center"/>
            <w:hideMark/>
          </w:tcPr>
          <w:p w14:paraId="68EA98B0" w14:textId="77777777" w:rsidR="00416D67" w:rsidRPr="00416D67" w:rsidRDefault="00416D67" w:rsidP="00416D67">
            <w:pPr>
              <w:jc w:val="right"/>
              <w:rPr>
                <w:color w:val="000000"/>
                <w:sz w:val="18"/>
                <w:szCs w:val="18"/>
              </w:rPr>
            </w:pPr>
            <w:r w:rsidRPr="00416D67">
              <w:rPr>
                <w:color w:val="000000"/>
                <w:sz w:val="18"/>
                <w:szCs w:val="18"/>
              </w:rPr>
              <w:t>3.770,00</w:t>
            </w:r>
          </w:p>
        </w:tc>
        <w:tc>
          <w:tcPr>
            <w:tcW w:w="953" w:type="dxa"/>
            <w:tcBorders>
              <w:top w:val="nil"/>
              <w:left w:val="nil"/>
              <w:bottom w:val="single" w:sz="4" w:space="0" w:color="auto"/>
              <w:right w:val="single" w:sz="4" w:space="0" w:color="auto"/>
            </w:tcBorders>
            <w:noWrap/>
            <w:vAlign w:val="center"/>
            <w:hideMark/>
          </w:tcPr>
          <w:p w14:paraId="0AF076BA" w14:textId="77777777" w:rsidR="00416D67" w:rsidRPr="00416D67" w:rsidRDefault="00416D67" w:rsidP="00416D67">
            <w:pPr>
              <w:jc w:val="right"/>
              <w:rPr>
                <w:color w:val="000000"/>
                <w:sz w:val="18"/>
                <w:szCs w:val="18"/>
              </w:rPr>
            </w:pPr>
            <w:r w:rsidRPr="00416D67">
              <w:rPr>
                <w:color w:val="000000"/>
                <w:sz w:val="18"/>
                <w:szCs w:val="18"/>
              </w:rPr>
              <w:t>3.766,09</w:t>
            </w:r>
          </w:p>
        </w:tc>
        <w:tc>
          <w:tcPr>
            <w:tcW w:w="830" w:type="dxa"/>
            <w:tcBorders>
              <w:top w:val="nil"/>
              <w:left w:val="nil"/>
              <w:bottom w:val="single" w:sz="4" w:space="0" w:color="auto"/>
              <w:right w:val="single" w:sz="4" w:space="0" w:color="auto"/>
            </w:tcBorders>
            <w:noWrap/>
            <w:vAlign w:val="center"/>
            <w:hideMark/>
          </w:tcPr>
          <w:p w14:paraId="4607686E" w14:textId="77777777" w:rsidR="00416D67" w:rsidRPr="00416D67" w:rsidRDefault="00416D67" w:rsidP="00416D67">
            <w:pPr>
              <w:jc w:val="right"/>
              <w:rPr>
                <w:color w:val="000000"/>
                <w:sz w:val="18"/>
                <w:szCs w:val="18"/>
              </w:rPr>
            </w:pPr>
            <w:r w:rsidRPr="00416D67">
              <w:rPr>
                <w:color w:val="000000"/>
                <w:sz w:val="18"/>
                <w:szCs w:val="18"/>
              </w:rPr>
              <w:t>790,70%</w:t>
            </w:r>
          </w:p>
        </w:tc>
        <w:tc>
          <w:tcPr>
            <w:tcW w:w="1123" w:type="dxa"/>
            <w:tcBorders>
              <w:top w:val="nil"/>
              <w:left w:val="nil"/>
              <w:bottom w:val="single" w:sz="4" w:space="0" w:color="auto"/>
              <w:right w:val="single" w:sz="4" w:space="0" w:color="auto"/>
            </w:tcBorders>
            <w:noWrap/>
            <w:vAlign w:val="center"/>
            <w:hideMark/>
          </w:tcPr>
          <w:p w14:paraId="253E19E8" w14:textId="77777777" w:rsidR="00416D67" w:rsidRPr="00416D67" w:rsidRDefault="00416D67" w:rsidP="00416D67">
            <w:pPr>
              <w:jc w:val="right"/>
              <w:rPr>
                <w:color w:val="000000"/>
                <w:sz w:val="18"/>
                <w:szCs w:val="18"/>
              </w:rPr>
            </w:pPr>
            <w:r w:rsidRPr="00416D67">
              <w:rPr>
                <w:color w:val="000000"/>
                <w:sz w:val="18"/>
                <w:szCs w:val="18"/>
              </w:rPr>
              <w:t>99,90%</w:t>
            </w:r>
          </w:p>
        </w:tc>
      </w:tr>
    </w:tbl>
    <w:p w14:paraId="463FC984" w14:textId="77777777" w:rsidR="00416D67" w:rsidRPr="00416D67" w:rsidRDefault="00416D67" w:rsidP="00416D67">
      <w:pPr>
        <w:ind w:firstLine="708"/>
        <w:jc w:val="both"/>
        <w:rPr>
          <w:b/>
        </w:rPr>
      </w:pPr>
      <w:r w:rsidRPr="00416D67">
        <w:rPr>
          <w:b/>
        </w:rPr>
        <w:lastRenderedPageBreak/>
        <w:t xml:space="preserve">3.Programi u drugim djelatnostima (osim društvenih djelatnosti) </w:t>
      </w:r>
    </w:p>
    <w:p w14:paraId="1822AE10" w14:textId="77777777" w:rsidR="00416D67" w:rsidRPr="00416D67" w:rsidRDefault="00416D67" w:rsidP="00416D67">
      <w:pPr>
        <w:ind w:firstLine="708"/>
        <w:jc w:val="both"/>
        <w:rPr>
          <w:b/>
        </w:rPr>
      </w:pPr>
    </w:p>
    <w:p w14:paraId="057C5EE1" w14:textId="77777777" w:rsidR="00416D67" w:rsidRPr="00416D67" w:rsidRDefault="00416D67" w:rsidP="00416D67">
      <w:pPr>
        <w:ind w:firstLine="708"/>
        <w:jc w:val="both"/>
        <w:rPr>
          <w:b/>
        </w:rPr>
      </w:pPr>
      <w:r w:rsidRPr="00416D67">
        <w:rPr>
          <w:b/>
        </w:rPr>
        <w:t xml:space="preserve">Program mjera poticanja razvoja malog i srednjeg poduzetništva </w:t>
      </w:r>
      <w:proofErr w:type="spellStart"/>
      <w:r w:rsidRPr="00416D67">
        <w:t>realziran</w:t>
      </w:r>
      <w:proofErr w:type="spellEnd"/>
      <w:r w:rsidRPr="00416D67">
        <w:t xml:space="preserve"> je u iznosu od 25.000,0 EUR, u izvještajnom razdoblju prethodne godine nije realiziran. Odnose se na potpore za sufinanciranje nabave opreme, inventara i ulaganja u standard kvalitete, potpora za sufinanciranje nastupa poduzetnika na sajmovima, izložbama te izradu promotivnih materijala i subvencioniranje kamata na poduzetničke kredite). Natječaj je raspisan krajem 2024.godine, te se njegova realizacija ostvarila u prvom kvartalu 2025. kada su potpisani ugovori sa korisnicima za dodjelu potpore</w:t>
      </w:r>
    </w:p>
    <w:p w14:paraId="0F5080A8" w14:textId="77777777" w:rsidR="00416D67" w:rsidRPr="00416D67" w:rsidRDefault="00416D67" w:rsidP="00416D67">
      <w:pPr>
        <w:jc w:val="both"/>
        <w:rPr>
          <w:b/>
        </w:rPr>
      </w:pPr>
    </w:p>
    <w:p w14:paraId="1E64793C" w14:textId="77777777" w:rsidR="00416D67" w:rsidRPr="00416D67" w:rsidRDefault="00416D67" w:rsidP="00416D67">
      <w:pPr>
        <w:ind w:firstLine="708"/>
        <w:jc w:val="both"/>
        <w:rPr>
          <w:b/>
        </w:rPr>
      </w:pPr>
      <w:r w:rsidRPr="00416D67">
        <w:rPr>
          <w:b/>
        </w:rPr>
        <w:t xml:space="preserve">Program potpore župnim uredima </w:t>
      </w:r>
    </w:p>
    <w:p w14:paraId="0F8BC239" w14:textId="77777777" w:rsidR="00416D67" w:rsidRPr="00416D67" w:rsidRDefault="00416D67" w:rsidP="00416D67">
      <w:pPr>
        <w:ind w:firstLine="708"/>
        <w:jc w:val="both"/>
      </w:pPr>
      <w:r w:rsidRPr="00416D67">
        <w:t xml:space="preserve">Program potpora župnim uredima na području Općine Marčana realizirani  su  u iznosu od 38.706,50 EUR (ostvarenje 2024.godina 5.676,53 EUR), od čega      troškovi tekuće </w:t>
      </w:r>
      <w:proofErr w:type="spellStart"/>
      <w:r w:rsidRPr="00416D67">
        <w:t>godržavanja</w:t>
      </w:r>
      <w:proofErr w:type="spellEnd"/>
      <w:r w:rsidRPr="00416D67">
        <w:t xml:space="preserve"> župnih ureda 1.600,00 EUR te na kapitalne potpore u iznosu od 37.106,50 EUR.</w:t>
      </w:r>
    </w:p>
    <w:p w14:paraId="7FA6CCDC" w14:textId="77777777" w:rsidR="00416D67" w:rsidRPr="00416D67" w:rsidRDefault="00416D67" w:rsidP="00416D67">
      <w:pPr>
        <w:ind w:firstLine="708"/>
        <w:jc w:val="both"/>
        <w:rPr>
          <w:b/>
        </w:rPr>
      </w:pPr>
    </w:p>
    <w:p w14:paraId="3D0E110D" w14:textId="77777777" w:rsidR="00416D67" w:rsidRPr="00416D67" w:rsidRDefault="00416D67" w:rsidP="00416D67">
      <w:pPr>
        <w:ind w:firstLine="708"/>
        <w:jc w:val="both"/>
        <w:rPr>
          <w:b/>
        </w:rPr>
      </w:pPr>
      <w:r w:rsidRPr="00416D67">
        <w:rPr>
          <w:b/>
        </w:rPr>
        <w:t xml:space="preserve">Program subvencije za cestovni javni prijevoz </w:t>
      </w:r>
    </w:p>
    <w:p w14:paraId="5FB106BF" w14:textId="77777777" w:rsidR="00416D67" w:rsidRPr="00416D67" w:rsidRDefault="00416D67" w:rsidP="00416D67">
      <w:pPr>
        <w:ind w:firstLine="708"/>
        <w:jc w:val="both"/>
      </w:pPr>
      <w:r w:rsidRPr="00416D67">
        <w:t xml:space="preserve">Program  subvencije za cestovni javni prijevoz realizirani  su  u iznosu od 184.966,11 EUR (ostvarenje 2024.godina 26.181,25) i odnosi se na   </w:t>
      </w:r>
      <w:proofErr w:type="spellStart"/>
      <w:r w:rsidRPr="00416D67">
        <w:t>na</w:t>
      </w:r>
      <w:proofErr w:type="spellEnd"/>
      <w:r w:rsidRPr="00416D67">
        <w:t xml:space="preserve"> usluga prijevoza </w:t>
      </w:r>
      <w:proofErr w:type="spellStart"/>
      <w:r w:rsidRPr="00416D67">
        <w:t>Mandalena</w:t>
      </w:r>
      <w:proofErr w:type="spellEnd"/>
      <w:r w:rsidRPr="00416D67">
        <w:t xml:space="preserve"> d.o.o. Marčana i </w:t>
      </w:r>
      <w:proofErr w:type="spellStart"/>
      <w:r w:rsidRPr="00416D67">
        <w:t>Pulapromet</w:t>
      </w:r>
      <w:proofErr w:type="spellEnd"/>
      <w:r w:rsidRPr="00416D67">
        <w:t xml:space="preserve"> </w:t>
      </w:r>
      <w:proofErr w:type="spellStart"/>
      <w:r w:rsidRPr="00416D67">
        <w:t>doo</w:t>
      </w:r>
      <w:proofErr w:type="spellEnd"/>
      <w:r w:rsidRPr="00416D67">
        <w:t xml:space="preserve"> Pula u iznosu od 63.538,36 EUR ,   </w:t>
      </w:r>
      <w:proofErr w:type="spellStart"/>
      <w:r w:rsidRPr="00416D67">
        <w:t>Fils</w:t>
      </w:r>
      <w:proofErr w:type="spellEnd"/>
      <w:r w:rsidRPr="00416D67">
        <w:t xml:space="preserve"> </w:t>
      </w:r>
      <w:proofErr w:type="spellStart"/>
      <w:r w:rsidRPr="00416D67">
        <w:t>doo</w:t>
      </w:r>
      <w:proofErr w:type="spellEnd"/>
      <w:r w:rsidRPr="00416D67">
        <w:t xml:space="preserve">   u iznosu od 12.153,75 EUR . U programu je evidentiran izdatak za ulaganja u financijske instrumente dionice i udjele u glavnici </w:t>
      </w:r>
      <w:proofErr w:type="spellStart"/>
      <w:r w:rsidRPr="00416D67">
        <w:t>Pulapromet</w:t>
      </w:r>
      <w:proofErr w:type="spellEnd"/>
      <w:r w:rsidRPr="00416D67">
        <w:t xml:space="preserve"> </w:t>
      </w:r>
      <w:proofErr w:type="spellStart"/>
      <w:r w:rsidRPr="00416D67">
        <w:t>doo</w:t>
      </w:r>
      <w:proofErr w:type="spellEnd"/>
      <w:r w:rsidRPr="00416D67">
        <w:t xml:space="preserve"> Pula u iznosu od 109.274,00 EUR</w:t>
      </w:r>
    </w:p>
    <w:p w14:paraId="255CC43A" w14:textId="77777777" w:rsidR="00416D67" w:rsidRPr="00416D67" w:rsidRDefault="00416D67" w:rsidP="00416D67">
      <w:pPr>
        <w:jc w:val="both"/>
        <w:rPr>
          <w:b/>
        </w:rPr>
      </w:pPr>
    </w:p>
    <w:p w14:paraId="72E09BB1" w14:textId="77777777" w:rsidR="00416D67" w:rsidRPr="00416D67" w:rsidRDefault="00416D67" w:rsidP="00416D67">
      <w:pPr>
        <w:ind w:firstLine="708"/>
        <w:jc w:val="both"/>
        <w:rPr>
          <w:b/>
        </w:rPr>
      </w:pPr>
      <w:r w:rsidRPr="00416D67">
        <w:rPr>
          <w:b/>
        </w:rPr>
        <w:t>Program potpora javnom zdravstvu</w:t>
      </w:r>
    </w:p>
    <w:p w14:paraId="2DC1BF1A" w14:textId="77777777" w:rsidR="00416D67" w:rsidRPr="00416D67" w:rsidRDefault="00416D67" w:rsidP="00416D67">
      <w:pPr>
        <w:ind w:firstLine="708"/>
        <w:jc w:val="both"/>
      </w:pPr>
      <w:r w:rsidRPr="00416D67">
        <w:t xml:space="preserve">Program  potpora javnom zdravstvu ostvaren je u iznosu od 5.01,89 EUR (ostvarenje 2024.godina 3.059,68 EUR) i odnosi se na   dezinfekciju, deratizaciju i dezinsekciju javnih površina, za koje je u </w:t>
      </w:r>
      <w:proofErr w:type="spellStart"/>
      <w:r w:rsidRPr="00416D67">
        <w:t>izvjšetajnom</w:t>
      </w:r>
      <w:proofErr w:type="spellEnd"/>
      <w:r w:rsidRPr="00416D67">
        <w:t xml:space="preserve"> razdoblju izdvojeno više sredstava. </w:t>
      </w:r>
    </w:p>
    <w:p w14:paraId="7CCD0E33" w14:textId="77777777" w:rsidR="00416D67" w:rsidRPr="00416D67" w:rsidRDefault="00416D67" w:rsidP="00416D67">
      <w:pPr>
        <w:jc w:val="both"/>
      </w:pPr>
    </w:p>
    <w:p w14:paraId="61A6BED9" w14:textId="77777777" w:rsidR="00416D67" w:rsidRPr="00416D67" w:rsidRDefault="00416D67" w:rsidP="00416D67">
      <w:pPr>
        <w:ind w:firstLine="708"/>
        <w:jc w:val="both"/>
        <w:rPr>
          <w:b/>
        </w:rPr>
      </w:pPr>
      <w:r w:rsidRPr="00416D67">
        <w:rPr>
          <w:b/>
        </w:rPr>
        <w:t>Program razvoja i poticanja poljoprivrede</w:t>
      </w:r>
    </w:p>
    <w:p w14:paraId="54F482A4" w14:textId="77777777" w:rsidR="00416D67" w:rsidRPr="00416D67" w:rsidRDefault="00416D67" w:rsidP="00416D67">
      <w:pPr>
        <w:ind w:firstLine="708"/>
        <w:jc w:val="both"/>
        <w:rPr>
          <w:b/>
        </w:rPr>
      </w:pPr>
      <w:r w:rsidRPr="00416D67">
        <w:t>Program  razvoja i poticanja poljoprivrede  realiziran je u iznosu od 26.246,13 EUR (ostvarenje 2024.godina 25.145,75 EUR) i odnosi se na rashode Fond za razvoj poljoprivrede Istarske županije 1.330,00 EUR i za mjere za poboljšanje ruralne infrastrukture vezane za razvitak poljoprivrede -usluge tekućeg i investicijskog održavanja u iznosu od 24.916,13 EUR.</w:t>
      </w:r>
      <w:r w:rsidRPr="00416D67">
        <w:rPr>
          <w:b/>
        </w:rPr>
        <w:t xml:space="preserve"> </w:t>
      </w:r>
    </w:p>
    <w:p w14:paraId="4344B86D" w14:textId="77777777" w:rsidR="00416D67" w:rsidRPr="00416D67" w:rsidRDefault="00416D67" w:rsidP="00416D67">
      <w:pPr>
        <w:ind w:firstLine="708"/>
        <w:jc w:val="both"/>
        <w:rPr>
          <w:b/>
        </w:rPr>
      </w:pPr>
      <w:r w:rsidRPr="00416D67">
        <w:rPr>
          <w:b/>
        </w:rPr>
        <w:t xml:space="preserve">Program izgradnje poduzetničkog inkubatora u </w:t>
      </w:r>
      <w:proofErr w:type="spellStart"/>
      <w:r w:rsidRPr="00416D67">
        <w:rPr>
          <w:b/>
        </w:rPr>
        <w:t>Marčani</w:t>
      </w:r>
      <w:proofErr w:type="spellEnd"/>
    </w:p>
    <w:p w14:paraId="3E640830" w14:textId="77777777" w:rsidR="00416D67" w:rsidRPr="00416D67" w:rsidRDefault="00416D67" w:rsidP="00416D67">
      <w:pPr>
        <w:ind w:firstLine="708"/>
        <w:jc w:val="both"/>
        <w:rPr>
          <w:rFonts w:ascii="Arimo" w:eastAsia="ari" w:hAnsi="Arimo" w:cs="Arimo"/>
          <w:sz w:val="14"/>
          <w:szCs w:val="14"/>
        </w:rPr>
      </w:pPr>
      <w:r w:rsidRPr="00416D67">
        <w:t xml:space="preserve">Program izgradnje poduzetničkog inkubatora u </w:t>
      </w:r>
      <w:proofErr w:type="spellStart"/>
      <w:r w:rsidRPr="00416D67">
        <w:t>Marčani</w:t>
      </w:r>
      <w:proofErr w:type="spellEnd"/>
      <w:r w:rsidRPr="00416D67">
        <w:t xml:space="preserve"> projekt je započet prethodne godine, u izvještajnom razdoblju realizirano je 53.073,75 EUR ,  a sredstva su utrošena za geodetske usluge i projektnu dokumentaciju. </w:t>
      </w:r>
      <w:r w:rsidRPr="00416D67">
        <w:rPr>
          <w:rFonts w:ascii="Arimo" w:eastAsia="ari" w:hAnsi="Arimo" w:cs="Arimo"/>
          <w:sz w:val="14"/>
          <w:szCs w:val="14"/>
        </w:rPr>
        <w:t xml:space="preserve">   </w:t>
      </w:r>
    </w:p>
    <w:p w14:paraId="1E9AE412" w14:textId="77777777" w:rsidR="00416D67" w:rsidRPr="00416D67" w:rsidRDefault="00416D67" w:rsidP="00416D67">
      <w:pPr>
        <w:ind w:firstLine="708"/>
        <w:jc w:val="both"/>
      </w:pPr>
    </w:p>
    <w:p w14:paraId="372C36B8" w14:textId="77777777" w:rsidR="00416D67" w:rsidRPr="00416D67" w:rsidRDefault="00416D67" w:rsidP="00416D67">
      <w:pPr>
        <w:ind w:firstLine="708"/>
        <w:jc w:val="both"/>
        <w:rPr>
          <w:b/>
        </w:rPr>
      </w:pPr>
      <w:r w:rsidRPr="00416D67">
        <w:rPr>
          <w:b/>
        </w:rPr>
        <w:t>Program zaštite i spašavanja i protupožarne zaštite</w:t>
      </w:r>
    </w:p>
    <w:p w14:paraId="363C02D1" w14:textId="77777777" w:rsidR="00416D67" w:rsidRPr="00416D67" w:rsidRDefault="00416D67" w:rsidP="00416D67">
      <w:pPr>
        <w:ind w:firstLine="708"/>
        <w:jc w:val="both"/>
      </w:pPr>
      <w:r w:rsidRPr="00416D67">
        <w:t xml:space="preserve">Najveći izdaci unutar ovog glavnog programa odnosili su se u 2025. godini na financiranje Javne vatrogasne postrojbe Pula za što je utrošeno 170.007,09 EUR od čega kroz decentralizirana sredstva   iz državnog proračuna u iznosu od 24.969,60 EUR i iz ostalih prihoda proračuna 145.037,49 EUR . Osim toga za financiranje Područne vatrogasne zajednice i putem  DVD-a Općine Marčana izdvojeno je 90.000,00 EUR, za Vatrogasnu zajednicu Istarske županije 1.330,00 EUR, a za izradu protupožarnih putova 12.062,50 EUR. U 2025. godini dana je potpora Gorskoj službi spašavanja  u iznosu od 2.500,00 EUR. </w:t>
      </w:r>
    </w:p>
    <w:p w14:paraId="3744DAD3" w14:textId="77777777" w:rsidR="00416D67" w:rsidRPr="00416D67" w:rsidRDefault="00416D67" w:rsidP="00416D67">
      <w:pPr>
        <w:jc w:val="both"/>
        <w:sectPr w:rsidR="00416D67" w:rsidRPr="00416D67" w:rsidSect="00416D67">
          <w:pgSz w:w="11906" w:h="16838"/>
          <w:pgMar w:top="1418" w:right="1418" w:bottom="1418" w:left="1418" w:header="709" w:footer="709" w:gutter="0"/>
          <w:cols w:space="708"/>
          <w:docGrid w:linePitch="360"/>
        </w:sectPr>
      </w:pPr>
    </w:p>
    <w:p w14:paraId="678BB4C1" w14:textId="77777777" w:rsidR="00416D67" w:rsidRPr="00416D67" w:rsidRDefault="00416D67" w:rsidP="00416D67">
      <w:pPr>
        <w:rPr>
          <w:b/>
        </w:rPr>
      </w:pPr>
      <w:r w:rsidRPr="00416D67">
        <w:rPr>
          <w:b/>
        </w:rPr>
        <w:lastRenderedPageBreak/>
        <w:t xml:space="preserve">         Razdjel 003 Glava 02 35597 proračunski korisnik Dječji vrtić Vrtuljak Marčana </w:t>
      </w:r>
    </w:p>
    <w:p w14:paraId="75A243BA" w14:textId="77777777" w:rsidR="00416D67" w:rsidRPr="00416D67" w:rsidRDefault="00416D67" w:rsidP="00416D67">
      <w:pPr>
        <w:jc w:val="both"/>
        <w:rPr>
          <w:color w:val="000000"/>
        </w:rPr>
      </w:pPr>
      <w:r w:rsidRPr="00416D67">
        <w:rPr>
          <w:color w:val="000000"/>
        </w:rPr>
        <w:t xml:space="preserve">Proračunski korisnik Općine Marčana je Dječji vrtić „Vrtuljak Marčana“, sa sjedištem u </w:t>
      </w:r>
      <w:proofErr w:type="spellStart"/>
      <w:r w:rsidRPr="00416D67">
        <w:rPr>
          <w:color w:val="000000"/>
        </w:rPr>
        <w:t>Marčani</w:t>
      </w:r>
      <w:proofErr w:type="spellEnd"/>
      <w:r w:rsidRPr="00416D67">
        <w:rPr>
          <w:color w:val="000000"/>
        </w:rPr>
        <w:t>, Marčana  166A, OIB 37830921242, broj registra korisnika proračuna (RNO broj) 35597</w:t>
      </w:r>
    </w:p>
    <w:p w14:paraId="6D0D1AD2" w14:textId="77777777" w:rsidR="00416D67" w:rsidRPr="00416D67" w:rsidRDefault="00416D67" w:rsidP="00416D67">
      <w:pPr>
        <w:ind w:firstLine="708"/>
        <w:jc w:val="both"/>
        <w:rPr>
          <w:bCs/>
        </w:rPr>
      </w:pPr>
      <w:r w:rsidRPr="00416D67">
        <w:rPr>
          <w:bCs/>
        </w:rPr>
        <w:t xml:space="preserve">Sredstva potrebna za rad proračunskog korisnika  </w:t>
      </w:r>
      <w:r w:rsidRPr="00416D67">
        <w:t xml:space="preserve"> većim se dijelom   </w:t>
      </w:r>
      <w:r w:rsidRPr="00416D67">
        <w:rPr>
          <w:bCs/>
        </w:rPr>
        <w:t>financiraju iz proračuna Općine Marčana. Ukupno je utrošeno 860.280,00 EUR od čega  705.496,91 EUR općinskih sredstava (izvor opći prihodi i primici 665.260,91 EUR i pomoći državnog proračuna za fiskalnu održivost dječjih vrtića 40.236,00EUR) što čini udio od 82,01% ukupno potrebnih sredstava. U izvještajnom razdoblju proračunski korisnik ostvario je 154.783,09 EUR vlastitih prihoda (udio vlastitih prihoda 17,99%) a odnose se na:</w:t>
      </w:r>
    </w:p>
    <w:p w14:paraId="2ACAEBFE" w14:textId="77777777" w:rsidR="00416D67" w:rsidRPr="00416D67" w:rsidRDefault="00416D67">
      <w:pPr>
        <w:numPr>
          <w:ilvl w:val="0"/>
          <w:numId w:val="16"/>
        </w:numPr>
        <w:jc w:val="both"/>
      </w:pPr>
      <w:r w:rsidRPr="00416D67">
        <w:t xml:space="preserve">pomoći proračunu iz drugih proračuna sredstva su proračunskog </w:t>
      </w:r>
      <w:proofErr w:type="spellStart"/>
      <w:r w:rsidRPr="00416D67">
        <w:t>korinsika</w:t>
      </w:r>
      <w:proofErr w:type="spellEnd"/>
      <w:r w:rsidRPr="00416D67">
        <w:t xml:space="preserve">,  ostvarene u iznosu od 21.339,90 EUR (ostvarenje prethodne godine 8.273,0371 EUR),   i imaju slijedeću </w:t>
      </w:r>
      <w:proofErr w:type="spellStart"/>
      <w:r w:rsidRPr="00416D67">
        <w:t>strukuturu</w:t>
      </w:r>
      <w:proofErr w:type="spellEnd"/>
      <w:r w:rsidRPr="00416D67">
        <w:t xml:space="preserve">: tekuće pomoći državnog proračuna (program </w:t>
      </w:r>
      <w:proofErr w:type="spellStart"/>
      <w:r w:rsidRPr="00416D67">
        <w:t>predškole</w:t>
      </w:r>
      <w:proofErr w:type="spellEnd"/>
      <w:r w:rsidRPr="00416D67">
        <w:t>, program za djecu s teškoćama u integraciji i program za darovitu djecu) 5.858,40 EUR;  tekuća pomoć Istarske županije 5.000,00 EUR za program zavičajnosti; tekuća pomoć općine 6.660,63 EUR za boravak djece sa područja Općine Barban i tekuća pomoć grada 7.820,897 EUR za boravak djece sa područja Grada Pule</w:t>
      </w:r>
    </w:p>
    <w:p w14:paraId="45CC32EF" w14:textId="77777777" w:rsidR="00416D67" w:rsidRPr="00416D67" w:rsidRDefault="00416D67">
      <w:pPr>
        <w:numPr>
          <w:ilvl w:val="0"/>
          <w:numId w:val="16"/>
        </w:numPr>
        <w:jc w:val="both"/>
      </w:pPr>
      <w:r w:rsidRPr="00416D67">
        <w:t>prihodi za posebne namjene sufinanciranje smještaja 105.600,98 EUR i</w:t>
      </w:r>
    </w:p>
    <w:p w14:paraId="45CAD57D" w14:textId="77777777" w:rsidR="00416D67" w:rsidRPr="00416D67" w:rsidRDefault="00416D67">
      <w:pPr>
        <w:numPr>
          <w:ilvl w:val="0"/>
          <w:numId w:val="16"/>
        </w:numPr>
        <w:jc w:val="both"/>
      </w:pPr>
      <w:r w:rsidRPr="00416D67">
        <w:t>prihodi od usluge pripreme i dostave obroka 27.404,40 EUR</w:t>
      </w:r>
    </w:p>
    <w:p w14:paraId="116CEE03" w14:textId="77777777" w:rsidR="00416D67" w:rsidRPr="00416D67" w:rsidRDefault="00416D67" w:rsidP="00416D67">
      <w:pPr>
        <w:jc w:val="both"/>
      </w:pPr>
      <w:r w:rsidRPr="00416D67">
        <w:t>Pregled utrošenih sredstava kod proračunskog korisnika prema programima i aktivnostima:</w:t>
      </w:r>
    </w:p>
    <w:tbl>
      <w:tblPr>
        <w:tblW w:w="10251" w:type="dxa"/>
        <w:jc w:val="center"/>
        <w:tblLook w:val="04A0" w:firstRow="1" w:lastRow="0" w:firstColumn="1" w:lastColumn="0" w:noHBand="0" w:noVBand="1"/>
      </w:tblPr>
      <w:tblGrid>
        <w:gridCol w:w="785"/>
        <w:gridCol w:w="4222"/>
        <w:gridCol w:w="1275"/>
        <w:gridCol w:w="1418"/>
        <w:gridCol w:w="1276"/>
        <w:gridCol w:w="1275"/>
      </w:tblGrid>
      <w:tr w:rsidR="00416D67" w:rsidRPr="00416D67" w14:paraId="73E08381" w14:textId="77777777" w:rsidTr="00BB1392">
        <w:trPr>
          <w:trHeight w:val="285"/>
          <w:jc w:val="center"/>
        </w:trPr>
        <w:tc>
          <w:tcPr>
            <w:tcW w:w="5007"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1AF3952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Organizacijska klasifikacija</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DADA527"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Izvorni plan proračuna 2025. godina</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9A5948B"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Tekući plan proračuna 2025. godina</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0408E5C"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Izvršenje proračuna 2025. godina</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7A22E8D" w14:textId="77777777" w:rsidR="00416D67" w:rsidRPr="00416D67" w:rsidRDefault="00416D67" w:rsidP="00416D67">
            <w:pPr>
              <w:jc w:val="center"/>
              <w:rPr>
                <w:rFonts w:ascii="Arial" w:hAnsi="Arial" w:cs="Arial"/>
                <w:sz w:val="14"/>
                <w:szCs w:val="14"/>
              </w:rPr>
            </w:pPr>
            <w:r w:rsidRPr="00416D67">
              <w:rPr>
                <w:rFonts w:ascii="Arial" w:hAnsi="Arial" w:cs="Arial"/>
                <w:sz w:val="14"/>
                <w:szCs w:val="14"/>
              </w:rPr>
              <w:t>Indeks 2025/2024.           (3/2)</w:t>
            </w:r>
          </w:p>
        </w:tc>
      </w:tr>
      <w:tr w:rsidR="00416D67" w:rsidRPr="00416D67" w14:paraId="05ED8383" w14:textId="77777777" w:rsidTr="00BB1392">
        <w:trPr>
          <w:trHeight w:val="195"/>
          <w:jc w:val="center"/>
        </w:trPr>
        <w:tc>
          <w:tcPr>
            <w:tcW w:w="5007"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0721D31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Izvori</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7ACE510" w14:textId="77777777" w:rsidR="00416D67" w:rsidRPr="00416D67" w:rsidRDefault="00416D67" w:rsidP="00416D67">
            <w:pPr>
              <w:rPr>
                <w:rFonts w:ascii="Arial" w:hAnsi="Arial" w:cs="Arial"/>
                <w:sz w:val="14"/>
                <w:szCs w:val="1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EDC755E" w14:textId="77777777" w:rsidR="00416D67" w:rsidRPr="00416D67" w:rsidRDefault="00416D67" w:rsidP="00416D67">
            <w:pPr>
              <w:rPr>
                <w:rFonts w:ascii="Arial" w:hAnsi="Arial" w:cs="Arial"/>
                <w:sz w:val="14"/>
                <w:szCs w:val="1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A8FA031" w14:textId="77777777" w:rsidR="00416D67" w:rsidRPr="00416D67" w:rsidRDefault="00416D67" w:rsidP="00416D67">
            <w:pPr>
              <w:rPr>
                <w:rFonts w:ascii="Arial" w:hAnsi="Arial" w:cs="Arial"/>
                <w:sz w:val="14"/>
                <w:szCs w:val="1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3015A2F" w14:textId="77777777" w:rsidR="00416D67" w:rsidRPr="00416D67" w:rsidRDefault="00416D67" w:rsidP="00416D67">
            <w:pPr>
              <w:rPr>
                <w:rFonts w:ascii="Arial" w:hAnsi="Arial" w:cs="Arial"/>
                <w:sz w:val="14"/>
                <w:szCs w:val="14"/>
              </w:rPr>
            </w:pPr>
          </w:p>
        </w:tc>
      </w:tr>
      <w:tr w:rsidR="00416D67" w:rsidRPr="00416D67" w14:paraId="127EE6FD" w14:textId="77777777" w:rsidTr="00BB1392">
        <w:trPr>
          <w:trHeight w:val="195"/>
          <w:jc w:val="center"/>
        </w:trPr>
        <w:tc>
          <w:tcPr>
            <w:tcW w:w="5007" w:type="dxa"/>
            <w:gridSpan w:val="2"/>
            <w:tcBorders>
              <w:top w:val="single" w:sz="4" w:space="0" w:color="auto"/>
              <w:left w:val="single" w:sz="4" w:space="0" w:color="auto"/>
              <w:bottom w:val="single" w:sz="4" w:space="0" w:color="auto"/>
              <w:right w:val="single" w:sz="4" w:space="0" w:color="000000"/>
            </w:tcBorders>
            <w:shd w:val="clear" w:color="000000" w:fill="D9D9D9"/>
            <w:hideMark/>
          </w:tcPr>
          <w:p w14:paraId="03DAE22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Projekt/Aktivnost</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F23AAEA" w14:textId="77777777" w:rsidR="00416D67" w:rsidRPr="00416D67" w:rsidRDefault="00416D67" w:rsidP="00416D67">
            <w:pPr>
              <w:rPr>
                <w:rFonts w:ascii="Arial" w:hAnsi="Arial" w:cs="Arial"/>
                <w:sz w:val="14"/>
                <w:szCs w:val="1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660D9A8" w14:textId="77777777" w:rsidR="00416D67" w:rsidRPr="00416D67" w:rsidRDefault="00416D67" w:rsidP="00416D67">
            <w:pPr>
              <w:rPr>
                <w:rFonts w:ascii="Arial" w:hAnsi="Arial" w:cs="Arial"/>
                <w:sz w:val="14"/>
                <w:szCs w:val="1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C8AC53F" w14:textId="77777777" w:rsidR="00416D67" w:rsidRPr="00416D67" w:rsidRDefault="00416D67" w:rsidP="00416D67">
            <w:pPr>
              <w:rPr>
                <w:rFonts w:ascii="Arial" w:hAnsi="Arial" w:cs="Arial"/>
                <w:sz w:val="14"/>
                <w:szCs w:val="1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2BDB2BE" w14:textId="77777777" w:rsidR="00416D67" w:rsidRPr="00416D67" w:rsidRDefault="00416D67" w:rsidP="00416D67">
            <w:pPr>
              <w:rPr>
                <w:rFonts w:ascii="Arial" w:hAnsi="Arial" w:cs="Arial"/>
                <w:sz w:val="14"/>
                <w:szCs w:val="14"/>
              </w:rPr>
            </w:pPr>
          </w:p>
        </w:tc>
      </w:tr>
      <w:tr w:rsidR="00416D67" w:rsidRPr="00416D67" w14:paraId="32484AE1"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297021B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3020</w:t>
            </w:r>
          </w:p>
        </w:tc>
        <w:tc>
          <w:tcPr>
            <w:tcW w:w="4222" w:type="dxa"/>
            <w:tcBorders>
              <w:top w:val="single" w:sz="4" w:space="0" w:color="auto"/>
              <w:left w:val="nil"/>
              <w:bottom w:val="single" w:sz="4" w:space="0" w:color="auto"/>
              <w:right w:val="single" w:sz="4" w:space="0" w:color="auto"/>
            </w:tcBorders>
            <w:shd w:val="clear" w:color="000000" w:fill="FF9900"/>
            <w:noWrap/>
            <w:vAlign w:val="bottom"/>
            <w:hideMark/>
          </w:tcPr>
          <w:p w14:paraId="4DCA775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PK 35597: Proračunski korisnik DV Vrtuljak Marčana 35597</w:t>
            </w:r>
          </w:p>
        </w:tc>
        <w:tc>
          <w:tcPr>
            <w:tcW w:w="1275" w:type="dxa"/>
            <w:tcBorders>
              <w:top w:val="single" w:sz="4" w:space="0" w:color="auto"/>
              <w:left w:val="nil"/>
              <w:bottom w:val="single" w:sz="4" w:space="0" w:color="auto"/>
              <w:right w:val="single" w:sz="4" w:space="0" w:color="auto"/>
            </w:tcBorders>
            <w:shd w:val="clear" w:color="000000" w:fill="FF9900"/>
            <w:noWrap/>
            <w:vAlign w:val="bottom"/>
            <w:hideMark/>
          </w:tcPr>
          <w:p w14:paraId="6B5058B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919.300,00</w:t>
            </w:r>
          </w:p>
        </w:tc>
        <w:tc>
          <w:tcPr>
            <w:tcW w:w="1418" w:type="dxa"/>
            <w:tcBorders>
              <w:top w:val="single" w:sz="4" w:space="0" w:color="auto"/>
              <w:left w:val="nil"/>
              <w:bottom w:val="single" w:sz="4" w:space="0" w:color="auto"/>
              <w:right w:val="single" w:sz="4" w:space="0" w:color="auto"/>
            </w:tcBorders>
            <w:shd w:val="clear" w:color="000000" w:fill="FF9900"/>
            <w:noWrap/>
            <w:vAlign w:val="bottom"/>
            <w:hideMark/>
          </w:tcPr>
          <w:p w14:paraId="0468026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919.300,00</w:t>
            </w:r>
          </w:p>
        </w:tc>
        <w:tc>
          <w:tcPr>
            <w:tcW w:w="1276" w:type="dxa"/>
            <w:tcBorders>
              <w:top w:val="single" w:sz="4" w:space="0" w:color="auto"/>
              <w:left w:val="nil"/>
              <w:bottom w:val="single" w:sz="4" w:space="0" w:color="auto"/>
              <w:right w:val="single" w:sz="4" w:space="0" w:color="auto"/>
            </w:tcBorders>
            <w:shd w:val="clear" w:color="000000" w:fill="FF9900"/>
            <w:noWrap/>
            <w:vAlign w:val="bottom"/>
            <w:hideMark/>
          </w:tcPr>
          <w:p w14:paraId="2530090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860.280,00</w:t>
            </w:r>
          </w:p>
        </w:tc>
        <w:tc>
          <w:tcPr>
            <w:tcW w:w="1275" w:type="dxa"/>
            <w:tcBorders>
              <w:top w:val="single" w:sz="4" w:space="0" w:color="auto"/>
              <w:left w:val="nil"/>
              <w:bottom w:val="single" w:sz="4" w:space="0" w:color="auto"/>
              <w:right w:val="single" w:sz="4" w:space="0" w:color="auto"/>
            </w:tcBorders>
            <w:shd w:val="clear" w:color="000000" w:fill="FF9900"/>
            <w:noWrap/>
            <w:vAlign w:val="bottom"/>
            <w:hideMark/>
          </w:tcPr>
          <w:p w14:paraId="3ED5FC9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93,58%</w:t>
            </w:r>
          </w:p>
        </w:tc>
      </w:tr>
      <w:tr w:rsidR="00416D67" w:rsidRPr="00416D67" w14:paraId="673AF86F"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A6D76A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A100001</w:t>
            </w:r>
          </w:p>
        </w:tc>
        <w:tc>
          <w:tcPr>
            <w:tcW w:w="4222" w:type="dxa"/>
            <w:tcBorders>
              <w:top w:val="single" w:sz="4" w:space="0" w:color="auto"/>
              <w:left w:val="nil"/>
              <w:bottom w:val="single" w:sz="4" w:space="0" w:color="auto"/>
              <w:right w:val="single" w:sz="4" w:space="0" w:color="auto"/>
            </w:tcBorders>
            <w:shd w:val="clear" w:color="000000" w:fill="FFFF99"/>
            <w:noWrap/>
            <w:vAlign w:val="bottom"/>
            <w:hideMark/>
          </w:tcPr>
          <w:p w14:paraId="746DA12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Administrativno, stručno i tehničko osoblje</w:t>
            </w:r>
          </w:p>
        </w:tc>
        <w:tc>
          <w:tcPr>
            <w:tcW w:w="1275" w:type="dxa"/>
            <w:tcBorders>
              <w:top w:val="single" w:sz="4" w:space="0" w:color="auto"/>
              <w:left w:val="nil"/>
              <w:bottom w:val="single" w:sz="4" w:space="0" w:color="auto"/>
              <w:right w:val="single" w:sz="4" w:space="0" w:color="auto"/>
            </w:tcBorders>
            <w:shd w:val="clear" w:color="000000" w:fill="FFFF99"/>
            <w:noWrap/>
            <w:vAlign w:val="bottom"/>
            <w:hideMark/>
          </w:tcPr>
          <w:p w14:paraId="2CCB859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872.519,00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16D0F5F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872.519,00</w:t>
            </w:r>
          </w:p>
        </w:tc>
        <w:tc>
          <w:tcPr>
            <w:tcW w:w="1276" w:type="dxa"/>
            <w:tcBorders>
              <w:top w:val="single" w:sz="4" w:space="0" w:color="auto"/>
              <w:left w:val="nil"/>
              <w:bottom w:val="single" w:sz="4" w:space="0" w:color="auto"/>
              <w:right w:val="single" w:sz="4" w:space="0" w:color="auto"/>
            </w:tcBorders>
            <w:shd w:val="clear" w:color="000000" w:fill="FFFF99"/>
            <w:noWrap/>
            <w:vAlign w:val="bottom"/>
            <w:hideMark/>
          </w:tcPr>
          <w:p w14:paraId="6978746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812.347,18</w:t>
            </w:r>
          </w:p>
        </w:tc>
        <w:tc>
          <w:tcPr>
            <w:tcW w:w="1275" w:type="dxa"/>
            <w:tcBorders>
              <w:top w:val="single" w:sz="4" w:space="0" w:color="auto"/>
              <w:left w:val="nil"/>
              <w:bottom w:val="single" w:sz="4" w:space="0" w:color="auto"/>
              <w:right w:val="single" w:sz="4" w:space="0" w:color="auto"/>
            </w:tcBorders>
            <w:shd w:val="clear" w:color="000000" w:fill="FFFF99"/>
            <w:noWrap/>
            <w:vAlign w:val="bottom"/>
            <w:hideMark/>
          </w:tcPr>
          <w:p w14:paraId="4D162FF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93,10%</w:t>
            </w:r>
          </w:p>
        </w:tc>
      </w:tr>
      <w:tr w:rsidR="00416D67" w:rsidRPr="00416D67" w14:paraId="61AE609C" w14:textId="77777777" w:rsidTr="00BB1392">
        <w:trPr>
          <w:trHeight w:val="195"/>
          <w:jc w:val="center"/>
        </w:trPr>
        <w:tc>
          <w:tcPr>
            <w:tcW w:w="500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C59B521"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7886A80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706.490,00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60E8E3B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706.490,00</w:t>
            </w:r>
          </w:p>
        </w:tc>
        <w:tc>
          <w:tcPr>
            <w:tcW w:w="1276" w:type="dxa"/>
            <w:tcBorders>
              <w:top w:val="single" w:sz="4" w:space="0" w:color="auto"/>
              <w:left w:val="nil"/>
              <w:bottom w:val="single" w:sz="4" w:space="0" w:color="auto"/>
              <w:right w:val="single" w:sz="4" w:space="0" w:color="auto"/>
            </w:tcBorders>
            <w:shd w:val="clear" w:color="000000" w:fill="CCCCFF"/>
            <w:noWrap/>
            <w:vAlign w:val="bottom"/>
            <w:hideMark/>
          </w:tcPr>
          <w:p w14:paraId="6175C9B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648.808,38</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7EC8353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91,84%</w:t>
            </w:r>
          </w:p>
        </w:tc>
      </w:tr>
      <w:tr w:rsidR="00416D67" w:rsidRPr="00416D67" w14:paraId="2A8B4835" w14:textId="77777777" w:rsidTr="00BB1392">
        <w:trPr>
          <w:trHeight w:val="195"/>
          <w:jc w:val="center"/>
        </w:trPr>
        <w:tc>
          <w:tcPr>
            <w:tcW w:w="500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9BD3495"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6A97384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706.490,00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65606D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706.490,00</w:t>
            </w:r>
          </w:p>
        </w:tc>
        <w:tc>
          <w:tcPr>
            <w:tcW w:w="1276" w:type="dxa"/>
            <w:tcBorders>
              <w:top w:val="single" w:sz="4" w:space="0" w:color="auto"/>
              <w:left w:val="nil"/>
              <w:bottom w:val="single" w:sz="4" w:space="0" w:color="auto"/>
              <w:right w:val="single" w:sz="4" w:space="0" w:color="auto"/>
            </w:tcBorders>
            <w:shd w:val="clear" w:color="000000" w:fill="CCCCFF"/>
            <w:noWrap/>
            <w:vAlign w:val="bottom"/>
            <w:hideMark/>
          </w:tcPr>
          <w:p w14:paraId="6D50DE7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648.808,38</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527340D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91,84%</w:t>
            </w:r>
          </w:p>
        </w:tc>
      </w:tr>
      <w:tr w:rsidR="00416D67" w:rsidRPr="00416D67" w14:paraId="79502479"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3C5DD366"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31</w:t>
            </w:r>
          </w:p>
        </w:tc>
        <w:tc>
          <w:tcPr>
            <w:tcW w:w="4222" w:type="dxa"/>
            <w:tcBorders>
              <w:top w:val="single" w:sz="4" w:space="0" w:color="auto"/>
              <w:left w:val="nil"/>
              <w:bottom w:val="single" w:sz="4" w:space="0" w:color="auto"/>
              <w:right w:val="single" w:sz="4" w:space="0" w:color="auto"/>
            </w:tcBorders>
            <w:noWrap/>
            <w:vAlign w:val="bottom"/>
            <w:hideMark/>
          </w:tcPr>
          <w:p w14:paraId="7683C81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zaposlene</w:t>
            </w:r>
          </w:p>
        </w:tc>
        <w:tc>
          <w:tcPr>
            <w:tcW w:w="1275" w:type="dxa"/>
            <w:tcBorders>
              <w:top w:val="single" w:sz="4" w:space="0" w:color="auto"/>
              <w:left w:val="nil"/>
              <w:bottom w:val="single" w:sz="4" w:space="0" w:color="auto"/>
              <w:right w:val="single" w:sz="4" w:space="0" w:color="auto"/>
            </w:tcBorders>
            <w:noWrap/>
            <w:vAlign w:val="bottom"/>
            <w:hideMark/>
          </w:tcPr>
          <w:p w14:paraId="38A02AF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616.200,00</w:t>
            </w:r>
          </w:p>
        </w:tc>
        <w:tc>
          <w:tcPr>
            <w:tcW w:w="1418" w:type="dxa"/>
            <w:tcBorders>
              <w:top w:val="single" w:sz="4" w:space="0" w:color="auto"/>
              <w:left w:val="nil"/>
              <w:bottom w:val="single" w:sz="4" w:space="0" w:color="auto"/>
              <w:right w:val="single" w:sz="4" w:space="0" w:color="auto"/>
            </w:tcBorders>
            <w:noWrap/>
            <w:vAlign w:val="bottom"/>
            <w:hideMark/>
          </w:tcPr>
          <w:p w14:paraId="739D357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616.200,00</w:t>
            </w:r>
          </w:p>
        </w:tc>
        <w:tc>
          <w:tcPr>
            <w:tcW w:w="1276" w:type="dxa"/>
            <w:tcBorders>
              <w:top w:val="single" w:sz="4" w:space="0" w:color="auto"/>
              <w:left w:val="nil"/>
              <w:bottom w:val="single" w:sz="4" w:space="0" w:color="auto"/>
              <w:right w:val="single" w:sz="4" w:space="0" w:color="auto"/>
            </w:tcBorders>
            <w:noWrap/>
            <w:vAlign w:val="bottom"/>
            <w:hideMark/>
          </w:tcPr>
          <w:p w14:paraId="71184FF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601.117,95</w:t>
            </w:r>
          </w:p>
        </w:tc>
        <w:tc>
          <w:tcPr>
            <w:tcW w:w="1275" w:type="dxa"/>
            <w:tcBorders>
              <w:top w:val="single" w:sz="4" w:space="0" w:color="auto"/>
              <w:left w:val="nil"/>
              <w:bottom w:val="single" w:sz="4" w:space="0" w:color="auto"/>
              <w:right w:val="single" w:sz="4" w:space="0" w:color="auto"/>
            </w:tcBorders>
            <w:noWrap/>
            <w:vAlign w:val="bottom"/>
            <w:hideMark/>
          </w:tcPr>
          <w:p w14:paraId="4CBFE8B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97,55%</w:t>
            </w:r>
          </w:p>
        </w:tc>
      </w:tr>
      <w:tr w:rsidR="00416D67" w:rsidRPr="00416D67" w14:paraId="4CE457EB"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12942E4C" w14:textId="77777777" w:rsidR="00416D67" w:rsidRPr="00416D67" w:rsidRDefault="00416D67" w:rsidP="00416D67">
            <w:pPr>
              <w:rPr>
                <w:rFonts w:ascii="Arial" w:hAnsi="Arial" w:cs="Arial"/>
                <w:sz w:val="14"/>
                <w:szCs w:val="14"/>
              </w:rPr>
            </w:pPr>
            <w:r w:rsidRPr="00416D67">
              <w:rPr>
                <w:rFonts w:ascii="Arial" w:hAnsi="Arial" w:cs="Arial"/>
                <w:sz w:val="14"/>
                <w:szCs w:val="14"/>
              </w:rPr>
              <w:t>3111</w:t>
            </w:r>
          </w:p>
        </w:tc>
        <w:tc>
          <w:tcPr>
            <w:tcW w:w="4222" w:type="dxa"/>
            <w:tcBorders>
              <w:top w:val="single" w:sz="4" w:space="0" w:color="auto"/>
              <w:left w:val="nil"/>
              <w:bottom w:val="single" w:sz="4" w:space="0" w:color="auto"/>
              <w:right w:val="single" w:sz="4" w:space="0" w:color="auto"/>
            </w:tcBorders>
            <w:noWrap/>
            <w:vAlign w:val="bottom"/>
            <w:hideMark/>
          </w:tcPr>
          <w:p w14:paraId="59C0C24B" w14:textId="77777777" w:rsidR="00416D67" w:rsidRPr="00416D67" w:rsidRDefault="00416D67" w:rsidP="00416D67">
            <w:pPr>
              <w:rPr>
                <w:rFonts w:ascii="Arial" w:hAnsi="Arial" w:cs="Arial"/>
                <w:sz w:val="14"/>
                <w:szCs w:val="14"/>
              </w:rPr>
            </w:pPr>
            <w:r w:rsidRPr="00416D67">
              <w:rPr>
                <w:rFonts w:ascii="Arial" w:hAnsi="Arial" w:cs="Arial"/>
                <w:sz w:val="14"/>
                <w:szCs w:val="14"/>
              </w:rPr>
              <w:t>Plaće za redovan rad</w:t>
            </w:r>
          </w:p>
        </w:tc>
        <w:tc>
          <w:tcPr>
            <w:tcW w:w="1275" w:type="dxa"/>
            <w:tcBorders>
              <w:top w:val="single" w:sz="4" w:space="0" w:color="auto"/>
              <w:left w:val="nil"/>
              <w:bottom w:val="single" w:sz="4" w:space="0" w:color="auto"/>
              <w:right w:val="single" w:sz="4" w:space="0" w:color="auto"/>
            </w:tcBorders>
            <w:noWrap/>
            <w:vAlign w:val="bottom"/>
            <w:hideMark/>
          </w:tcPr>
          <w:p w14:paraId="52EAA94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0F6D40E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6D5F4FD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466.861,58</w:t>
            </w:r>
          </w:p>
        </w:tc>
        <w:tc>
          <w:tcPr>
            <w:tcW w:w="1275" w:type="dxa"/>
            <w:tcBorders>
              <w:top w:val="single" w:sz="4" w:space="0" w:color="auto"/>
              <w:left w:val="nil"/>
              <w:bottom w:val="single" w:sz="4" w:space="0" w:color="auto"/>
              <w:right w:val="single" w:sz="4" w:space="0" w:color="auto"/>
            </w:tcBorders>
            <w:noWrap/>
            <w:vAlign w:val="bottom"/>
            <w:hideMark/>
          </w:tcPr>
          <w:p w14:paraId="7C86728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2A1D306"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6F0DB918" w14:textId="77777777" w:rsidR="00416D67" w:rsidRPr="00416D67" w:rsidRDefault="00416D67" w:rsidP="00416D67">
            <w:pPr>
              <w:rPr>
                <w:rFonts w:ascii="Arial" w:hAnsi="Arial" w:cs="Arial"/>
                <w:sz w:val="14"/>
                <w:szCs w:val="14"/>
              </w:rPr>
            </w:pPr>
            <w:r w:rsidRPr="00416D67">
              <w:rPr>
                <w:rFonts w:ascii="Arial" w:hAnsi="Arial" w:cs="Arial"/>
                <w:sz w:val="14"/>
                <w:szCs w:val="14"/>
              </w:rPr>
              <w:t>3121</w:t>
            </w:r>
          </w:p>
        </w:tc>
        <w:tc>
          <w:tcPr>
            <w:tcW w:w="4222" w:type="dxa"/>
            <w:tcBorders>
              <w:top w:val="single" w:sz="4" w:space="0" w:color="auto"/>
              <w:left w:val="nil"/>
              <w:bottom w:val="single" w:sz="4" w:space="0" w:color="auto"/>
              <w:right w:val="single" w:sz="4" w:space="0" w:color="auto"/>
            </w:tcBorders>
            <w:noWrap/>
            <w:vAlign w:val="bottom"/>
            <w:hideMark/>
          </w:tcPr>
          <w:p w14:paraId="7C82CF0B" w14:textId="77777777" w:rsidR="00416D67" w:rsidRPr="00416D67" w:rsidRDefault="00416D67" w:rsidP="00416D67">
            <w:pPr>
              <w:rPr>
                <w:rFonts w:ascii="Arial" w:hAnsi="Arial" w:cs="Arial"/>
                <w:sz w:val="14"/>
                <w:szCs w:val="14"/>
              </w:rPr>
            </w:pPr>
            <w:r w:rsidRPr="00416D67">
              <w:rPr>
                <w:rFonts w:ascii="Arial" w:hAnsi="Arial" w:cs="Arial"/>
                <w:sz w:val="14"/>
                <w:szCs w:val="14"/>
              </w:rPr>
              <w:t>Ostali rashodi za zaposlene</w:t>
            </w:r>
          </w:p>
        </w:tc>
        <w:tc>
          <w:tcPr>
            <w:tcW w:w="1275" w:type="dxa"/>
            <w:tcBorders>
              <w:top w:val="single" w:sz="4" w:space="0" w:color="auto"/>
              <w:left w:val="nil"/>
              <w:bottom w:val="single" w:sz="4" w:space="0" w:color="auto"/>
              <w:right w:val="single" w:sz="4" w:space="0" w:color="auto"/>
            </w:tcBorders>
            <w:noWrap/>
            <w:vAlign w:val="bottom"/>
            <w:hideMark/>
          </w:tcPr>
          <w:p w14:paraId="414DC69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5FC96B5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4D2807E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58.136,19</w:t>
            </w:r>
          </w:p>
        </w:tc>
        <w:tc>
          <w:tcPr>
            <w:tcW w:w="1275" w:type="dxa"/>
            <w:tcBorders>
              <w:top w:val="single" w:sz="4" w:space="0" w:color="auto"/>
              <w:left w:val="nil"/>
              <w:bottom w:val="single" w:sz="4" w:space="0" w:color="auto"/>
              <w:right w:val="single" w:sz="4" w:space="0" w:color="auto"/>
            </w:tcBorders>
            <w:noWrap/>
            <w:vAlign w:val="bottom"/>
            <w:hideMark/>
          </w:tcPr>
          <w:p w14:paraId="13C4093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E8D11C8"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752983CA" w14:textId="77777777" w:rsidR="00416D67" w:rsidRPr="00416D67" w:rsidRDefault="00416D67" w:rsidP="00416D67">
            <w:pPr>
              <w:rPr>
                <w:rFonts w:ascii="Arial" w:hAnsi="Arial" w:cs="Arial"/>
                <w:sz w:val="14"/>
                <w:szCs w:val="14"/>
              </w:rPr>
            </w:pPr>
            <w:r w:rsidRPr="00416D67">
              <w:rPr>
                <w:rFonts w:ascii="Arial" w:hAnsi="Arial" w:cs="Arial"/>
                <w:sz w:val="14"/>
                <w:szCs w:val="14"/>
              </w:rPr>
              <w:t>3132</w:t>
            </w:r>
          </w:p>
        </w:tc>
        <w:tc>
          <w:tcPr>
            <w:tcW w:w="4222" w:type="dxa"/>
            <w:tcBorders>
              <w:top w:val="single" w:sz="4" w:space="0" w:color="auto"/>
              <w:left w:val="nil"/>
              <w:bottom w:val="single" w:sz="4" w:space="0" w:color="auto"/>
              <w:right w:val="single" w:sz="4" w:space="0" w:color="auto"/>
            </w:tcBorders>
            <w:noWrap/>
            <w:vAlign w:val="bottom"/>
            <w:hideMark/>
          </w:tcPr>
          <w:p w14:paraId="54B1CAD4" w14:textId="77777777" w:rsidR="00416D67" w:rsidRPr="00416D67" w:rsidRDefault="00416D67" w:rsidP="00416D67">
            <w:pPr>
              <w:rPr>
                <w:rFonts w:ascii="Arial" w:hAnsi="Arial" w:cs="Arial"/>
                <w:sz w:val="14"/>
                <w:szCs w:val="14"/>
              </w:rPr>
            </w:pPr>
            <w:r w:rsidRPr="00416D67">
              <w:rPr>
                <w:rFonts w:ascii="Arial" w:hAnsi="Arial" w:cs="Arial"/>
                <w:sz w:val="14"/>
                <w:szCs w:val="14"/>
              </w:rPr>
              <w:t>Doprinosi za obvezno zdravstveno osiguranje</w:t>
            </w:r>
          </w:p>
        </w:tc>
        <w:tc>
          <w:tcPr>
            <w:tcW w:w="1275" w:type="dxa"/>
            <w:tcBorders>
              <w:top w:val="single" w:sz="4" w:space="0" w:color="auto"/>
              <w:left w:val="nil"/>
              <w:bottom w:val="single" w:sz="4" w:space="0" w:color="auto"/>
              <w:right w:val="single" w:sz="4" w:space="0" w:color="auto"/>
            </w:tcBorders>
            <w:noWrap/>
            <w:vAlign w:val="bottom"/>
            <w:hideMark/>
          </w:tcPr>
          <w:p w14:paraId="43BEF6F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1015344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18844E4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76.120,18</w:t>
            </w:r>
          </w:p>
        </w:tc>
        <w:tc>
          <w:tcPr>
            <w:tcW w:w="1275" w:type="dxa"/>
            <w:tcBorders>
              <w:top w:val="single" w:sz="4" w:space="0" w:color="auto"/>
              <w:left w:val="nil"/>
              <w:bottom w:val="single" w:sz="4" w:space="0" w:color="auto"/>
              <w:right w:val="single" w:sz="4" w:space="0" w:color="auto"/>
            </w:tcBorders>
            <w:noWrap/>
            <w:vAlign w:val="bottom"/>
            <w:hideMark/>
          </w:tcPr>
          <w:p w14:paraId="26BAFD1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684BC58"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34F0141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4222" w:type="dxa"/>
            <w:tcBorders>
              <w:top w:val="single" w:sz="4" w:space="0" w:color="auto"/>
              <w:left w:val="nil"/>
              <w:bottom w:val="single" w:sz="4" w:space="0" w:color="auto"/>
              <w:right w:val="single" w:sz="4" w:space="0" w:color="auto"/>
            </w:tcBorders>
            <w:noWrap/>
            <w:vAlign w:val="bottom"/>
            <w:hideMark/>
          </w:tcPr>
          <w:p w14:paraId="793FF96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275" w:type="dxa"/>
            <w:tcBorders>
              <w:top w:val="single" w:sz="4" w:space="0" w:color="auto"/>
              <w:left w:val="nil"/>
              <w:bottom w:val="single" w:sz="4" w:space="0" w:color="auto"/>
              <w:right w:val="single" w:sz="4" w:space="0" w:color="auto"/>
            </w:tcBorders>
            <w:noWrap/>
            <w:vAlign w:val="bottom"/>
            <w:hideMark/>
          </w:tcPr>
          <w:p w14:paraId="264F6A4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90.290,00</w:t>
            </w:r>
          </w:p>
        </w:tc>
        <w:tc>
          <w:tcPr>
            <w:tcW w:w="1418" w:type="dxa"/>
            <w:tcBorders>
              <w:top w:val="single" w:sz="4" w:space="0" w:color="auto"/>
              <w:left w:val="nil"/>
              <w:bottom w:val="single" w:sz="4" w:space="0" w:color="auto"/>
              <w:right w:val="single" w:sz="4" w:space="0" w:color="auto"/>
            </w:tcBorders>
            <w:noWrap/>
            <w:vAlign w:val="bottom"/>
            <w:hideMark/>
          </w:tcPr>
          <w:p w14:paraId="4FAC6CC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90.290,00</w:t>
            </w:r>
          </w:p>
        </w:tc>
        <w:tc>
          <w:tcPr>
            <w:tcW w:w="1276" w:type="dxa"/>
            <w:tcBorders>
              <w:top w:val="single" w:sz="4" w:space="0" w:color="auto"/>
              <w:left w:val="nil"/>
              <w:bottom w:val="single" w:sz="4" w:space="0" w:color="auto"/>
              <w:right w:val="single" w:sz="4" w:space="0" w:color="auto"/>
            </w:tcBorders>
            <w:noWrap/>
            <w:vAlign w:val="bottom"/>
            <w:hideMark/>
          </w:tcPr>
          <w:p w14:paraId="24D5B90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47.690,43</w:t>
            </w:r>
          </w:p>
        </w:tc>
        <w:tc>
          <w:tcPr>
            <w:tcW w:w="1275" w:type="dxa"/>
            <w:tcBorders>
              <w:top w:val="single" w:sz="4" w:space="0" w:color="auto"/>
              <w:left w:val="nil"/>
              <w:bottom w:val="single" w:sz="4" w:space="0" w:color="auto"/>
              <w:right w:val="single" w:sz="4" w:space="0" w:color="auto"/>
            </w:tcBorders>
            <w:noWrap/>
            <w:vAlign w:val="bottom"/>
            <w:hideMark/>
          </w:tcPr>
          <w:p w14:paraId="3627235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52,82%</w:t>
            </w:r>
          </w:p>
        </w:tc>
      </w:tr>
      <w:tr w:rsidR="00416D67" w:rsidRPr="00416D67" w14:paraId="438F24FB"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7D3A44B9" w14:textId="77777777" w:rsidR="00416D67" w:rsidRPr="00416D67" w:rsidRDefault="00416D67" w:rsidP="00416D67">
            <w:pPr>
              <w:rPr>
                <w:rFonts w:ascii="Arial" w:hAnsi="Arial" w:cs="Arial"/>
                <w:sz w:val="14"/>
                <w:szCs w:val="14"/>
              </w:rPr>
            </w:pPr>
            <w:r w:rsidRPr="00416D67">
              <w:rPr>
                <w:rFonts w:ascii="Arial" w:hAnsi="Arial" w:cs="Arial"/>
                <w:sz w:val="14"/>
                <w:szCs w:val="14"/>
              </w:rPr>
              <w:t>3212</w:t>
            </w:r>
          </w:p>
        </w:tc>
        <w:tc>
          <w:tcPr>
            <w:tcW w:w="4222" w:type="dxa"/>
            <w:tcBorders>
              <w:top w:val="single" w:sz="4" w:space="0" w:color="auto"/>
              <w:left w:val="nil"/>
              <w:bottom w:val="single" w:sz="4" w:space="0" w:color="auto"/>
              <w:right w:val="single" w:sz="4" w:space="0" w:color="auto"/>
            </w:tcBorders>
            <w:noWrap/>
            <w:vAlign w:val="bottom"/>
            <w:hideMark/>
          </w:tcPr>
          <w:p w14:paraId="3F6B555C" w14:textId="77777777" w:rsidR="00416D67" w:rsidRPr="00416D67" w:rsidRDefault="00416D67" w:rsidP="00416D67">
            <w:pPr>
              <w:rPr>
                <w:rFonts w:ascii="Arial" w:hAnsi="Arial" w:cs="Arial"/>
                <w:sz w:val="14"/>
                <w:szCs w:val="14"/>
              </w:rPr>
            </w:pPr>
            <w:r w:rsidRPr="00416D67">
              <w:rPr>
                <w:rFonts w:ascii="Arial" w:hAnsi="Arial" w:cs="Arial"/>
                <w:sz w:val="14"/>
                <w:szCs w:val="14"/>
              </w:rPr>
              <w:t>Naknade za prijevoz, za rad na terenu i odvojeni život</w:t>
            </w:r>
          </w:p>
        </w:tc>
        <w:tc>
          <w:tcPr>
            <w:tcW w:w="1275" w:type="dxa"/>
            <w:tcBorders>
              <w:top w:val="single" w:sz="4" w:space="0" w:color="auto"/>
              <w:left w:val="nil"/>
              <w:bottom w:val="single" w:sz="4" w:space="0" w:color="auto"/>
              <w:right w:val="single" w:sz="4" w:space="0" w:color="auto"/>
            </w:tcBorders>
            <w:noWrap/>
            <w:vAlign w:val="bottom"/>
            <w:hideMark/>
          </w:tcPr>
          <w:p w14:paraId="13B6707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5905F22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5427A95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21.076,65</w:t>
            </w:r>
          </w:p>
        </w:tc>
        <w:tc>
          <w:tcPr>
            <w:tcW w:w="1275" w:type="dxa"/>
            <w:tcBorders>
              <w:top w:val="single" w:sz="4" w:space="0" w:color="auto"/>
              <w:left w:val="nil"/>
              <w:bottom w:val="single" w:sz="4" w:space="0" w:color="auto"/>
              <w:right w:val="single" w:sz="4" w:space="0" w:color="auto"/>
            </w:tcBorders>
            <w:noWrap/>
            <w:vAlign w:val="bottom"/>
            <w:hideMark/>
          </w:tcPr>
          <w:p w14:paraId="1098736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080DE59"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658A9BBB" w14:textId="77777777" w:rsidR="00416D67" w:rsidRPr="00416D67" w:rsidRDefault="00416D67" w:rsidP="00416D67">
            <w:pPr>
              <w:rPr>
                <w:rFonts w:ascii="Arial" w:hAnsi="Arial" w:cs="Arial"/>
                <w:sz w:val="14"/>
                <w:szCs w:val="14"/>
              </w:rPr>
            </w:pPr>
            <w:r w:rsidRPr="00416D67">
              <w:rPr>
                <w:rFonts w:ascii="Arial" w:hAnsi="Arial" w:cs="Arial"/>
                <w:sz w:val="14"/>
                <w:szCs w:val="14"/>
              </w:rPr>
              <w:t>3213</w:t>
            </w:r>
          </w:p>
        </w:tc>
        <w:tc>
          <w:tcPr>
            <w:tcW w:w="4222" w:type="dxa"/>
            <w:tcBorders>
              <w:top w:val="single" w:sz="4" w:space="0" w:color="auto"/>
              <w:left w:val="nil"/>
              <w:bottom w:val="single" w:sz="4" w:space="0" w:color="auto"/>
              <w:right w:val="single" w:sz="4" w:space="0" w:color="auto"/>
            </w:tcBorders>
            <w:noWrap/>
            <w:vAlign w:val="bottom"/>
            <w:hideMark/>
          </w:tcPr>
          <w:p w14:paraId="11853A04" w14:textId="77777777" w:rsidR="00416D67" w:rsidRPr="00416D67" w:rsidRDefault="00416D67" w:rsidP="00416D67">
            <w:pPr>
              <w:rPr>
                <w:rFonts w:ascii="Arial" w:hAnsi="Arial" w:cs="Arial"/>
                <w:sz w:val="14"/>
                <w:szCs w:val="14"/>
              </w:rPr>
            </w:pPr>
            <w:r w:rsidRPr="00416D67">
              <w:rPr>
                <w:rFonts w:ascii="Arial" w:hAnsi="Arial" w:cs="Arial"/>
                <w:sz w:val="14"/>
                <w:szCs w:val="14"/>
              </w:rPr>
              <w:t>Stručno usavršavanje zaposlenika</w:t>
            </w:r>
          </w:p>
        </w:tc>
        <w:tc>
          <w:tcPr>
            <w:tcW w:w="1275" w:type="dxa"/>
            <w:tcBorders>
              <w:top w:val="single" w:sz="4" w:space="0" w:color="auto"/>
              <w:left w:val="nil"/>
              <w:bottom w:val="single" w:sz="4" w:space="0" w:color="auto"/>
              <w:right w:val="single" w:sz="4" w:space="0" w:color="auto"/>
            </w:tcBorders>
            <w:noWrap/>
            <w:vAlign w:val="bottom"/>
            <w:hideMark/>
          </w:tcPr>
          <w:p w14:paraId="3F0F603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4BEA7FE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7E3AD3E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1.916,25</w:t>
            </w:r>
          </w:p>
        </w:tc>
        <w:tc>
          <w:tcPr>
            <w:tcW w:w="1275" w:type="dxa"/>
            <w:tcBorders>
              <w:top w:val="single" w:sz="4" w:space="0" w:color="auto"/>
              <w:left w:val="nil"/>
              <w:bottom w:val="single" w:sz="4" w:space="0" w:color="auto"/>
              <w:right w:val="single" w:sz="4" w:space="0" w:color="auto"/>
            </w:tcBorders>
            <w:noWrap/>
            <w:vAlign w:val="bottom"/>
            <w:hideMark/>
          </w:tcPr>
          <w:p w14:paraId="31DF59B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612A912"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4ADEF09F" w14:textId="77777777" w:rsidR="00416D67" w:rsidRPr="00416D67" w:rsidRDefault="00416D67" w:rsidP="00416D67">
            <w:pPr>
              <w:rPr>
                <w:rFonts w:ascii="Arial" w:hAnsi="Arial" w:cs="Arial"/>
                <w:sz w:val="14"/>
                <w:szCs w:val="14"/>
              </w:rPr>
            </w:pPr>
            <w:r w:rsidRPr="00416D67">
              <w:rPr>
                <w:rFonts w:ascii="Arial" w:hAnsi="Arial" w:cs="Arial"/>
                <w:sz w:val="14"/>
                <w:szCs w:val="14"/>
              </w:rPr>
              <w:t>3221</w:t>
            </w:r>
          </w:p>
        </w:tc>
        <w:tc>
          <w:tcPr>
            <w:tcW w:w="4222" w:type="dxa"/>
            <w:tcBorders>
              <w:top w:val="single" w:sz="4" w:space="0" w:color="auto"/>
              <w:left w:val="nil"/>
              <w:bottom w:val="single" w:sz="4" w:space="0" w:color="auto"/>
              <w:right w:val="single" w:sz="4" w:space="0" w:color="auto"/>
            </w:tcBorders>
            <w:noWrap/>
            <w:vAlign w:val="bottom"/>
            <w:hideMark/>
          </w:tcPr>
          <w:p w14:paraId="65C1DA01" w14:textId="77777777" w:rsidR="00416D67" w:rsidRPr="00416D67" w:rsidRDefault="00416D67" w:rsidP="00416D67">
            <w:pPr>
              <w:rPr>
                <w:rFonts w:ascii="Arial" w:hAnsi="Arial" w:cs="Arial"/>
                <w:sz w:val="14"/>
                <w:szCs w:val="14"/>
              </w:rPr>
            </w:pPr>
            <w:r w:rsidRPr="00416D67">
              <w:rPr>
                <w:rFonts w:ascii="Arial" w:hAnsi="Arial" w:cs="Arial"/>
                <w:sz w:val="14"/>
                <w:szCs w:val="14"/>
              </w:rPr>
              <w:t>Uredski materijal i ostali materijalni rashodi</w:t>
            </w:r>
          </w:p>
        </w:tc>
        <w:tc>
          <w:tcPr>
            <w:tcW w:w="1275" w:type="dxa"/>
            <w:tcBorders>
              <w:top w:val="single" w:sz="4" w:space="0" w:color="auto"/>
              <w:left w:val="nil"/>
              <w:bottom w:val="single" w:sz="4" w:space="0" w:color="auto"/>
              <w:right w:val="single" w:sz="4" w:space="0" w:color="auto"/>
            </w:tcBorders>
            <w:noWrap/>
            <w:vAlign w:val="bottom"/>
            <w:hideMark/>
          </w:tcPr>
          <w:p w14:paraId="58D534D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0658620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07B5D5E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4.419,19</w:t>
            </w:r>
          </w:p>
        </w:tc>
        <w:tc>
          <w:tcPr>
            <w:tcW w:w="1275" w:type="dxa"/>
            <w:tcBorders>
              <w:top w:val="single" w:sz="4" w:space="0" w:color="auto"/>
              <w:left w:val="nil"/>
              <w:bottom w:val="single" w:sz="4" w:space="0" w:color="auto"/>
              <w:right w:val="single" w:sz="4" w:space="0" w:color="auto"/>
            </w:tcBorders>
            <w:noWrap/>
            <w:vAlign w:val="bottom"/>
            <w:hideMark/>
          </w:tcPr>
          <w:p w14:paraId="65DACDB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8548EF9"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64ECC4DE" w14:textId="77777777" w:rsidR="00416D67" w:rsidRPr="00416D67" w:rsidRDefault="00416D67" w:rsidP="00416D67">
            <w:pPr>
              <w:rPr>
                <w:rFonts w:ascii="Arial" w:hAnsi="Arial" w:cs="Arial"/>
                <w:sz w:val="14"/>
                <w:szCs w:val="14"/>
              </w:rPr>
            </w:pPr>
            <w:r w:rsidRPr="00416D67">
              <w:rPr>
                <w:rFonts w:ascii="Arial" w:hAnsi="Arial" w:cs="Arial"/>
                <w:sz w:val="14"/>
                <w:szCs w:val="14"/>
              </w:rPr>
              <w:t>3225</w:t>
            </w:r>
          </w:p>
        </w:tc>
        <w:tc>
          <w:tcPr>
            <w:tcW w:w="4222" w:type="dxa"/>
            <w:tcBorders>
              <w:top w:val="single" w:sz="4" w:space="0" w:color="auto"/>
              <w:left w:val="nil"/>
              <w:bottom w:val="single" w:sz="4" w:space="0" w:color="auto"/>
              <w:right w:val="single" w:sz="4" w:space="0" w:color="auto"/>
            </w:tcBorders>
            <w:noWrap/>
            <w:vAlign w:val="bottom"/>
            <w:hideMark/>
          </w:tcPr>
          <w:p w14:paraId="6A4974BA"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Sitni inventar i </w:t>
            </w:r>
            <w:proofErr w:type="spellStart"/>
            <w:r w:rsidRPr="00416D67">
              <w:rPr>
                <w:rFonts w:ascii="Arial" w:hAnsi="Arial" w:cs="Arial"/>
                <w:sz w:val="14"/>
                <w:szCs w:val="14"/>
              </w:rPr>
              <w:t>autogume</w:t>
            </w:r>
            <w:proofErr w:type="spellEnd"/>
          </w:p>
        </w:tc>
        <w:tc>
          <w:tcPr>
            <w:tcW w:w="1275" w:type="dxa"/>
            <w:tcBorders>
              <w:top w:val="single" w:sz="4" w:space="0" w:color="auto"/>
              <w:left w:val="nil"/>
              <w:bottom w:val="single" w:sz="4" w:space="0" w:color="auto"/>
              <w:right w:val="single" w:sz="4" w:space="0" w:color="auto"/>
            </w:tcBorders>
            <w:noWrap/>
            <w:vAlign w:val="bottom"/>
            <w:hideMark/>
          </w:tcPr>
          <w:p w14:paraId="1F0FFBF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4342A20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6E4FACB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3.841,70</w:t>
            </w:r>
          </w:p>
        </w:tc>
        <w:tc>
          <w:tcPr>
            <w:tcW w:w="1275" w:type="dxa"/>
            <w:tcBorders>
              <w:top w:val="single" w:sz="4" w:space="0" w:color="auto"/>
              <w:left w:val="nil"/>
              <w:bottom w:val="single" w:sz="4" w:space="0" w:color="auto"/>
              <w:right w:val="single" w:sz="4" w:space="0" w:color="auto"/>
            </w:tcBorders>
            <w:noWrap/>
            <w:vAlign w:val="bottom"/>
            <w:hideMark/>
          </w:tcPr>
          <w:p w14:paraId="01A1696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16A7B8E"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4EFDAD0A" w14:textId="77777777" w:rsidR="00416D67" w:rsidRPr="00416D67" w:rsidRDefault="00416D67" w:rsidP="00416D67">
            <w:pPr>
              <w:rPr>
                <w:rFonts w:ascii="Arial" w:hAnsi="Arial" w:cs="Arial"/>
                <w:sz w:val="14"/>
                <w:szCs w:val="14"/>
              </w:rPr>
            </w:pPr>
            <w:r w:rsidRPr="00416D67">
              <w:rPr>
                <w:rFonts w:ascii="Arial" w:hAnsi="Arial" w:cs="Arial"/>
                <w:sz w:val="14"/>
                <w:szCs w:val="14"/>
              </w:rPr>
              <w:t>3232</w:t>
            </w:r>
          </w:p>
        </w:tc>
        <w:tc>
          <w:tcPr>
            <w:tcW w:w="4222" w:type="dxa"/>
            <w:tcBorders>
              <w:top w:val="single" w:sz="4" w:space="0" w:color="auto"/>
              <w:left w:val="nil"/>
              <w:bottom w:val="single" w:sz="4" w:space="0" w:color="auto"/>
              <w:right w:val="single" w:sz="4" w:space="0" w:color="auto"/>
            </w:tcBorders>
            <w:noWrap/>
            <w:vAlign w:val="bottom"/>
            <w:hideMark/>
          </w:tcPr>
          <w:p w14:paraId="74E44204" w14:textId="77777777" w:rsidR="00416D67" w:rsidRPr="00416D67" w:rsidRDefault="00416D67" w:rsidP="00416D67">
            <w:pPr>
              <w:rPr>
                <w:rFonts w:ascii="Arial" w:hAnsi="Arial" w:cs="Arial"/>
                <w:sz w:val="14"/>
                <w:szCs w:val="14"/>
              </w:rPr>
            </w:pPr>
            <w:r w:rsidRPr="00416D67">
              <w:rPr>
                <w:rFonts w:ascii="Arial" w:hAnsi="Arial" w:cs="Arial"/>
                <w:sz w:val="14"/>
                <w:szCs w:val="14"/>
              </w:rPr>
              <w:t>Usluge tekućeg i investicijskog  održavanja</w:t>
            </w:r>
          </w:p>
        </w:tc>
        <w:tc>
          <w:tcPr>
            <w:tcW w:w="1275" w:type="dxa"/>
            <w:tcBorders>
              <w:top w:val="single" w:sz="4" w:space="0" w:color="auto"/>
              <w:left w:val="nil"/>
              <w:bottom w:val="single" w:sz="4" w:space="0" w:color="auto"/>
              <w:right w:val="single" w:sz="4" w:space="0" w:color="auto"/>
            </w:tcBorders>
            <w:noWrap/>
            <w:vAlign w:val="bottom"/>
            <w:hideMark/>
          </w:tcPr>
          <w:p w14:paraId="73C592D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7D9EC71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4F49F70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2.856,00</w:t>
            </w:r>
          </w:p>
        </w:tc>
        <w:tc>
          <w:tcPr>
            <w:tcW w:w="1275" w:type="dxa"/>
            <w:tcBorders>
              <w:top w:val="single" w:sz="4" w:space="0" w:color="auto"/>
              <w:left w:val="nil"/>
              <w:bottom w:val="single" w:sz="4" w:space="0" w:color="auto"/>
              <w:right w:val="single" w:sz="4" w:space="0" w:color="auto"/>
            </w:tcBorders>
            <w:noWrap/>
            <w:vAlign w:val="bottom"/>
            <w:hideMark/>
          </w:tcPr>
          <w:p w14:paraId="6397CB9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547966A"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7D12E1A8" w14:textId="77777777" w:rsidR="00416D67" w:rsidRPr="00416D67" w:rsidRDefault="00416D67" w:rsidP="00416D67">
            <w:pPr>
              <w:rPr>
                <w:rFonts w:ascii="Arial" w:hAnsi="Arial" w:cs="Arial"/>
                <w:sz w:val="14"/>
                <w:szCs w:val="14"/>
              </w:rPr>
            </w:pPr>
            <w:r w:rsidRPr="00416D67">
              <w:rPr>
                <w:rFonts w:ascii="Arial" w:hAnsi="Arial" w:cs="Arial"/>
                <w:sz w:val="14"/>
                <w:szCs w:val="14"/>
              </w:rPr>
              <w:t>3234</w:t>
            </w:r>
          </w:p>
        </w:tc>
        <w:tc>
          <w:tcPr>
            <w:tcW w:w="4222" w:type="dxa"/>
            <w:tcBorders>
              <w:top w:val="single" w:sz="4" w:space="0" w:color="auto"/>
              <w:left w:val="nil"/>
              <w:bottom w:val="single" w:sz="4" w:space="0" w:color="auto"/>
              <w:right w:val="single" w:sz="4" w:space="0" w:color="auto"/>
            </w:tcBorders>
            <w:noWrap/>
            <w:vAlign w:val="bottom"/>
            <w:hideMark/>
          </w:tcPr>
          <w:p w14:paraId="5867D986" w14:textId="77777777" w:rsidR="00416D67" w:rsidRPr="00416D67" w:rsidRDefault="00416D67" w:rsidP="00416D67">
            <w:pPr>
              <w:rPr>
                <w:rFonts w:ascii="Arial" w:hAnsi="Arial" w:cs="Arial"/>
                <w:sz w:val="14"/>
                <w:szCs w:val="14"/>
              </w:rPr>
            </w:pPr>
            <w:r w:rsidRPr="00416D67">
              <w:rPr>
                <w:rFonts w:ascii="Arial" w:hAnsi="Arial" w:cs="Arial"/>
                <w:sz w:val="14"/>
                <w:szCs w:val="14"/>
              </w:rPr>
              <w:t>Komunalne usluge</w:t>
            </w:r>
          </w:p>
        </w:tc>
        <w:tc>
          <w:tcPr>
            <w:tcW w:w="1275" w:type="dxa"/>
            <w:tcBorders>
              <w:top w:val="single" w:sz="4" w:space="0" w:color="auto"/>
              <w:left w:val="nil"/>
              <w:bottom w:val="single" w:sz="4" w:space="0" w:color="auto"/>
              <w:right w:val="single" w:sz="4" w:space="0" w:color="auto"/>
            </w:tcBorders>
            <w:noWrap/>
            <w:vAlign w:val="bottom"/>
            <w:hideMark/>
          </w:tcPr>
          <w:p w14:paraId="2310CE4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56C7845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3F2DD18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2.509,77</w:t>
            </w:r>
          </w:p>
        </w:tc>
        <w:tc>
          <w:tcPr>
            <w:tcW w:w="1275" w:type="dxa"/>
            <w:tcBorders>
              <w:top w:val="single" w:sz="4" w:space="0" w:color="auto"/>
              <w:left w:val="nil"/>
              <w:bottom w:val="single" w:sz="4" w:space="0" w:color="auto"/>
              <w:right w:val="single" w:sz="4" w:space="0" w:color="auto"/>
            </w:tcBorders>
            <w:noWrap/>
            <w:vAlign w:val="bottom"/>
            <w:hideMark/>
          </w:tcPr>
          <w:p w14:paraId="5BCD126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EBE5EB2"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066245AA" w14:textId="77777777" w:rsidR="00416D67" w:rsidRPr="00416D67" w:rsidRDefault="00416D67" w:rsidP="00416D67">
            <w:pPr>
              <w:rPr>
                <w:rFonts w:ascii="Arial" w:hAnsi="Arial" w:cs="Arial"/>
                <w:sz w:val="14"/>
                <w:szCs w:val="14"/>
              </w:rPr>
            </w:pPr>
            <w:r w:rsidRPr="00416D67">
              <w:rPr>
                <w:rFonts w:ascii="Arial" w:hAnsi="Arial" w:cs="Arial"/>
                <w:sz w:val="14"/>
                <w:szCs w:val="14"/>
              </w:rPr>
              <w:t>3236</w:t>
            </w:r>
          </w:p>
        </w:tc>
        <w:tc>
          <w:tcPr>
            <w:tcW w:w="4222" w:type="dxa"/>
            <w:tcBorders>
              <w:top w:val="single" w:sz="4" w:space="0" w:color="auto"/>
              <w:left w:val="nil"/>
              <w:bottom w:val="single" w:sz="4" w:space="0" w:color="auto"/>
              <w:right w:val="single" w:sz="4" w:space="0" w:color="auto"/>
            </w:tcBorders>
            <w:noWrap/>
            <w:vAlign w:val="bottom"/>
            <w:hideMark/>
          </w:tcPr>
          <w:p w14:paraId="0317467B" w14:textId="77777777" w:rsidR="00416D67" w:rsidRPr="00416D67" w:rsidRDefault="00416D67" w:rsidP="00416D67">
            <w:pPr>
              <w:rPr>
                <w:rFonts w:ascii="Arial" w:hAnsi="Arial" w:cs="Arial"/>
                <w:sz w:val="14"/>
                <w:szCs w:val="14"/>
              </w:rPr>
            </w:pPr>
            <w:r w:rsidRPr="00416D67">
              <w:rPr>
                <w:rFonts w:ascii="Arial" w:hAnsi="Arial" w:cs="Arial"/>
                <w:sz w:val="14"/>
                <w:szCs w:val="14"/>
              </w:rPr>
              <w:t>Zdravstvene i veterinarske usluge</w:t>
            </w:r>
          </w:p>
        </w:tc>
        <w:tc>
          <w:tcPr>
            <w:tcW w:w="1275" w:type="dxa"/>
            <w:tcBorders>
              <w:top w:val="single" w:sz="4" w:space="0" w:color="auto"/>
              <w:left w:val="nil"/>
              <w:bottom w:val="single" w:sz="4" w:space="0" w:color="auto"/>
              <w:right w:val="single" w:sz="4" w:space="0" w:color="auto"/>
            </w:tcBorders>
            <w:noWrap/>
            <w:vAlign w:val="bottom"/>
            <w:hideMark/>
          </w:tcPr>
          <w:p w14:paraId="2EF7873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690C35F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147EE01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6.000,00</w:t>
            </w:r>
          </w:p>
        </w:tc>
        <w:tc>
          <w:tcPr>
            <w:tcW w:w="1275" w:type="dxa"/>
            <w:tcBorders>
              <w:top w:val="single" w:sz="4" w:space="0" w:color="auto"/>
              <w:left w:val="nil"/>
              <w:bottom w:val="single" w:sz="4" w:space="0" w:color="auto"/>
              <w:right w:val="single" w:sz="4" w:space="0" w:color="auto"/>
            </w:tcBorders>
            <w:noWrap/>
            <w:vAlign w:val="bottom"/>
            <w:hideMark/>
          </w:tcPr>
          <w:p w14:paraId="6267449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80CCD7A"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58439B58" w14:textId="77777777" w:rsidR="00416D67" w:rsidRPr="00416D67" w:rsidRDefault="00416D67" w:rsidP="00416D67">
            <w:pPr>
              <w:rPr>
                <w:rFonts w:ascii="Arial" w:hAnsi="Arial" w:cs="Arial"/>
                <w:sz w:val="14"/>
                <w:szCs w:val="14"/>
              </w:rPr>
            </w:pPr>
            <w:r w:rsidRPr="00416D67">
              <w:rPr>
                <w:rFonts w:ascii="Arial" w:hAnsi="Arial" w:cs="Arial"/>
                <w:sz w:val="14"/>
                <w:szCs w:val="14"/>
              </w:rPr>
              <w:t>3237</w:t>
            </w:r>
          </w:p>
        </w:tc>
        <w:tc>
          <w:tcPr>
            <w:tcW w:w="4222" w:type="dxa"/>
            <w:tcBorders>
              <w:top w:val="single" w:sz="4" w:space="0" w:color="auto"/>
              <w:left w:val="nil"/>
              <w:bottom w:val="single" w:sz="4" w:space="0" w:color="auto"/>
              <w:right w:val="single" w:sz="4" w:space="0" w:color="auto"/>
            </w:tcBorders>
            <w:noWrap/>
            <w:vAlign w:val="bottom"/>
            <w:hideMark/>
          </w:tcPr>
          <w:p w14:paraId="34AB6027" w14:textId="77777777" w:rsidR="00416D67" w:rsidRPr="00416D67" w:rsidRDefault="00416D67" w:rsidP="00416D67">
            <w:pPr>
              <w:rPr>
                <w:rFonts w:ascii="Arial" w:hAnsi="Arial" w:cs="Arial"/>
                <w:sz w:val="14"/>
                <w:szCs w:val="14"/>
              </w:rPr>
            </w:pPr>
            <w:r w:rsidRPr="00416D67">
              <w:rPr>
                <w:rFonts w:ascii="Arial" w:hAnsi="Arial" w:cs="Arial"/>
                <w:sz w:val="14"/>
                <w:szCs w:val="14"/>
              </w:rPr>
              <w:t>Intelektualne i osobne usluge</w:t>
            </w:r>
          </w:p>
        </w:tc>
        <w:tc>
          <w:tcPr>
            <w:tcW w:w="1275" w:type="dxa"/>
            <w:tcBorders>
              <w:top w:val="single" w:sz="4" w:space="0" w:color="auto"/>
              <w:left w:val="nil"/>
              <w:bottom w:val="single" w:sz="4" w:space="0" w:color="auto"/>
              <w:right w:val="single" w:sz="4" w:space="0" w:color="auto"/>
            </w:tcBorders>
            <w:noWrap/>
            <w:vAlign w:val="bottom"/>
            <w:hideMark/>
          </w:tcPr>
          <w:p w14:paraId="2D94823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3553A3B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64BB638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1.727,62</w:t>
            </w:r>
          </w:p>
        </w:tc>
        <w:tc>
          <w:tcPr>
            <w:tcW w:w="1275" w:type="dxa"/>
            <w:tcBorders>
              <w:top w:val="single" w:sz="4" w:space="0" w:color="auto"/>
              <w:left w:val="nil"/>
              <w:bottom w:val="single" w:sz="4" w:space="0" w:color="auto"/>
              <w:right w:val="single" w:sz="4" w:space="0" w:color="auto"/>
            </w:tcBorders>
            <w:noWrap/>
            <w:vAlign w:val="bottom"/>
            <w:hideMark/>
          </w:tcPr>
          <w:p w14:paraId="03E58AD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A6F2DB3"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3E337399" w14:textId="77777777" w:rsidR="00416D67" w:rsidRPr="00416D67" w:rsidRDefault="00416D67" w:rsidP="00416D67">
            <w:pPr>
              <w:rPr>
                <w:rFonts w:ascii="Arial" w:hAnsi="Arial" w:cs="Arial"/>
                <w:sz w:val="14"/>
                <w:szCs w:val="14"/>
              </w:rPr>
            </w:pPr>
            <w:r w:rsidRPr="00416D67">
              <w:rPr>
                <w:rFonts w:ascii="Arial" w:hAnsi="Arial" w:cs="Arial"/>
                <w:sz w:val="14"/>
                <w:szCs w:val="14"/>
              </w:rPr>
              <w:t>3239</w:t>
            </w:r>
          </w:p>
        </w:tc>
        <w:tc>
          <w:tcPr>
            <w:tcW w:w="4222" w:type="dxa"/>
            <w:tcBorders>
              <w:top w:val="single" w:sz="4" w:space="0" w:color="auto"/>
              <w:left w:val="nil"/>
              <w:bottom w:val="single" w:sz="4" w:space="0" w:color="auto"/>
              <w:right w:val="single" w:sz="4" w:space="0" w:color="auto"/>
            </w:tcBorders>
            <w:noWrap/>
            <w:vAlign w:val="bottom"/>
            <w:hideMark/>
          </w:tcPr>
          <w:p w14:paraId="56E689D9" w14:textId="77777777" w:rsidR="00416D67" w:rsidRPr="00416D67" w:rsidRDefault="00416D67" w:rsidP="00416D67">
            <w:pPr>
              <w:rPr>
                <w:rFonts w:ascii="Arial" w:hAnsi="Arial" w:cs="Arial"/>
                <w:sz w:val="14"/>
                <w:szCs w:val="14"/>
              </w:rPr>
            </w:pPr>
            <w:r w:rsidRPr="00416D67">
              <w:rPr>
                <w:rFonts w:ascii="Arial" w:hAnsi="Arial" w:cs="Arial"/>
                <w:sz w:val="14"/>
                <w:szCs w:val="14"/>
              </w:rPr>
              <w:t>Ostale usluge</w:t>
            </w:r>
          </w:p>
        </w:tc>
        <w:tc>
          <w:tcPr>
            <w:tcW w:w="1275" w:type="dxa"/>
            <w:tcBorders>
              <w:top w:val="single" w:sz="4" w:space="0" w:color="auto"/>
              <w:left w:val="nil"/>
              <w:bottom w:val="single" w:sz="4" w:space="0" w:color="auto"/>
              <w:right w:val="single" w:sz="4" w:space="0" w:color="auto"/>
            </w:tcBorders>
            <w:noWrap/>
            <w:vAlign w:val="bottom"/>
            <w:hideMark/>
          </w:tcPr>
          <w:p w14:paraId="65433EC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5FCCE05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51C7475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1.460,00</w:t>
            </w:r>
          </w:p>
        </w:tc>
        <w:tc>
          <w:tcPr>
            <w:tcW w:w="1275" w:type="dxa"/>
            <w:tcBorders>
              <w:top w:val="single" w:sz="4" w:space="0" w:color="auto"/>
              <w:left w:val="nil"/>
              <w:bottom w:val="single" w:sz="4" w:space="0" w:color="auto"/>
              <w:right w:val="single" w:sz="4" w:space="0" w:color="auto"/>
            </w:tcBorders>
            <w:noWrap/>
            <w:vAlign w:val="bottom"/>
            <w:hideMark/>
          </w:tcPr>
          <w:p w14:paraId="6508B75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2817C10"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3638E75F" w14:textId="77777777" w:rsidR="00416D67" w:rsidRPr="00416D67" w:rsidRDefault="00416D67" w:rsidP="00416D67">
            <w:pPr>
              <w:rPr>
                <w:rFonts w:ascii="Arial" w:hAnsi="Arial" w:cs="Arial"/>
                <w:sz w:val="14"/>
                <w:szCs w:val="14"/>
              </w:rPr>
            </w:pPr>
            <w:r w:rsidRPr="00416D67">
              <w:rPr>
                <w:rFonts w:ascii="Arial" w:hAnsi="Arial" w:cs="Arial"/>
                <w:sz w:val="14"/>
                <w:szCs w:val="14"/>
              </w:rPr>
              <w:t>3295</w:t>
            </w:r>
          </w:p>
        </w:tc>
        <w:tc>
          <w:tcPr>
            <w:tcW w:w="4222" w:type="dxa"/>
            <w:tcBorders>
              <w:top w:val="single" w:sz="4" w:space="0" w:color="auto"/>
              <w:left w:val="nil"/>
              <w:bottom w:val="single" w:sz="4" w:space="0" w:color="auto"/>
              <w:right w:val="single" w:sz="4" w:space="0" w:color="auto"/>
            </w:tcBorders>
            <w:noWrap/>
            <w:vAlign w:val="bottom"/>
            <w:hideMark/>
          </w:tcPr>
          <w:p w14:paraId="4010FBF5" w14:textId="77777777" w:rsidR="00416D67" w:rsidRPr="00416D67" w:rsidRDefault="00416D67" w:rsidP="00416D67">
            <w:pPr>
              <w:rPr>
                <w:rFonts w:ascii="Arial" w:hAnsi="Arial" w:cs="Arial"/>
                <w:sz w:val="14"/>
                <w:szCs w:val="14"/>
              </w:rPr>
            </w:pPr>
            <w:r w:rsidRPr="00416D67">
              <w:rPr>
                <w:rFonts w:ascii="Arial" w:hAnsi="Arial" w:cs="Arial"/>
                <w:sz w:val="14"/>
                <w:szCs w:val="14"/>
              </w:rPr>
              <w:t>Pristojbe i naknade</w:t>
            </w:r>
          </w:p>
        </w:tc>
        <w:tc>
          <w:tcPr>
            <w:tcW w:w="1275" w:type="dxa"/>
            <w:tcBorders>
              <w:top w:val="single" w:sz="4" w:space="0" w:color="auto"/>
              <w:left w:val="nil"/>
              <w:bottom w:val="single" w:sz="4" w:space="0" w:color="auto"/>
              <w:right w:val="single" w:sz="4" w:space="0" w:color="auto"/>
            </w:tcBorders>
            <w:noWrap/>
            <w:vAlign w:val="bottom"/>
            <w:hideMark/>
          </w:tcPr>
          <w:p w14:paraId="669EB4A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7186466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474803C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1.883,25</w:t>
            </w:r>
          </w:p>
        </w:tc>
        <w:tc>
          <w:tcPr>
            <w:tcW w:w="1275" w:type="dxa"/>
            <w:tcBorders>
              <w:top w:val="single" w:sz="4" w:space="0" w:color="auto"/>
              <w:left w:val="nil"/>
              <w:bottom w:val="single" w:sz="4" w:space="0" w:color="auto"/>
              <w:right w:val="single" w:sz="4" w:space="0" w:color="auto"/>
            </w:tcBorders>
            <w:noWrap/>
            <w:vAlign w:val="bottom"/>
            <w:hideMark/>
          </w:tcPr>
          <w:p w14:paraId="30C50C9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3373484" w14:textId="77777777" w:rsidTr="00BB1392">
        <w:trPr>
          <w:trHeight w:val="195"/>
          <w:jc w:val="center"/>
        </w:trPr>
        <w:tc>
          <w:tcPr>
            <w:tcW w:w="500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C813EEB"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55576D5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104.906,03</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609EC9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104.906,03</w:t>
            </w:r>
          </w:p>
        </w:tc>
        <w:tc>
          <w:tcPr>
            <w:tcW w:w="1276" w:type="dxa"/>
            <w:tcBorders>
              <w:top w:val="single" w:sz="4" w:space="0" w:color="auto"/>
              <w:left w:val="nil"/>
              <w:bottom w:val="single" w:sz="4" w:space="0" w:color="auto"/>
              <w:right w:val="single" w:sz="4" w:space="0" w:color="auto"/>
            </w:tcBorders>
            <w:shd w:val="clear" w:color="000000" w:fill="CCCCFF"/>
            <w:noWrap/>
            <w:vAlign w:val="bottom"/>
            <w:hideMark/>
          </w:tcPr>
          <w:p w14:paraId="15C5EB6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103.196,33</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64E43E4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98,37%</w:t>
            </w:r>
          </w:p>
        </w:tc>
      </w:tr>
      <w:tr w:rsidR="00416D67" w:rsidRPr="00416D67" w14:paraId="4CC103C4" w14:textId="77777777" w:rsidTr="00BB1392">
        <w:trPr>
          <w:trHeight w:val="195"/>
          <w:jc w:val="center"/>
        </w:trPr>
        <w:tc>
          <w:tcPr>
            <w:tcW w:w="500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E6814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4.4. Prihodi za posebne PK boravak roditelji i </w:t>
            </w:r>
            <w:proofErr w:type="spellStart"/>
            <w:r w:rsidRPr="00416D67">
              <w:rPr>
                <w:rFonts w:ascii="Arial" w:hAnsi="Arial" w:cs="Arial"/>
                <w:b/>
                <w:bCs/>
                <w:color w:val="333333"/>
                <w:sz w:val="14"/>
                <w:szCs w:val="14"/>
              </w:rPr>
              <w:t>soc.program</w:t>
            </w:r>
            <w:proofErr w:type="spellEnd"/>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00FB162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104.906,03</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B8EA6D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104.906,03</w:t>
            </w:r>
          </w:p>
        </w:tc>
        <w:tc>
          <w:tcPr>
            <w:tcW w:w="1276" w:type="dxa"/>
            <w:tcBorders>
              <w:top w:val="single" w:sz="4" w:space="0" w:color="auto"/>
              <w:left w:val="nil"/>
              <w:bottom w:val="single" w:sz="4" w:space="0" w:color="auto"/>
              <w:right w:val="single" w:sz="4" w:space="0" w:color="auto"/>
            </w:tcBorders>
            <w:shd w:val="clear" w:color="000000" w:fill="CCCCFF"/>
            <w:noWrap/>
            <w:vAlign w:val="bottom"/>
            <w:hideMark/>
          </w:tcPr>
          <w:p w14:paraId="6AA2A46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103.196,33</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7C89C7C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98,37%</w:t>
            </w:r>
          </w:p>
        </w:tc>
      </w:tr>
      <w:tr w:rsidR="00416D67" w:rsidRPr="00416D67" w14:paraId="284FBB43"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23BA492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4222" w:type="dxa"/>
            <w:tcBorders>
              <w:top w:val="single" w:sz="4" w:space="0" w:color="auto"/>
              <w:left w:val="nil"/>
              <w:bottom w:val="single" w:sz="4" w:space="0" w:color="auto"/>
              <w:right w:val="single" w:sz="4" w:space="0" w:color="auto"/>
            </w:tcBorders>
            <w:noWrap/>
            <w:vAlign w:val="bottom"/>
            <w:hideMark/>
          </w:tcPr>
          <w:p w14:paraId="3C95139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275" w:type="dxa"/>
            <w:tcBorders>
              <w:top w:val="single" w:sz="4" w:space="0" w:color="auto"/>
              <w:left w:val="nil"/>
              <w:bottom w:val="single" w:sz="4" w:space="0" w:color="auto"/>
              <w:right w:val="single" w:sz="4" w:space="0" w:color="auto"/>
            </w:tcBorders>
            <w:noWrap/>
            <w:vAlign w:val="bottom"/>
            <w:hideMark/>
          </w:tcPr>
          <w:p w14:paraId="3E1C769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101.885,00</w:t>
            </w:r>
          </w:p>
        </w:tc>
        <w:tc>
          <w:tcPr>
            <w:tcW w:w="1418" w:type="dxa"/>
            <w:tcBorders>
              <w:top w:val="single" w:sz="4" w:space="0" w:color="auto"/>
              <w:left w:val="nil"/>
              <w:bottom w:val="single" w:sz="4" w:space="0" w:color="auto"/>
              <w:right w:val="single" w:sz="4" w:space="0" w:color="auto"/>
            </w:tcBorders>
            <w:noWrap/>
            <w:vAlign w:val="bottom"/>
            <w:hideMark/>
          </w:tcPr>
          <w:p w14:paraId="64FD912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101.885,00</w:t>
            </w:r>
          </w:p>
        </w:tc>
        <w:tc>
          <w:tcPr>
            <w:tcW w:w="1276" w:type="dxa"/>
            <w:tcBorders>
              <w:top w:val="single" w:sz="4" w:space="0" w:color="auto"/>
              <w:left w:val="nil"/>
              <w:bottom w:val="single" w:sz="4" w:space="0" w:color="auto"/>
              <w:right w:val="single" w:sz="4" w:space="0" w:color="auto"/>
            </w:tcBorders>
            <w:noWrap/>
            <w:vAlign w:val="bottom"/>
            <w:hideMark/>
          </w:tcPr>
          <w:p w14:paraId="6EB6AEB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97.911,70</w:t>
            </w:r>
          </w:p>
        </w:tc>
        <w:tc>
          <w:tcPr>
            <w:tcW w:w="1275" w:type="dxa"/>
            <w:tcBorders>
              <w:top w:val="single" w:sz="4" w:space="0" w:color="auto"/>
              <w:left w:val="nil"/>
              <w:bottom w:val="single" w:sz="4" w:space="0" w:color="auto"/>
              <w:right w:val="single" w:sz="4" w:space="0" w:color="auto"/>
            </w:tcBorders>
            <w:noWrap/>
            <w:vAlign w:val="bottom"/>
            <w:hideMark/>
          </w:tcPr>
          <w:p w14:paraId="715A17C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96,10%</w:t>
            </w:r>
          </w:p>
        </w:tc>
      </w:tr>
      <w:tr w:rsidR="00416D67" w:rsidRPr="00416D67" w14:paraId="68E7DC7D"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15CFBE34" w14:textId="77777777" w:rsidR="00416D67" w:rsidRPr="00416D67" w:rsidRDefault="00416D67" w:rsidP="00416D67">
            <w:pPr>
              <w:rPr>
                <w:rFonts w:ascii="Arial" w:hAnsi="Arial" w:cs="Arial"/>
                <w:sz w:val="14"/>
                <w:szCs w:val="14"/>
              </w:rPr>
            </w:pPr>
            <w:r w:rsidRPr="00416D67">
              <w:rPr>
                <w:rFonts w:ascii="Arial" w:hAnsi="Arial" w:cs="Arial"/>
                <w:sz w:val="14"/>
                <w:szCs w:val="14"/>
              </w:rPr>
              <w:t>3211</w:t>
            </w:r>
          </w:p>
        </w:tc>
        <w:tc>
          <w:tcPr>
            <w:tcW w:w="4222" w:type="dxa"/>
            <w:tcBorders>
              <w:top w:val="single" w:sz="4" w:space="0" w:color="auto"/>
              <w:left w:val="nil"/>
              <w:bottom w:val="single" w:sz="4" w:space="0" w:color="auto"/>
              <w:right w:val="single" w:sz="4" w:space="0" w:color="auto"/>
            </w:tcBorders>
            <w:noWrap/>
            <w:vAlign w:val="bottom"/>
            <w:hideMark/>
          </w:tcPr>
          <w:p w14:paraId="5DC08198" w14:textId="77777777" w:rsidR="00416D67" w:rsidRPr="00416D67" w:rsidRDefault="00416D67" w:rsidP="00416D67">
            <w:pPr>
              <w:rPr>
                <w:rFonts w:ascii="Arial" w:hAnsi="Arial" w:cs="Arial"/>
                <w:sz w:val="14"/>
                <w:szCs w:val="14"/>
              </w:rPr>
            </w:pPr>
            <w:r w:rsidRPr="00416D67">
              <w:rPr>
                <w:rFonts w:ascii="Arial" w:hAnsi="Arial" w:cs="Arial"/>
                <w:sz w:val="14"/>
                <w:szCs w:val="14"/>
              </w:rPr>
              <w:t>Službena putovanja</w:t>
            </w:r>
          </w:p>
        </w:tc>
        <w:tc>
          <w:tcPr>
            <w:tcW w:w="1275" w:type="dxa"/>
            <w:tcBorders>
              <w:top w:val="single" w:sz="4" w:space="0" w:color="auto"/>
              <w:left w:val="nil"/>
              <w:bottom w:val="single" w:sz="4" w:space="0" w:color="auto"/>
              <w:right w:val="single" w:sz="4" w:space="0" w:color="auto"/>
            </w:tcBorders>
            <w:noWrap/>
            <w:vAlign w:val="bottom"/>
            <w:hideMark/>
          </w:tcPr>
          <w:p w14:paraId="3D38809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3BAA92B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19CBA9F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3.393,02</w:t>
            </w:r>
          </w:p>
        </w:tc>
        <w:tc>
          <w:tcPr>
            <w:tcW w:w="1275" w:type="dxa"/>
            <w:tcBorders>
              <w:top w:val="single" w:sz="4" w:space="0" w:color="auto"/>
              <w:left w:val="nil"/>
              <w:bottom w:val="single" w:sz="4" w:space="0" w:color="auto"/>
              <w:right w:val="single" w:sz="4" w:space="0" w:color="auto"/>
            </w:tcBorders>
            <w:noWrap/>
            <w:vAlign w:val="bottom"/>
            <w:hideMark/>
          </w:tcPr>
          <w:p w14:paraId="354310C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7FA854D"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22028FB6" w14:textId="77777777" w:rsidR="00416D67" w:rsidRPr="00416D67" w:rsidRDefault="00416D67" w:rsidP="00416D67">
            <w:pPr>
              <w:rPr>
                <w:rFonts w:ascii="Arial" w:hAnsi="Arial" w:cs="Arial"/>
                <w:sz w:val="14"/>
                <w:szCs w:val="14"/>
              </w:rPr>
            </w:pPr>
            <w:r w:rsidRPr="00416D67">
              <w:rPr>
                <w:rFonts w:ascii="Arial" w:hAnsi="Arial" w:cs="Arial"/>
                <w:sz w:val="14"/>
                <w:szCs w:val="14"/>
              </w:rPr>
              <w:t>3213</w:t>
            </w:r>
          </w:p>
        </w:tc>
        <w:tc>
          <w:tcPr>
            <w:tcW w:w="4222" w:type="dxa"/>
            <w:tcBorders>
              <w:top w:val="single" w:sz="4" w:space="0" w:color="auto"/>
              <w:left w:val="nil"/>
              <w:bottom w:val="single" w:sz="4" w:space="0" w:color="auto"/>
              <w:right w:val="single" w:sz="4" w:space="0" w:color="auto"/>
            </w:tcBorders>
            <w:noWrap/>
            <w:vAlign w:val="bottom"/>
            <w:hideMark/>
          </w:tcPr>
          <w:p w14:paraId="57500CF6" w14:textId="77777777" w:rsidR="00416D67" w:rsidRPr="00416D67" w:rsidRDefault="00416D67" w:rsidP="00416D67">
            <w:pPr>
              <w:rPr>
                <w:rFonts w:ascii="Arial" w:hAnsi="Arial" w:cs="Arial"/>
                <w:sz w:val="14"/>
                <w:szCs w:val="14"/>
              </w:rPr>
            </w:pPr>
            <w:r w:rsidRPr="00416D67">
              <w:rPr>
                <w:rFonts w:ascii="Arial" w:hAnsi="Arial" w:cs="Arial"/>
                <w:sz w:val="14"/>
                <w:szCs w:val="14"/>
              </w:rPr>
              <w:t>Stručno usavršavanje zaposlenika</w:t>
            </w:r>
          </w:p>
        </w:tc>
        <w:tc>
          <w:tcPr>
            <w:tcW w:w="1275" w:type="dxa"/>
            <w:tcBorders>
              <w:top w:val="single" w:sz="4" w:space="0" w:color="auto"/>
              <w:left w:val="nil"/>
              <w:bottom w:val="single" w:sz="4" w:space="0" w:color="auto"/>
              <w:right w:val="single" w:sz="4" w:space="0" w:color="auto"/>
            </w:tcBorders>
            <w:noWrap/>
            <w:vAlign w:val="bottom"/>
            <w:hideMark/>
          </w:tcPr>
          <w:p w14:paraId="350E1D0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797C38F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2DA2F22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2.723,06</w:t>
            </w:r>
          </w:p>
        </w:tc>
        <w:tc>
          <w:tcPr>
            <w:tcW w:w="1275" w:type="dxa"/>
            <w:tcBorders>
              <w:top w:val="single" w:sz="4" w:space="0" w:color="auto"/>
              <w:left w:val="nil"/>
              <w:bottom w:val="single" w:sz="4" w:space="0" w:color="auto"/>
              <w:right w:val="single" w:sz="4" w:space="0" w:color="auto"/>
            </w:tcBorders>
            <w:noWrap/>
            <w:vAlign w:val="bottom"/>
            <w:hideMark/>
          </w:tcPr>
          <w:p w14:paraId="5F310E3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B5ED87B"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60D8E5D0" w14:textId="77777777" w:rsidR="00416D67" w:rsidRPr="00416D67" w:rsidRDefault="00416D67" w:rsidP="00416D67">
            <w:pPr>
              <w:rPr>
                <w:rFonts w:ascii="Arial" w:hAnsi="Arial" w:cs="Arial"/>
                <w:sz w:val="14"/>
                <w:szCs w:val="14"/>
              </w:rPr>
            </w:pPr>
            <w:r w:rsidRPr="00416D67">
              <w:rPr>
                <w:rFonts w:ascii="Arial" w:hAnsi="Arial" w:cs="Arial"/>
                <w:sz w:val="14"/>
                <w:szCs w:val="14"/>
              </w:rPr>
              <w:t>3214</w:t>
            </w:r>
          </w:p>
        </w:tc>
        <w:tc>
          <w:tcPr>
            <w:tcW w:w="4222" w:type="dxa"/>
            <w:tcBorders>
              <w:top w:val="single" w:sz="4" w:space="0" w:color="auto"/>
              <w:left w:val="nil"/>
              <w:bottom w:val="single" w:sz="4" w:space="0" w:color="auto"/>
              <w:right w:val="single" w:sz="4" w:space="0" w:color="auto"/>
            </w:tcBorders>
            <w:noWrap/>
            <w:vAlign w:val="bottom"/>
            <w:hideMark/>
          </w:tcPr>
          <w:p w14:paraId="7BF54CBA" w14:textId="77777777" w:rsidR="00416D67" w:rsidRPr="00416D67" w:rsidRDefault="00416D67" w:rsidP="00416D67">
            <w:pPr>
              <w:rPr>
                <w:rFonts w:ascii="Arial" w:hAnsi="Arial" w:cs="Arial"/>
                <w:sz w:val="14"/>
                <w:szCs w:val="14"/>
              </w:rPr>
            </w:pPr>
            <w:r w:rsidRPr="00416D67">
              <w:rPr>
                <w:rFonts w:ascii="Arial" w:hAnsi="Arial" w:cs="Arial"/>
                <w:sz w:val="14"/>
                <w:szCs w:val="14"/>
              </w:rPr>
              <w:t>Ostale naknade troškova zaposlenima</w:t>
            </w:r>
          </w:p>
        </w:tc>
        <w:tc>
          <w:tcPr>
            <w:tcW w:w="1275" w:type="dxa"/>
            <w:tcBorders>
              <w:top w:val="single" w:sz="4" w:space="0" w:color="auto"/>
              <w:left w:val="nil"/>
              <w:bottom w:val="single" w:sz="4" w:space="0" w:color="auto"/>
              <w:right w:val="single" w:sz="4" w:space="0" w:color="auto"/>
            </w:tcBorders>
            <w:noWrap/>
            <w:vAlign w:val="bottom"/>
            <w:hideMark/>
          </w:tcPr>
          <w:p w14:paraId="0C8D788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2A56922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5632200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3.366,20</w:t>
            </w:r>
          </w:p>
        </w:tc>
        <w:tc>
          <w:tcPr>
            <w:tcW w:w="1275" w:type="dxa"/>
            <w:tcBorders>
              <w:top w:val="single" w:sz="4" w:space="0" w:color="auto"/>
              <w:left w:val="nil"/>
              <w:bottom w:val="single" w:sz="4" w:space="0" w:color="auto"/>
              <w:right w:val="single" w:sz="4" w:space="0" w:color="auto"/>
            </w:tcBorders>
            <w:noWrap/>
            <w:vAlign w:val="bottom"/>
            <w:hideMark/>
          </w:tcPr>
          <w:p w14:paraId="5C03DDB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2D5A053"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20A3B656" w14:textId="77777777" w:rsidR="00416D67" w:rsidRPr="00416D67" w:rsidRDefault="00416D67" w:rsidP="00416D67">
            <w:pPr>
              <w:rPr>
                <w:rFonts w:ascii="Arial" w:hAnsi="Arial" w:cs="Arial"/>
                <w:sz w:val="14"/>
                <w:szCs w:val="14"/>
              </w:rPr>
            </w:pPr>
            <w:r w:rsidRPr="00416D67">
              <w:rPr>
                <w:rFonts w:ascii="Arial" w:hAnsi="Arial" w:cs="Arial"/>
                <w:sz w:val="14"/>
                <w:szCs w:val="14"/>
              </w:rPr>
              <w:t>3221</w:t>
            </w:r>
          </w:p>
        </w:tc>
        <w:tc>
          <w:tcPr>
            <w:tcW w:w="4222" w:type="dxa"/>
            <w:tcBorders>
              <w:top w:val="single" w:sz="4" w:space="0" w:color="auto"/>
              <w:left w:val="nil"/>
              <w:bottom w:val="single" w:sz="4" w:space="0" w:color="auto"/>
              <w:right w:val="single" w:sz="4" w:space="0" w:color="auto"/>
            </w:tcBorders>
            <w:noWrap/>
            <w:vAlign w:val="bottom"/>
            <w:hideMark/>
          </w:tcPr>
          <w:p w14:paraId="4396B7F1" w14:textId="77777777" w:rsidR="00416D67" w:rsidRPr="00416D67" w:rsidRDefault="00416D67" w:rsidP="00416D67">
            <w:pPr>
              <w:rPr>
                <w:rFonts w:ascii="Arial" w:hAnsi="Arial" w:cs="Arial"/>
                <w:sz w:val="14"/>
                <w:szCs w:val="14"/>
              </w:rPr>
            </w:pPr>
            <w:r w:rsidRPr="00416D67">
              <w:rPr>
                <w:rFonts w:ascii="Arial" w:hAnsi="Arial" w:cs="Arial"/>
                <w:sz w:val="14"/>
                <w:szCs w:val="14"/>
              </w:rPr>
              <w:t>Uredski materijal i ostali materijalni rashodi</w:t>
            </w:r>
          </w:p>
        </w:tc>
        <w:tc>
          <w:tcPr>
            <w:tcW w:w="1275" w:type="dxa"/>
            <w:tcBorders>
              <w:top w:val="single" w:sz="4" w:space="0" w:color="auto"/>
              <w:left w:val="nil"/>
              <w:bottom w:val="single" w:sz="4" w:space="0" w:color="auto"/>
              <w:right w:val="single" w:sz="4" w:space="0" w:color="auto"/>
            </w:tcBorders>
            <w:noWrap/>
            <w:vAlign w:val="bottom"/>
            <w:hideMark/>
          </w:tcPr>
          <w:p w14:paraId="081B62F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1DB012A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06C7FBE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10.162,06</w:t>
            </w:r>
          </w:p>
        </w:tc>
        <w:tc>
          <w:tcPr>
            <w:tcW w:w="1275" w:type="dxa"/>
            <w:tcBorders>
              <w:top w:val="single" w:sz="4" w:space="0" w:color="auto"/>
              <w:left w:val="nil"/>
              <w:bottom w:val="single" w:sz="4" w:space="0" w:color="auto"/>
              <w:right w:val="single" w:sz="4" w:space="0" w:color="auto"/>
            </w:tcBorders>
            <w:noWrap/>
            <w:vAlign w:val="bottom"/>
            <w:hideMark/>
          </w:tcPr>
          <w:p w14:paraId="41180DC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5069873"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687474DB" w14:textId="77777777" w:rsidR="00416D67" w:rsidRPr="00416D67" w:rsidRDefault="00416D67" w:rsidP="00416D67">
            <w:pPr>
              <w:rPr>
                <w:rFonts w:ascii="Arial" w:hAnsi="Arial" w:cs="Arial"/>
                <w:sz w:val="14"/>
                <w:szCs w:val="14"/>
              </w:rPr>
            </w:pPr>
            <w:r w:rsidRPr="00416D67">
              <w:rPr>
                <w:rFonts w:ascii="Arial" w:hAnsi="Arial" w:cs="Arial"/>
                <w:sz w:val="14"/>
                <w:szCs w:val="14"/>
              </w:rPr>
              <w:t>3222</w:t>
            </w:r>
          </w:p>
        </w:tc>
        <w:tc>
          <w:tcPr>
            <w:tcW w:w="4222" w:type="dxa"/>
            <w:tcBorders>
              <w:top w:val="single" w:sz="4" w:space="0" w:color="auto"/>
              <w:left w:val="nil"/>
              <w:bottom w:val="single" w:sz="4" w:space="0" w:color="auto"/>
              <w:right w:val="single" w:sz="4" w:space="0" w:color="auto"/>
            </w:tcBorders>
            <w:noWrap/>
            <w:vAlign w:val="bottom"/>
            <w:hideMark/>
          </w:tcPr>
          <w:p w14:paraId="56B3D431" w14:textId="77777777" w:rsidR="00416D67" w:rsidRPr="00416D67" w:rsidRDefault="00416D67" w:rsidP="00416D67">
            <w:pPr>
              <w:rPr>
                <w:rFonts w:ascii="Arial" w:hAnsi="Arial" w:cs="Arial"/>
                <w:sz w:val="14"/>
                <w:szCs w:val="14"/>
              </w:rPr>
            </w:pPr>
            <w:r w:rsidRPr="00416D67">
              <w:rPr>
                <w:rFonts w:ascii="Arial" w:hAnsi="Arial" w:cs="Arial"/>
                <w:sz w:val="14"/>
                <w:szCs w:val="14"/>
              </w:rPr>
              <w:t>Materijal i sirovine</w:t>
            </w:r>
          </w:p>
        </w:tc>
        <w:tc>
          <w:tcPr>
            <w:tcW w:w="1275" w:type="dxa"/>
            <w:tcBorders>
              <w:top w:val="single" w:sz="4" w:space="0" w:color="auto"/>
              <w:left w:val="nil"/>
              <w:bottom w:val="single" w:sz="4" w:space="0" w:color="auto"/>
              <w:right w:val="single" w:sz="4" w:space="0" w:color="auto"/>
            </w:tcBorders>
            <w:noWrap/>
            <w:vAlign w:val="bottom"/>
            <w:hideMark/>
          </w:tcPr>
          <w:p w14:paraId="4BE0457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75D52AF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0DDE059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23.874,40</w:t>
            </w:r>
          </w:p>
        </w:tc>
        <w:tc>
          <w:tcPr>
            <w:tcW w:w="1275" w:type="dxa"/>
            <w:tcBorders>
              <w:top w:val="single" w:sz="4" w:space="0" w:color="auto"/>
              <w:left w:val="nil"/>
              <w:bottom w:val="single" w:sz="4" w:space="0" w:color="auto"/>
              <w:right w:val="single" w:sz="4" w:space="0" w:color="auto"/>
            </w:tcBorders>
            <w:noWrap/>
            <w:vAlign w:val="bottom"/>
            <w:hideMark/>
          </w:tcPr>
          <w:p w14:paraId="1988829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62A45FF"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09133318" w14:textId="77777777" w:rsidR="00416D67" w:rsidRPr="00416D67" w:rsidRDefault="00416D67" w:rsidP="00416D67">
            <w:pPr>
              <w:rPr>
                <w:rFonts w:ascii="Arial" w:hAnsi="Arial" w:cs="Arial"/>
                <w:sz w:val="14"/>
                <w:szCs w:val="14"/>
              </w:rPr>
            </w:pPr>
            <w:r w:rsidRPr="00416D67">
              <w:rPr>
                <w:rFonts w:ascii="Arial" w:hAnsi="Arial" w:cs="Arial"/>
                <w:sz w:val="14"/>
                <w:szCs w:val="14"/>
              </w:rPr>
              <w:t>3223</w:t>
            </w:r>
          </w:p>
        </w:tc>
        <w:tc>
          <w:tcPr>
            <w:tcW w:w="4222" w:type="dxa"/>
            <w:tcBorders>
              <w:top w:val="single" w:sz="4" w:space="0" w:color="auto"/>
              <w:left w:val="nil"/>
              <w:bottom w:val="single" w:sz="4" w:space="0" w:color="auto"/>
              <w:right w:val="single" w:sz="4" w:space="0" w:color="auto"/>
            </w:tcBorders>
            <w:noWrap/>
            <w:vAlign w:val="bottom"/>
            <w:hideMark/>
          </w:tcPr>
          <w:p w14:paraId="409BE5DA" w14:textId="77777777" w:rsidR="00416D67" w:rsidRPr="00416D67" w:rsidRDefault="00416D67" w:rsidP="00416D67">
            <w:pPr>
              <w:rPr>
                <w:rFonts w:ascii="Arial" w:hAnsi="Arial" w:cs="Arial"/>
                <w:sz w:val="14"/>
                <w:szCs w:val="14"/>
              </w:rPr>
            </w:pPr>
            <w:r w:rsidRPr="00416D67">
              <w:rPr>
                <w:rFonts w:ascii="Arial" w:hAnsi="Arial" w:cs="Arial"/>
                <w:sz w:val="14"/>
                <w:szCs w:val="14"/>
              </w:rPr>
              <w:t>Energija</w:t>
            </w:r>
          </w:p>
        </w:tc>
        <w:tc>
          <w:tcPr>
            <w:tcW w:w="1275" w:type="dxa"/>
            <w:tcBorders>
              <w:top w:val="single" w:sz="4" w:space="0" w:color="auto"/>
              <w:left w:val="nil"/>
              <w:bottom w:val="single" w:sz="4" w:space="0" w:color="auto"/>
              <w:right w:val="single" w:sz="4" w:space="0" w:color="auto"/>
            </w:tcBorders>
            <w:noWrap/>
            <w:vAlign w:val="bottom"/>
            <w:hideMark/>
          </w:tcPr>
          <w:p w14:paraId="37CDB6A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69E447E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75A76E1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1.086,46</w:t>
            </w:r>
          </w:p>
        </w:tc>
        <w:tc>
          <w:tcPr>
            <w:tcW w:w="1275" w:type="dxa"/>
            <w:tcBorders>
              <w:top w:val="single" w:sz="4" w:space="0" w:color="auto"/>
              <w:left w:val="nil"/>
              <w:bottom w:val="single" w:sz="4" w:space="0" w:color="auto"/>
              <w:right w:val="single" w:sz="4" w:space="0" w:color="auto"/>
            </w:tcBorders>
            <w:noWrap/>
            <w:vAlign w:val="bottom"/>
            <w:hideMark/>
          </w:tcPr>
          <w:p w14:paraId="3336536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886C831"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5ECC2E96" w14:textId="77777777" w:rsidR="00416D67" w:rsidRPr="00416D67" w:rsidRDefault="00416D67" w:rsidP="00416D67">
            <w:pPr>
              <w:rPr>
                <w:rFonts w:ascii="Arial" w:hAnsi="Arial" w:cs="Arial"/>
                <w:sz w:val="14"/>
                <w:szCs w:val="14"/>
              </w:rPr>
            </w:pPr>
            <w:r w:rsidRPr="00416D67">
              <w:rPr>
                <w:rFonts w:ascii="Arial" w:hAnsi="Arial" w:cs="Arial"/>
                <w:sz w:val="14"/>
                <w:szCs w:val="14"/>
              </w:rPr>
              <w:t>3225</w:t>
            </w:r>
          </w:p>
        </w:tc>
        <w:tc>
          <w:tcPr>
            <w:tcW w:w="4222" w:type="dxa"/>
            <w:tcBorders>
              <w:top w:val="single" w:sz="4" w:space="0" w:color="auto"/>
              <w:left w:val="nil"/>
              <w:bottom w:val="single" w:sz="4" w:space="0" w:color="auto"/>
              <w:right w:val="single" w:sz="4" w:space="0" w:color="auto"/>
            </w:tcBorders>
            <w:noWrap/>
            <w:vAlign w:val="bottom"/>
            <w:hideMark/>
          </w:tcPr>
          <w:p w14:paraId="5A24205C" w14:textId="77777777" w:rsidR="00416D67" w:rsidRPr="00416D67" w:rsidRDefault="00416D67" w:rsidP="00416D67">
            <w:pPr>
              <w:rPr>
                <w:rFonts w:ascii="Arial" w:hAnsi="Arial" w:cs="Arial"/>
                <w:sz w:val="14"/>
                <w:szCs w:val="14"/>
              </w:rPr>
            </w:pPr>
            <w:r w:rsidRPr="00416D67">
              <w:rPr>
                <w:rFonts w:ascii="Arial" w:hAnsi="Arial" w:cs="Arial"/>
                <w:sz w:val="14"/>
                <w:szCs w:val="14"/>
              </w:rPr>
              <w:t xml:space="preserve">Sitni inventar i </w:t>
            </w:r>
            <w:proofErr w:type="spellStart"/>
            <w:r w:rsidRPr="00416D67">
              <w:rPr>
                <w:rFonts w:ascii="Arial" w:hAnsi="Arial" w:cs="Arial"/>
                <w:sz w:val="14"/>
                <w:szCs w:val="14"/>
              </w:rPr>
              <w:t>autogume</w:t>
            </w:r>
            <w:proofErr w:type="spellEnd"/>
          </w:p>
        </w:tc>
        <w:tc>
          <w:tcPr>
            <w:tcW w:w="1275" w:type="dxa"/>
            <w:tcBorders>
              <w:top w:val="single" w:sz="4" w:space="0" w:color="auto"/>
              <w:left w:val="nil"/>
              <w:bottom w:val="single" w:sz="4" w:space="0" w:color="auto"/>
              <w:right w:val="single" w:sz="4" w:space="0" w:color="auto"/>
            </w:tcBorders>
            <w:noWrap/>
            <w:vAlign w:val="bottom"/>
            <w:hideMark/>
          </w:tcPr>
          <w:p w14:paraId="36FA4A8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3B0A067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0AA6F2E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3.334,12</w:t>
            </w:r>
          </w:p>
        </w:tc>
        <w:tc>
          <w:tcPr>
            <w:tcW w:w="1275" w:type="dxa"/>
            <w:tcBorders>
              <w:top w:val="single" w:sz="4" w:space="0" w:color="auto"/>
              <w:left w:val="nil"/>
              <w:bottom w:val="single" w:sz="4" w:space="0" w:color="auto"/>
              <w:right w:val="single" w:sz="4" w:space="0" w:color="auto"/>
            </w:tcBorders>
            <w:noWrap/>
            <w:vAlign w:val="bottom"/>
            <w:hideMark/>
          </w:tcPr>
          <w:p w14:paraId="41C0479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6FA64F7"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35BAC7F5" w14:textId="77777777" w:rsidR="00416D67" w:rsidRPr="00416D67" w:rsidRDefault="00416D67" w:rsidP="00416D67">
            <w:pPr>
              <w:rPr>
                <w:rFonts w:ascii="Arial" w:hAnsi="Arial" w:cs="Arial"/>
                <w:sz w:val="14"/>
                <w:szCs w:val="14"/>
              </w:rPr>
            </w:pPr>
            <w:r w:rsidRPr="00416D67">
              <w:rPr>
                <w:rFonts w:ascii="Arial" w:hAnsi="Arial" w:cs="Arial"/>
                <w:sz w:val="14"/>
                <w:szCs w:val="14"/>
              </w:rPr>
              <w:t>3227</w:t>
            </w:r>
          </w:p>
        </w:tc>
        <w:tc>
          <w:tcPr>
            <w:tcW w:w="4222" w:type="dxa"/>
            <w:tcBorders>
              <w:top w:val="single" w:sz="4" w:space="0" w:color="auto"/>
              <w:left w:val="nil"/>
              <w:bottom w:val="single" w:sz="4" w:space="0" w:color="auto"/>
              <w:right w:val="single" w:sz="4" w:space="0" w:color="auto"/>
            </w:tcBorders>
            <w:noWrap/>
            <w:vAlign w:val="bottom"/>
            <w:hideMark/>
          </w:tcPr>
          <w:p w14:paraId="5995D8C5" w14:textId="77777777" w:rsidR="00416D67" w:rsidRPr="00416D67" w:rsidRDefault="00416D67" w:rsidP="00416D67">
            <w:pPr>
              <w:rPr>
                <w:rFonts w:ascii="Arial" w:hAnsi="Arial" w:cs="Arial"/>
                <w:sz w:val="14"/>
                <w:szCs w:val="14"/>
              </w:rPr>
            </w:pPr>
            <w:r w:rsidRPr="00416D67">
              <w:rPr>
                <w:rFonts w:ascii="Arial" w:hAnsi="Arial" w:cs="Arial"/>
                <w:sz w:val="14"/>
                <w:szCs w:val="14"/>
              </w:rPr>
              <w:t>Službena, radna i zaštitna odjeća i obuća</w:t>
            </w:r>
          </w:p>
        </w:tc>
        <w:tc>
          <w:tcPr>
            <w:tcW w:w="1275" w:type="dxa"/>
            <w:tcBorders>
              <w:top w:val="single" w:sz="4" w:space="0" w:color="auto"/>
              <w:left w:val="nil"/>
              <w:bottom w:val="single" w:sz="4" w:space="0" w:color="auto"/>
              <w:right w:val="single" w:sz="4" w:space="0" w:color="auto"/>
            </w:tcBorders>
            <w:noWrap/>
            <w:vAlign w:val="bottom"/>
            <w:hideMark/>
          </w:tcPr>
          <w:p w14:paraId="64A9E47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64ADABF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75AA6E8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1.746,23</w:t>
            </w:r>
          </w:p>
        </w:tc>
        <w:tc>
          <w:tcPr>
            <w:tcW w:w="1275" w:type="dxa"/>
            <w:tcBorders>
              <w:top w:val="single" w:sz="4" w:space="0" w:color="auto"/>
              <w:left w:val="nil"/>
              <w:bottom w:val="single" w:sz="4" w:space="0" w:color="auto"/>
              <w:right w:val="single" w:sz="4" w:space="0" w:color="auto"/>
            </w:tcBorders>
            <w:noWrap/>
            <w:vAlign w:val="bottom"/>
            <w:hideMark/>
          </w:tcPr>
          <w:p w14:paraId="265E33E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2DBB652"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4EFFF9BF" w14:textId="77777777" w:rsidR="00416D67" w:rsidRPr="00416D67" w:rsidRDefault="00416D67" w:rsidP="00416D67">
            <w:pPr>
              <w:rPr>
                <w:rFonts w:ascii="Arial" w:hAnsi="Arial" w:cs="Arial"/>
                <w:sz w:val="14"/>
                <w:szCs w:val="14"/>
              </w:rPr>
            </w:pPr>
            <w:r w:rsidRPr="00416D67">
              <w:rPr>
                <w:rFonts w:ascii="Arial" w:hAnsi="Arial" w:cs="Arial"/>
                <w:sz w:val="14"/>
                <w:szCs w:val="14"/>
              </w:rPr>
              <w:t>3231</w:t>
            </w:r>
          </w:p>
        </w:tc>
        <w:tc>
          <w:tcPr>
            <w:tcW w:w="4222" w:type="dxa"/>
            <w:tcBorders>
              <w:top w:val="single" w:sz="4" w:space="0" w:color="auto"/>
              <w:left w:val="nil"/>
              <w:bottom w:val="single" w:sz="4" w:space="0" w:color="auto"/>
              <w:right w:val="single" w:sz="4" w:space="0" w:color="auto"/>
            </w:tcBorders>
            <w:noWrap/>
            <w:vAlign w:val="bottom"/>
            <w:hideMark/>
          </w:tcPr>
          <w:p w14:paraId="4D1D000F" w14:textId="77777777" w:rsidR="00416D67" w:rsidRPr="00416D67" w:rsidRDefault="00416D67" w:rsidP="00416D67">
            <w:pPr>
              <w:rPr>
                <w:rFonts w:ascii="Arial" w:hAnsi="Arial" w:cs="Arial"/>
                <w:sz w:val="14"/>
                <w:szCs w:val="14"/>
              </w:rPr>
            </w:pPr>
            <w:r w:rsidRPr="00416D67">
              <w:rPr>
                <w:rFonts w:ascii="Arial" w:hAnsi="Arial" w:cs="Arial"/>
                <w:sz w:val="14"/>
                <w:szCs w:val="14"/>
              </w:rPr>
              <w:t>Usluge telefona, interneta, pošte i prijevoza</w:t>
            </w:r>
          </w:p>
        </w:tc>
        <w:tc>
          <w:tcPr>
            <w:tcW w:w="1275" w:type="dxa"/>
            <w:tcBorders>
              <w:top w:val="single" w:sz="4" w:space="0" w:color="auto"/>
              <w:left w:val="nil"/>
              <w:bottom w:val="single" w:sz="4" w:space="0" w:color="auto"/>
              <w:right w:val="single" w:sz="4" w:space="0" w:color="auto"/>
            </w:tcBorders>
            <w:noWrap/>
            <w:vAlign w:val="bottom"/>
            <w:hideMark/>
          </w:tcPr>
          <w:p w14:paraId="6C9819F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2228DC6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149BC31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6.646,72</w:t>
            </w:r>
          </w:p>
        </w:tc>
        <w:tc>
          <w:tcPr>
            <w:tcW w:w="1275" w:type="dxa"/>
            <w:tcBorders>
              <w:top w:val="single" w:sz="4" w:space="0" w:color="auto"/>
              <w:left w:val="nil"/>
              <w:bottom w:val="single" w:sz="4" w:space="0" w:color="auto"/>
              <w:right w:val="single" w:sz="4" w:space="0" w:color="auto"/>
            </w:tcBorders>
            <w:noWrap/>
            <w:vAlign w:val="bottom"/>
            <w:hideMark/>
          </w:tcPr>
          <w:p w14:paraId="36973BB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2DC4160"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21EE60E0" w14:textId="77777777" w:rsidR="00416D67" w:rsidRPr="00416D67" w:rsidRDefault="00416D67" w:rsidP="00416D67">
            <w:pPr>
              <w:rPr>
                <w:rFonts w:ascii="Arial" w:hAnsi="Arial" w:cs="Arial"/>
                <w:sz w:val="14"/>
                <w:szCs w:val="14"/>
              </w:rPr>
            </w:pPr>
            <w:r w:rsidRPr="00416D67">
              <w:rPr>
                <w:rFonts w:ascii="Arial" w:hAnsi="Arial" w:cs="Arial"/>
                <w:sz w:val="14"/>
                <w:szCs w:val="14"/>
              </w:rPr>
              <w:t>3232</w:t>
            </w:r>
          </w:p>
        </w:tc>
        <w:tc>
          <w:tcPr>
            <w:tcW w:w="4222" w:type="dxa"/>
            <w:tcBorders>
              <w:top w:val="single" w:sz="4" w:space="0" w:color="auto"/>
              <w:left w:val="nil"/>
              <w:bottom w:val="single" w:sz="4" w:space="0" w:color="auto"/>
              <w:right w:val="single" w:sz="4" w:space="0" w:color="auto"/>
            </w:tcBorders>
            <w:noWrap/>
            <w:vAlign w:val="bottom"/>
            <w:hideMark/>
          </w:tcPr>
          <w:p w14:paraId="5107393B" w14:textId="77777777" w:rsidR="00416D67" w:rsidRPr="00416D67" w:rsidRDefault="00416D67" w:rsidP="00416D67">
            <w:pPr>
              <w:rPr>
                <w:rFonts w:ascii="Arial" w:hAnsi="Arial" w:cs="Arial"/>
                <w:sz w:val="14"/>
                <w:szCs w:val="14"/>
              </w:rPr>
            </w:pPr>
            <w:r w:rsidRPr="00416D67">
              <w:rPr>
                <w:rFonts w:ascii="Arial" w:hAnsi="Arial" w:cs="Arial"/>
                <w:sz w:val="14"/>
                <w:szCs w:val="14"/>
              </w:rPr>
              <w:t>Usluge tekućeg i investicijskog  održavanja</w:t>
            </w:r>
          </w:p>
        </w:tc>
        <w:tc>
          <w:tcPr>
            <w:tcW w:w="1275" w:type="dxa"/>
            <w:tcBorders>
              <w:top w:val="single" w:sz="4" w:space="0" w:color="auto"/>
              <w:left w:val="nil"/>
              <w:bottom w:val="single" w:sz="4" w:space="0" w:color="auto"/>
              <w:right w:val="single" w:sz="4" w:space="0" w:color="auto"/>
            </w:tcBorders>
            <w:noWrap/>
            <w:vAlign w:val="bottom"/>
            <w:hideMark/>
          </w:tcPr>
          <w:p w14:paraId="1D2B6DB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261BF04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18DE7B0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5.953,56</w:t>
            </w:r>
          </w:p>
        </w:tc>
        <w:tc>
          <w:tcPr>
            <w:tcW w:w="1275" w:type="dxa"/>
            <w:tcBorders>
              <w:top w:val="single" w:sz="4" w:space="0" w:color="auto"/>
              <w:left w:val="nil"/>
              <w:bottom w:val="single" w:sz="4" w:space="0" w:color="auto"/>
              <w:right w:val="single" w:sz="4" w:space="0" w:color="auto"/>
            </w:tcBorders>
            <w:noWrap/>
            <w:vAlign w:val="bottom"/>
            <w:hideMark/>
          </w:tcPr>
          <w:p w14:paraId="2A21EF0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F275B14"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06C4EB8D" w14:textId="77777777" w:rsidR="00416D67" w:rsidRPr="00416D67" w:rsidRDefault="00416D67" w:rsidP="00416D67">
            <w:pPr>
              <w:rPr>
                <w:rFonts w:ascii="Arial" w:hAnsi="Arial" w:cs="Arial"/>
                <w:sz w:val="14"/>
                <w:szCs w:val="14"/>
              </w:rPr>
            </w:pPr>
            <w:r w:rsidRPr="00416D67">
              <w:rPr>
                <w:rFonts w:ascii="Arial" w:hAnsi="Arial" w:cs="Arial"/>
                <w:sz w:val="14"/>
                <w:szCs w:val="14"/>
              </w:rPr>
              <w:t>3233</w:t>
            </w:r>
          </w:p>
        </w:tc>
        <w:tc>
          <w:tcPr>
            <w:tcW w:w="4222" w:type="dxa"/>
            <w:tcBorders>
              <w:top w:val="single" w:sz="4" w:space="0" w:color="auto"/>
              <w:left w:val="nil"/>
              <w:bottom w:val="single" w:sz="4" w:space="0" w:color="auto"/>
              <w:right w:val="single" w:sz="4" w:space="0" w:color="auto"/>
            </w:tcBorders>
            <w:noWrap/>
            <w:vAlign w:val="bottom"/>
            <w:hideMark/>
          </w:tcPr>
          <w:p w14:paraId="4B8D3473" w14:textId="77777777" w:rsidR="00416D67" w:rsidRPr="00416D67" w:rsidRDefault="00416D67" w:rsidP="00416D67">
            <w:pPr>
              <w:rPr>
                <w:rFonts w:ascii="Arial" w:hAnsi="Arial" w:cs="Arial"/>
                <w:sz w:val="14"/>
                <w:szCs w:val="14"/>
              </w:rPr>
            </w:pPr>
            <w:r w:rsidRPr="00416D67">
              <w:rPr>
                <w:rFonts w:ascii="Arial" w:hAnsi="Arial" w:cs="Arial"/>
                <w:sz w:val="14"/>
                <w:szCs w:val="14"/>
              </w:rPr>
              <w:t>Usluge promidžbe i informiranja</w:t>
            </w:r>
          </w:p>
        </w:tc>
        <w:tc>
          <w:tcPr>
            <w:tcW w:w="1275" w:type="dxa"/>
            <w:tcBorders>
              <w:top w:val="single" w:sz="4" w:space="0" w:color="auto"/>
              <w:left w:val="nil"/>
              <w:bottom w:val="single" w:sz="4" w:space="0" w:color="auto"/>
              <w:right w:val="single" w:sz="4" w:space="0" w:color="auto"/>
            </w:tcBorders>
            <w:noWrap/>
            <w:vAlign w:val="bottom"/>
            <w:hideMark/>
          </w:tcPr>
          <w:p w14:paraId="0321EA6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472A6E5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41D7382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2.012,50</w:t>
            </w:r>
          </w:p>
        </w:tc>
        <w:tc>
          <w:tcPr>
            <w:tcW w:w="1275" w:type="dxa"/>
            <w:tcBorders>
              <w:top w:val="single" w:sz="4" w:space="0" w:color="auto"/>
              <w:left w:val="nil"/>
              <w:bottom w:val="single" w:sz="4" w:space="0" w:color="auto"/>
              <w:right w:val="single" w:sz="4" w:space="0" w:color="auto"/>
            </w:tcBorders>
            <w:noWrap/>
            <w:vAlign w:val="bottom"/>
            <w:hideMark/>
          </w:tcPr>
          <w:p w14:paraId="7891098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45D1CC7"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53DE02C7" w14:textId="77777777" w:rsidR="00416D67" w:rsidRPr="00416D67" w:rsidRDefault="00416D67" w:rsidP="00416D67">
            <w:pPr>
              <w:rPr>
                <w:rFonts w:ascii="Arial" w:hAnsi="Arial" w:cs="Arial"/>
                <w:sz w:val="14"/>
                <w:szCs w:val="14"/>
              </w:rPr>
            </w:pPr>
            <w:r w:rsidRPr="00416D67">
              <w:rPr>
                <w:rFonts w:ascii="Arial" w:hAnsi="Arial" w:cs="Arial"/>
                <w:sz w:val="14"/>
                <w:szCs w:val="14"/>
              </w:rPr>
              <w:t>3236</w:t>
            </w:r>
          </w:p>
        </w:tc>
        <w:tc>
          <w:tcPr>
            <w:tcW w:w="4222" w:type="dxa"/>
            <w:tcBorders>
              <w:top w:val="single" w:sz="4" w:space="0" w:color="auto"/>
              <w:left w:val="nil"/>
              <w:bottom w:val="single" w:sz="4" w:space="0" w:color="auto"/>
              <w:right w:val="single" w:sz="4" w:space="0" w:color="auto"/>
            </w:tcBorders>
            <w:noWrap/>
            <w:vAlign w:val="bottom"/>
            <w:hideMark/>
          </w:tcPr>
          <w:p w14:paraId="071D7785" w14:textId="77777777" w:rsidR="00416D67" w:rsidRPr="00416D67" w:rsidRDefault="00416D67" w:rsidP="00416D67">
            <w:pPr>
              <w:rPr>
                <w:rFonts w:ascii="Arial" w:hAnsi="Arial" w:cs="Arial"/>
                <w:sz w:val="14"/>
                <w:szCs w:val="14"/>
              </w:rPr>
            </w:pPr>
            <w:r w:rsidRPr="00416D67">
              <w:rPr>
                <w:rFonts w:ascii="Arial" w:hAnsi="Arial" w:cs="Arial"/>
                <w:sz w:val="14"/>
                <w:szCs w:val="14"/>
              </w:rPr>
              <w:t>Zdravstvene i veterinarske usluge</w:t>
            </w:r>
          </w:p>
        </w:tc>
        <w:tc>
          <w:tcPr>
            <w:tcW w:w="1275" w:type="dxa"/>
            <w:tcBorders>
              <w:top w:val="single" w:sz="4" w:space="0" w:color="auto"/>
              <w:left w:val="nil"/>
              <w:bottom w:val="single" w:sz="4" w:space="0" w:color="auto"/>
              <w:right w:val="single" w:sz="4" w:space="0" w:color="auto"/>
            </w:tcBorders>
            <w:noWrap/>
            <w:vAlign w:val="bottom"/>
            <w:hideMark/>
          </w:tcPr>
          <w:p w14:paraId="107EDA0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6D7ECE3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34B9794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2.860,41</w:t>
            </w:r>
          </w:p>
        </w:tc>
        <w:tc>
          <w:tcPr>
            <w:tcW w:w="1275" w:type="dxa"/>
            <w:tcBorders>
              <w:top w:val="single" w:sz="4" w:space="0" w:color="auto"/>
              <w:left w:val="nil"/>
              <w:bottom w:val="single" w:sz="4" w:space="0" w:color="auto"/>
              <w:right w:val="single" w:sz="4" w:space="0" w:color="auto"/>
            </w:tcBorders>
            <w:noWrap/>
            <w:vAlign w:val="bottom"/>
            <w:hideMark/>
          </w:tcPr>
          <w:p w14:paraId="4A6F8C1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9871CF3"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7325C566" w14:textId="77777777" w:rsidR="00416D67" w:rsidRPr="00416D67" w:rsidRDefault="00416D67" w:rsidP="00416D67">
            <w:pPr>
              <w:rPr>
                <w:rFonts w:ascii="Arial" w:hAnsi="Arial" w:cs="Arial"/>
                <w:sz w:val="14"/>
                <w:szCs w:val="14"/>
              </w:rPr>
            </w:pPr>
            <w:r w:rsidRPr="00416D67">
              <w:rPr>
                <w:rFonts w:ascii="Arial" w:hAnsi="Arial" w:cs="Arial"/>
                <w:sz w:val="14"/>
                <w:szCs w:val="14"/>
              </w:rPr>
              <w:t>3237</w:t>
            </w:r>
          </w:p>
        </w:tc>
        <w:tc>
          <w:tcPr>
            <w:tcW w:w="4222" w:type="dxa"/>
            <w:tcBorders>
              <w:top w:val="single" w:sz="4" w:space="0" w:color="auto"/>
              <w:left w:val="nil"/>
              <w:bottom w:val="single" w:sz="4" w:space="0" w:color="auto"/>
              <w:right w:val="single" w:sz="4" w:space="0" w:color="auto"/>
            </w:tcBorders>
            <w:noWrap/>
            <w:vAlign w:val="bottom"/>
            <w:hideMark/>
          </w:tcPr>
          <w:p w14:paraId="0B12C25C" w14:textId="77777777" w:rsidR="00416D67" w:rsidRPr="00416D67" w:rsidRDefault="00416D67" w:rsidP="00416D67">
            <w:pPr>
              <w:rPr>
                <w:rFonts w:ascii="Arial" w:hAnsi="Arial" w:cs="Arial"/>
                <w:sz w:val="14"/>
                <w:szCs w:val="14"/>
              </w:rPr>
            </w:pPr>
            <w:r w:rsidRPr="00416D67">
              <w:rPr>
                <w:rFonts w:ascii="Arial" w:hAnsi="Arial" w:cs="Arial"/>
                <w:sz w:val="14"/>
                <w:szCs w:val="14"/>
              </w:rPr>
              <w:t>Intelektualne i osobne usluge</w:t>
            </w:r>
          </w:p>
        </w:tc>
        <w:tc>
          <w:tcPr>
            <w:tcW w:w="1275" w:type="dxa"/>
            <w:tcBorders>
              <w:top w:val="single" w:sz="4" w:space="0" w:color="auto"/>
              <w:left w:val="nil"/>
              <w:bottom w:val="single" w:sz="4" w:space="0" w:color="auto"/>
              <w:right w:val="single" w:sz="4" w:space="0" w:color="auto"/>
            </w:tcBorders>
            <w:noWrap/>
            <w:vAlign w:val="bottom"/>
            <w:hideMark/>
          </w:tcPr>
          <w:p w14:paraId="69B6F0E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2A44B19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285D1E3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2.981,64</w:t>
            </w:r>
          </w:p>
        </w:tc>
        <w:tc>
          <w:tcPr>
            <w:tcW w:w="1275" w:type="dxa"/>
            <w:tcBorders>
              <w:top w:val="single" w:sz="4" w:space="0" w:color="auto"/>
              <w:left w:val="nil"/>
              <w:bottom w:val="single" w:sz="4" w:space="0" w:color="auto"/>
              <w:right w:val="single" w:sz="4" w:space="0" w:color="auto"/>
            </w:tcBorders>
            <w:noWrap/>
            <w:vAlign w:val="bottom"/>
            <w:hideMark/>
          </w:tcPr>
          <w:p w14:paraId="175CADE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67FCB36"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2F6E876C" w14:textId="77777777" w:rsidR="00416D67" w:rsidRPr="00416D67" w:rsidRDefault="00416D67" w:rsidP="00416D67">
            <w:pPr>
              <w:rPr>
                <w:rFonts w:ascii="Arial" w:hAnsi="Arial" w:cs="Arial"/>
                <w:sz w:val="14"/>
                <w:szCs w:val="14"/>
              </w:rPr>
            </w:pPr>
            <w:r w:rsidRPr="00416D67">
              <w:rPr>
                <w:rFonts w:ascii="Arial" w:hAnsi="Arial" w:cs="Arial"/>
                <w:sz w:val="14"/>
                <w:szCs w:val="14"/>
              </w:rPr>
              <w:t>3238</w:t>
            </w:r>
          </w:p>
        </w:tc>
        <w:tc>
          <w:tcPr>
            <w:tcW w:w="4222" w:type="dxa"/>
            <w:tcBorders>
              <w:top w:val="single" w:sz="4" w:space="0" w:color="auto"/>
              <w:left w:val="nil"/>
              <w:bottom w:val="single" w:sz="4" w:space="0" w:color="auto"/>
              <w:right w:val="single" w:sz="4" w:space="0" w:color="auto"/>
            </w:tcBorders>
            <w:noWrap/>
            <w:vAlign w:val="bottom"/>
            <w:hideMark/>
          </w:tcPr>
          <w:p w14:paraId="3E4DF85A" w14:textId="77777777" w:rsidR="00416D67" w:rsidRPr="00416D67" w:rsidRDefault="00416D67" w:rsidP="00416D67">
            <w:pPr>
              <w:rPr>
                <w:rFonts w:ascii="Arial" w:hAnsi="Arial" w:cs="Arial"/>
                <w:sz w:val="14"/>
                <w:szCs w:val="14"/>
              </w:rPr>
            </w:pPr>
            <w:r w:rsidRPr="00416D67">
              <w:rPr>
                <w:rFonts w:ascii="Arial" w:hAnsi="Arial" w:cs="Arial"/>
                <w:sz w:val="14"/>
                <w:szCs w:val="14"/>
              </w:rPr>
              <w:t>Računalne usluge</w:t>
            </w:r>
          </w:p>
        </w:tc>
        <w:tc>
          <w:tcPr>
            <w:tcW w:w="1275" w:type="dxa"/>
            <w:tcBorders>
              <w:top w:val="single" w:sz="4" w:space="0" w:color="auto"/>
              <w:left w:val="nil"/>
              <w:bottom w:val="single" w:sz="4" w:space="0" w:color="auto"/>
              <w:right w:val="single" w:sz="4" w:space="0" w:color="auto"/>
            </w:tcBorders>
            <w:noWrap/>
            <w:vAlign w:val="bottom"/>
            <w:hideMark/>
          </w:tcPr>
          <w:p w14:paraId="503D5E6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5D5C4B3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38BF8CF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1.455,16</w:t>
            </w:r>
          </w:p>
        </w:tc>
        <w:tc>
          <w:tcPr>
            <w:tcW w:w="1275" w:type="dxa"/>
            <w:tcBorders>
              <w:top w:val="single" w:sz="4" w:space="0" w:color="auto"/>
              <w:left w:val="nil"/>
              <w:bottom w:val="single" w:sz="4" w:space="0" w:color="auto"/>
              <w:right w:val="single" w:sz="4" w:space="0" w:color="auto"/>
            </w:tcBorders>
            <w:noWrap/>
            <w:vAlign w:val="bottom"/>
            <w:hideMark/>
          </w:tcPr>
          <w:p w14:paraId="278F10A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3D45CF0"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5FA3B4F3" w14:textId="77777777" w:rsidR="00416D67" w:rsidRPr="00416D67" w:rsidRDefault="00416D67" w:rsidP="00416D67">
            <w:pPr>
              <w:rPr>
                <w:rFonts w:ascii="Arial" w:hAnsi="Arial" w:cs="Arial"/>
                <w:sz w:val="14"/>
                <w:szCs w:val="14"/>
              </w:rPr>
            </w:pPr>
            <w:r w:rsidRPr="00416D67">
              <w:rPr>
                <w:rFonts w:ascii="Arial" w:hAnsi="Arial" w:cs="Arial"/>
                <w:sz w:val="14"/>
                <w:szCs w:val="14"/>
              </w:rPr>
              <w:lastRenderedPageBreak/>
              <w:t>3239</w:t>
            </w:r>
          </w:p>
        </w:tc>
        <w:tc>
          <w:tcPr>
            <w:tcW w:w="4222" w:type="dxa"/>
            <w:tcBorders>
              <w:top w:val="single" w:sz="4" w:space="0" w:color="auto"/>
              <w:left w:val="nil"/>
              <w:bottom w:val="single" w:sz="4" w:space="0" w:color="auto"/>
              <w:right w:val="single" w:sz="4" w:space="0" w:color="auto"/>
            </w:tcBorders>
            <w:noWrap/>
            <w:vAlign w:val="bottom"/>
            <w:hideMark/>
          </w:tcPr>
          <w:p w14:paraId="2661C26B" w14:textId="77777777" w:rsidR="00416D67" w:rsidRPr="00416D67" w:rsidRDefault="00416D67" w:rsidP="00416D67">
            <w:pPr>
              <w:rPr>
                <w:rFonts w:ascii="Arial" w:hAnsi="Arial" w:cs="Arial"/>
                <w:sz w:val="14"/>
                <w:szCs w:val="14"/>
              </w:rPr>
            </w:pPr>
            <w:r w:rsidRPr="00416D67">
              <w:rPr>
                <w:rFonts w:ascii="Arial" w:hAnsi="Arial" w:cs="Arial"/>
                <w:sz w:val="14"/>
                <w:szCs w:val="14"/>
              </w:rPr>
              <w:t>Ostale usluge</w:t>
            </w:r>
          </w:p>
        </w:tc>
        <w:tc>
          <w:tcPr>
            <w:tcW w:w="1275" w:type="dxa"/>
            <w:tcBorders>
              <w:top w:val="single" w:sz="4" w:space="0" w:color="auto"/>
              <w:left w:val="nil"/>
              <w:bottom w:val="single" w:sz="4" w:space="0" w:color="auto"/>
              <w:right w:val="single" w:sz="4" w:space="0" w:color="auto"/>
            </w:tcBorders>
            <w:noWrap/>
            <w:vAlign w:val="bottom"/>
            <w:hideMark/>
          </w:tcPr>
          <w:p w14:paraId="0F6C4B2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488CE20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5FC8EB5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24.236,66</w:t>
            </w:r>
          </w:p>
        </w:tc>
        <w:tc>
          <w:tcPr>
            <w:tcW w:w="1275" w:type="dxa"/>
            <w:tcBorders>
              <w:top w:val="single" w:sz="4" w:space="0" w:color="auto"/>
              <w:left w:val="nil"/>
              <w:bottom w:val="single" w:sz="4" w:space="0" w:color="auto"/>
              <w:right w:val="single" w:sz="4" w:space="0" w:color="auto"/>
            </w:tcBorders>
            <w:noWrap/>
            <w:vAlign w:val="bottom"/>
            <w:hideMark/>
          </w:tcPr>
          <w:p w14:paraId="39F9EBB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585F14F"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44FE4964" w14:textId="77777777" w:rsidR="00416D67" w:rsidRPr="00416D67" w:rsidRDefault="00416D67" w:rsidP="00416D67">
            <w:pPr>
              <w:rPr>
                <w:rFonts w:ascii="Arial" w:hAnsi="Arial" w:cs="Arial"/>
                <w:sz w:val="14"/>
                <w:szCs w:val="14"/>
              </w:rPr>
            </w:pPr>
            <w:r w:rsidRPr="00416D67">
              <w:rPr>
                <w:rFonts w:ascii="Arial" w:hAnsi="Arial" w:cs="Arial"/>
                <w:sz w:val="14"/>
                <w:szCs w:val="14"/>
              </w:rPr>
              <w:t>3292</w:t>
            </w:r>
          </w:p>
        </w:tc>
        <w:tc>
          <w:tcPr>
            <w:tcW w:w="4222" w:type="dxa"/>
            <w:tcBorders>
              <w:top w:val="single" w:sz="4" w:space="0" w:color="auto"/>
              <w:left w:val="nil"/>
              <w:bottom w:val="single" w:sz="4" w:space="0" w:color="auto"/>
              <w:right w:val="single" w:sz="4" w:space="0" w:color="auto"/>
            </w:tcBorders>
            <w:noWrap/>
            <w:vAlign w:val="bottom"/>
            <w:hideMark/>
          </w:tcPr>
          <w:p w14:paraId="6A5251E0" w14:textId="77777777" w:rsidR="00416D67" w:rsidRPr="00416D67" w:rsidRDefault="00416D67" w:rsidP="00416D67">
            <w:pPr>
              <w:rPr>
                <w:rFonts w:ascii="Arial" w:hAnsi="Arial" w:cs="Arial"/>
                <w:sz w:val="14"/>
                <w:szCs w:val="14"/>
              </w:rPr>
            </w:pPr>
            <w:r w:rsidRPr="00416D67">
              <w:rPr>
                <w:rFonts w:ascii="Arial" w:hAnsi="Arial" w:cs="Arial"/>
                <w:sz w:val="14"/>
                <w:szCs w:val="14"/>
              </w:rPr>
              <w:t>Premije osiguranja</w:t>
            </w:r>
          </w:p>
        </w:tc>
        <w:tc>
          <w:tcPr>
            <w:tcW w:w="1275" w:type="dxa"/>
            <w:tcBorders>
              <w:top w:val="single" w:sz="4" w:space="0" w:color="auto"/>
              <w:left w:val="nil"/>
              <w:bottom w:val="single" w:sz="4" w:space="0" w:color="auto"/>
              <w:right w:val="single" w:sz="4" w:space="0" w:color="auto"/>
            </w:tcBorders>
            <w:noWrap/>
            <w:vAlign w:val="bottom"/>
            <w:hideMark/>
          </w:tcPr>
          <w:p w14:paraId="731BE25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0FC6963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507CC25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684,32</w:t>
            </w:r>
          </w:p>
        </w:tc>
        <w:tc>
          <w:tcPr>
            <w:tcW w:w="1275" w:type="dxa"/>
            <w:tcBorders>
              <w:top w:val="single" w:sz="4" w:space="0" w:color="auto"/>
              <w:left w:val="nil"/>
              <w:bottom w:val="single" w:sz="4" w:space="0" w:color="auto"/>
              <w:right w:val="single" w:sz="4" w:space="0" w:color="auto"/>
            </w:tcBorders>
            <w:noWrap/>
            <w:vAlign w:val="bottom"/>
            <w:hideMark/>
          </w:tcPr>
          <w:p w14:paraId="5D3997E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99EDDD8"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7E871C7E" w14:textId="77777777" w:rsidR="00416D67" w:rsidRPr="00416D67" w:rsidRDefault="00416D67" w:rsidP="00416D67">
            <w:pPr>
              <w:rPr>
                <w:rFonts w:ascii="Arial" w:hAnsi="Arial" w:cs="Arial"/>
                <w:sz w:val="14"/>
                <w:szCs w:val="14"/>
              </w:rPr>
            </w:pPr>
            <w:r w:rsidRPr="00416D67">
              <w:rPr>
                <w:rFonts w:ascii="Arial" w:hAnsi="Arial" w:cs="Arial"/>
                <w:sz w:val="14"/>
                <w:szCs w:val="14"/>
              </w:rPr>
              <w:t>3293</w:t>
            </w:r>
          </w:p>
        </w:tc>
        <w:tc>
          <w:tcPr>
            <w:tcW w:w="4222" w:type="dxa"/>
            <w:tcBorders>
              <w:top w:val="single" w:sz="4" w:space="0" w:color="auto"/>
              <w:left w:val="nil"/>
              <w:bottom w:val="single" w:sz="4" w:space="0" w:color="auto"/>
              <w:right w:val="single" w:sz="4" w:space="0" w:color="auto"/>
            </w:tcBorders>
            <w:noWrap/>
            <w:vAlign w:val="bottom"/>
            <w:hideMark/>
          </w:tcPr>
          <w:p w14:paraId="205D01D7" w14:textId="77777777" w:rsidR="00416D67" w:rsidRPr="00416D67" w:rsidRDefault="00416D67" w:rsidP="00416D67">
            <w:pPr>
              <w:rPr>
                <w:rFonts w:ascii="Arial" w:hAnsi="Arial" w:cs="Arial"/>
                <w:sz w:val="14"/>
                <w:szCs w:val="14"/>
              </w:rPr>
            </w:pPr>
            <w:r w:rsidRPr="00416D67">
              <w:rPr>
                <w:rFonts w:ascii="Arial" w:hAnsi="Arial" w:cs="Arial"/>
                <w:sz w:val="14"/>
                <w:szCs w:val="14"/>
              </w:rPr>
              <w:t>Reprezentacija</w:t>
            </w:r>
          </w:p>
        </w:tc>
        <w:tc>
          <w:tcPr>
            <w:tcW w:w="1275" w:type="dxa"/>
            <w:tcBorders>
              <w:top w:val="single" w:sz="4" w:space="0" w:color="auto"/>
              <w:left w:val="nil"/>
              <w:bottom w:val="single" w:sz="4" w:space="0" w:color="auto"/>
              <w:right w:val="single" w:sz="4" w:space="0" w:color="auto"/>
            </w:tcBorders>
            <w:noWrap/>
            <w:vAlign w:val="bottom"/>
            <w:hideMark/>
          </w:tcPr>
          <w:p w14:paraId="2B1C568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792FF5B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3FF37A8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1.355,08</w:t>
            </w:r>
          </w:p>
        </w:tc>
        <w:tc>
          <w:tcPr>
            <w:tcW w:w="1275" w:type="dxa"/>
            <w:tcBorders>
              <w:top w:val="single" w:sz="4" w:space="0" w:color="auto"/>
              <w:left w:val="nil"/>
              <w:bottom w:val="single" w:sz="4" w:space="0" w:color="auto"/>
              <w:right w:val="single" w:sz="4" w:space="0" w:color="auto"/>
            </w:tcBorders>
            <w:noWrap/>
            <w:vAlign w:val="bottom"/>
            <w:hideMark/>
          </w:tcPr>
          <w:p w14:paraId="7AB0544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C870B01"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3EB19996" w14:textId="77777777" w:rsidR="00416D67" w:rsidRPr="00416D67" w:rsidRDefault="00416D67" w:rsidP="00416D67">
            <w:pPr>
              <w:rPr>
                <w:rFonts w:ascii="Arial" w:hAnsi="Arial" w:cs="Arial"/>
                <w:sz w:val="14"/>
                <w:szCs w:val="14"/>
              </w:rPr>
            </w:pPr>
            <w:r w:rsidRPr="00416D67">
              <w:rPr>
                <w:rFonts w:ascii="Arial" w:hAnsi="Arial" w:cs="Arial"/>
                <w:sz w:val="14"/>
                <w:szCs w:val="14"/>
              </w:rPr>
              <w:t>3299</w:t>
            </w:r>
          </w:p>
        </w:tc>
        <w:tc>
          <w:tcPr>
            <w:tcW w:w="4222" w:type="dxa"/>
            <w:tcBorders>
              <w:top w:val="single" w:sz="4" w:space="0" w:color="auto"/>
              <w:left w:val="nil"/>
              <w:bottom w:val="single" w:sz="4" w:space="0" w:color="auto"/>
              <w:right w:val="single" w:sz="4" w:space="0" w:color="auto"/>
            </w:tcBorders>
            <w:noWrap/>
            <w:vAlign w:val="bottom"/>
            <w:hideMark/>
          </w:tcPr>
          <w:p w14:paraId="3E5DDB78" w14:textId="77777777" w:rsidR="00416D67" w:rsidRPr="00416D67" w:rsidRDefault="00416D67" w:rsidP="00416D67">
            <w:pPr>
              <w:rPr>
                <w:rFonts w:ascii="Arial" w:hAnsi="Arial" w:cs="Arial"/>
                <w:sz w:val="14"/>
                <w:szCs w:val="14"/>
              </w:rPr>
            </w:pPr>
            <w:r w:rsidRPr="00416D67">
              <w:rPr>
                <w:rFonts w:ascii="Arial" w:hAnsi="Arial" w:cs="Arial"/>
                <w:sz w:val="14"/>
                <w:szCs w:val="14"/>
              </w:rPr>
              <w:t>Ostali nespomenuti rashodi poslovanja</w:t>
            </w:r>
          </w:p>
        </w:tc>
        <w:tc>
          <w:tcPr>
            <w:tcW w:w="1275" w:type="dxa"/>
            <w:tcBorders>
              <w:top w:val="single" w:sz="4" w:space="0" w:color="auto"/>
              <w:left w:val="nil"/>
              <w:bottom w:val="single" w:sz="4" w:space="0" w:color="auto"/>
              <w:right w:val="single" w:sz="4" w:space="0" w:color="auto"/>
            </w:tcBorders>
            <w:noWrap/>
            <w:vAlign w:val="bottom"/>
            <w:hideMark/>
          </w:tcPr>
          <w:p w14:paraId="31B96B7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315CFBD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57363CB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40,10</w:t>
            </w:r>
          </w:p>
        </w:tc>
        <w:tc>
          <w:tcPr>
            <w:tcW w:w="1275" w:type="dxa"/>
            <w:tcBorders>
              <w:top w:val="single" w:sz="4" w:space="0" w:color="auto"/>
              <w:left w:val="nil"/>
              <w:bottom w:val="single" w:sz="4" w:space="0" w:color="auto"/>
              <w:right w:val="single" w:sz="4" w:space="0" w:color="auto"/>
            </w:tcBorders>
            <w:noWrap/>
            <w:vAlign w:val="bottom"/>
            <w:hideMark/>
          </w:tcPr>
          <w:p w14:paraId="56C55CD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A9B605E"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13BE04F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34</w:t>
            </w:r>
          </w:p>
        </w:tc>
        <w:tc>
          <w:tcPr>
            <w:tcW w:w="4222" w:type="dxa"/>
            <w:tcBorders>
              <w:top w:val="single" w:sz="4" w:space="0" w:color="auto"/>
              <w:left w:val="nil"/>
              <w:bottom w:val="single" w:sz="4" w:space="0" w:color="auto"/>
              <w:right w:val="single" w:sz="4" w:space="0" w:color="auto"/>
            </w:tcBorders>
            <w:noWrap/>
            <w:vAlign w:val="bottom"/>
            <w:hideMark/>
          </w:tcPr>
          <w:p w14:paraId="7BD1959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Financijski rashodi</w:t>
            </w:r>
          </w:p>
        </w:tc>
        <w:tc>
          <w:tcPr>
            <w:tcW w:w="1275" w:type="dxa"/>
            <w:tcBorders>
              <w:top w:val="single" w:sz="4" w:space="0" w:color="auto"/>
              <w:left w:val="nil"/>
              <w:bottom w:val="single" w:sz="4" w:space="0" w:color="auto"/>
              <w:right w:val="single" w:sz="4" w:space="0" w:color="auto"/>
            </w:tcBorders>
            <w:noWrap/>
            <w:vAlign w:val="bottom"/>
            <w:hideMark/>
          </w:tcPr>
          <w:p w14:paraId="32652A4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1.021,03</w:t>
            </w:r>
          </w:p>
        </w:tc>
        <w:tc>
          <w:tcPr>
            <w:tcW w:w="1418" w:type="dxa"/>
            <w:tcBorders>
              <w:top w:val="single" w:sz="4" w:space="0" w:color="auto"/>
              <w:left w:val="nil"/>
              <w:bottom w:val="single" w:sz="4" w:space="0" w:color="auto"/>
              <w:right w:val="single" w:sz="4" w:space="0" w:color="auto"/>
            </w:tcBorders>
            <w:noWrap/>
            <w:vAlign w:val="bottom"/>
            <w:hideMark/>
          </w:tcPr>
          <w:p w14:paraId="6E13F76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1.021,03</w:t>
            </w:r>
          </w:p>
        </w:tc>
        <w:tc>
          <w:tcPr>
            <w:tcW w:w="1276" w:type="dxa"/>
            <w:tcBorders>
              <w:top w:val="single" w:sz="4" w:space="0" w:color="auto"/>
              <w:left w:val="nil"/>
              <w:bottom w:val="single" w:sz="4" w:space="0" w:color="auto"/>
              <w:right w:val="single" w:sz="4" w:space="0" w:color="auto"/>
            </w:tcBorders>
            <w:noWrap/>
            <w:vAlign w:val="bottom"/>
            <w:hideMark/>
          </w:tcPr>
          <w:p w14:paraId="0F061B4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889,83</w:t>
            </w:r>
          </w:p>
        </w:tc>
        <w:tc>
          <w:tcPr>
            <w:tcW w:w="1275" w:type="dxa"/>
            <w:tcBorders>
              <w:top w:val="single" w:sz="4" w:space="0" w:color="auto"/>
              <w:left w:val="nil"/>
              <w:bottom w:val="single" w:sz="4" w:space="0" w:color="auto"/>
              <w:right w:val="single" w:sz="4" w:space="0" w:color="auto"/>
            </w:tcBorders>
            <w:noWrap/>
            <w:vAlign w:val="bottom"/>
            <w:hideMark/>
          </w:tcPr>
          <w:p w14:paraId="78525BD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87,15%</w:t>
            </w:r>
          </w:p>
        </w:tc>
      </w:tr>
      <w:tr w:rsidR="00416D67" w:rsidRPr="00416D67" w14:paraId="6BF482A0"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05CCAE6C" w14:textId="77777777" w:rsidR="00416D67" w:rsidRPr="00416D67" w:rsidRDefault="00416D67" w:rsidP="00416D67">
            <w:pPr>
              <w:rPr>
                <w:rFonts w:ascii="Arial" w:hAnsi="Arial" w:cs="Arial"/>
                <w:sz w:val="14"/>
                <w:szCs w:val="14"/>
              </w:rPr>
            </w:pPr>
            <w:r w:rsidRPr="00416D67">
              <w:rPr>
                <w:rFonts w:ascii="Arial" w:hAnsi="Arial" w:cs="Arial"/>
                <w:sz w:val="14"/>
                <w:szCs w:val="14"/>
              </w:rPr>
              <w:t>3431</w:t>
            </w:r>
          </w:p>
        </w:tc>
        <w:tc>
          <w:tcPr>
            <w:tcW w:w="4222" w:type="dxa"/>
            <w:tcBorders>
              <w:top w:val="single" w:sz="4" w:space="0" w:color="auto"/>
              <w:left w:val="nil"/>
              <w:bottom w:val="single" w:sz="4" w:space="0" w:color="auto"/>
              <w:right w:val="single" w:sz="4" w:space="0" w:color="auto"/>
            </w:tcBorders>
            <w:noWrap/>
            <w:vAlign w:val="bottom"/>
            <w:hideMark/>
          </w:tcPr>
          <w:p w14:paraId="184C2886" w14:textId="77777777" w:rsidR="00416D67" w:rsidRPr="00416D67" w:rsidRDefault="00416D67" w:rsidP="00416D67">
            <w:pPr>
              <w:rPr>
                <w:rFonts w:ascii="Arial" w:hAnsi="Arial" w:cs="Arial"/>
                <w:sz w:val="14"/>
                <w:szCs w:val="14"/>
              </w:rPr>
            </w:pPr>
            <w:r w:rsidRPr="00416D67">
              <w:rPr>
                <w:rFonts w:ascii="Arial" w:hAnsi="Arial" w:cs="Arial"/>
                <w:sz w:val="14"/>
                <w:szCs w:val="14"/>
              </w:rPr>
              <w:t>Bankarske usluge i usluge platnog prometa</w:t>
            </w:r>
          </w:p>
        </w:tc>
        <w:tc>
          <w:tcPr>
            <w:tcW w:w="1275" w:type="dxa"/>
            <w:tcBorders>
              <w:top w:val="single" w:sz="4" w:space="0" w:color="auto"/>
              <w:left w:val="nil"/>
              <w:bottom w:val="single" w:sz="4" w:space="0" w:color="auto"/>
              <w:right w:val="single" w:sz="4" w:space="0" w:color="auto"/>
            </w:tcBorders>
            <w:noWrap/>
            <w:vAlign w:val="bottom"/>
            <w:hideMark/>
          </w:tcPr>
          <w:p w14:paraId="3CBB548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79A598B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60E001F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889,83</w:t>
            </w:r>
          </w:p>
        </w:tc>
        <w:tc>
          <w:tcPr>
            <w:tcW w:w="1275" w:type="dxa"/>
            <w:tcBorders>
              <w:top w:val="single" w:sz="4" w:space="0" w:color="auto"/>
              <w:left w:val="nil"/>
              <w:bottom w:val="single" w:sz="4" w:space="0" w:color="auto"/>
              <w:right w:val="single" w:sz="4" w:space="0" w:color="auto"/>
            </w:tcBorders>
            <w:noWrap/>
            <w:vAlign w:val="bottom"/>
            <w:hideMark/>
          </w:tcPr>
          <w:p w14:paraId="0CB7383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F43F63E"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1E441C8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42</w:t>
            </w:r>
          </w:p>
        </w:tc>
        <w:tc>
          <w:tcPr>
            <w:tcW w:w="4222" w:type="dxa"/>
            <w:tcBorders>
              <w:top w:val="single" w:sz="4" w:space="0" w:color="auto"/>
              <w:left w:val="nil"/>
              <w:bottom w:val="single" w:sz="4" w:space="0" w:color="auto"/>
              <w:right w:val="single" w:sz="4" w:space="0" w:color="auto"/>
            </w:tcBorders>
            <w:noWrap/>
            <w:vAlign w:val="bottom"/>
            <w:hideMark/>
          </w:tcPr>
          <w:p w14:paraId="3606356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nabavu proizvedene dugotrajne imovine</w:t>
            </w:r>
          </w:p>
        </w:tc>
        <w:tc>
          <w:tcPr>
            <w:tcW w:w="1275" w:type="dxa"/>
            <w:tcBorders>
              <w:top w:val="single" w:sz="4" w:space="0" w:color="auto"/>
              <w:left w:val="nil"/>
              <w:bottom w:val="single" w:sz="4" w:space="0" w:color="auto"/>
              <w:right w:val="single" w:sz="4" w:space="0" w:color="auto"/>
            </w:tcBorders>
            <w:noWrap/>
            <w:vAlign w:val="bottom"/>
            <w:hideMark/>
          </w:tcPr>
          <w:p w14:paraId="273AFD7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w:t>
            </w:r>
          </w:p>
        </w:tc>
        <w:tc>
          <w:tcPr>
            <w:tcW w:w="1418" w:type="dxa"/>
            <w:tcBorders>
              <w:top w:val="single" w:sz="4" w:space="0" w:color="auto"/>
              <w:left w:val="nil"/>
              <w:bottom w:val="single" w:sz="4" w:space="0" w:color="auto"/>
              <w:right w:val="single" w:sz="4" w:space="0" w:color="auto"/>
            </w:tcBorders>
            <w:noWrap/>
            <w:vAlign w:val="bottom"/>
            <w:hideMark/>
          </w:tcPr>
          <w:p w14:paraId="1D1AAAA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2.000,00</w:t>
            </w:r>
          </w:p>
        </w:tc>
        <w:tc>
          <w:tcPr>
            <w:tcW w:w="1276" w:type="dxa"/>
            <w:tcBorders>
              <w:top w:val="single" w:sz="4" w:space="0" w:color="auto"/>
              <w:left w:val="nil"/>
              <w:bottom w:val="single" w:sz="4" w:space="0" w:color="auto"/>
              <w:right w:val="single" w:sz="4" w:space="0" w:color="auto"/>
            </w:tcBorders>
            <w:noWrap/>
            <w:vAlign w:val="bottom"/>
            <w:hideMark/>
          </w:tcPr>
          <w:p w14:paraId="23119C2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4.394,80</w:t>
            </w:r>
          </w:p>
        </w:tc>
        <w:tc>
          <w:tcPr>
            <w:tcW w:w="1275" w:type="dxa"/>
            <w:tcBorders>
              <w:top w:val="single" w:sz="4" w:space="0" w:color="auto"/>
              <w:left w:val="nil"/>
              <w:bottom w:val="single" w:sz="4" w:space="0" w:color="auto"/>
              <w:right w:val="single" w:sz="4" w:space="0" w:color="auto"/>
            </w:tcBorders>
            <w:noWrap/>
            <w:vAlign w:val="bottom"/>
            <w:hideMark/>
          </w:tcPr>
          <w:p w14:paraId="759FD1E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219,74%</w:t>
            </w:r>
          </w:p>
        </w:tc>
      </w:tr>
      <w:tr w:rsidR="00416D67" w:rsidRPr="00416D67" w14:paraId="2D52F9BE"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3D4A56E8" w14:textId="77777777" w:rsidR="00416D67" w:rsidRPr="00416D67" w:rsidRDefault="00416D67" w:rsidP="00416D67">
            <w:pPr>
              <w:rPr>
                <w:rFonts w:ascii="Arial" w:hAnsi="Arial" w:cs="Arial"/>
                <w:sz w:val="14"/>
                <w:szCs w:val="14"/>
              </w:rPr>
            </w:pPr>
            <w:r w:rsidRPr="00416D67">
              <w:rPr>
                <w:rFonts w:ascii="Arial" w:hAnsi="Arial" w:cs="Arial"/>
                <w:sz w:val="14"/>
                <w:szCs w:val="14"/>
              </w:rPr>
              <w:t>4221</w:t>
            </w:r>
          </w:p>
        </w:tc>
        <w:tc>
          <w:tcPr>
            <w:tcW w:w="4222" w:type="dxa"/>
            <w:tcBorders>
              <w:top w:val="single" w:sz="4" w:space="0" w:color="auto"/>
              <w:left w:val="nil"/>
              <w:bottom w:val="single" w:sz="4" w:space="0" w:color="auto"/>
              <w:right w:val="single" w:sz="4" w:space="0" w:color="auto"/>
            </w:tcBorders>
            <w:noWrap/>
            <w:vAlign w:val="bottom"/>
            <w:hideMark/>
          </w:tcPr>
          <w:p w14:paraId="67F4C677" w14:textId="77777777" w:rsidR="00416D67" w:rsidRPr="00416D67" w:rsidRDefault="00416D67" w:rsidP="00416D67">
            <w:pPr>
              <w:rPr>
                <w:rFonts w:ascii="Arial" w:hAnsi="Arial" w:cs="Arial"/>
                <w:sz w:val="14"/>
                <w:szCs w:val="14"/>
              </w:rPr>
            </w:pPr>
            <w:r w:rsidRPr="00416D67">
              <w:rPr>
                <w:rFonts w:ascii="Arial" w:hAnsi="Arial" w:cs="Arial"/>
                <w:sz w:val="14"/>
                <w:szCs w:val="14"/>
              </w:rPr>
              <w:t>Uredska oprema i namještaj</w:t>
            </w:r>
          </w:p>
        </w:tc>
        <w:tc>
          <w:tcPr>
            <w:tcW w:w="1275" w:type="dxa"/>
            <w:tcBorders>
              <w:top w:val="single" w:sz="4" w:space="0" w:color="auto"/>
              <w:left w:val="nil"/>
              <w:bottom w:val="single" w:sz="4" w:space="0" w:color="auto"/>
              <w:right w:val="single" w:sz="4" w:space="0" w:color="auto"/>
            </w:tcBorders>
            <w:noWrap/>
            <w:vAlign w:val="bottom"/>
            <w:hideMark/>
          </w:tcPr>
          <w:p w14:paraId="346EA84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143BB9D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5254359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3.625,00</w:t>
            </w:r>
          </w:p>
        </w:tc>
        <w:tc>
          <w:tcPr>
            <w:tcW w:w="1275" w:type="dxa"/>
            <w:tcBorders>
              <w:top w:val="single" w:sz="4" w:space="0" w:color="auto"/>
              <w:left w:val="nil"/>
              <w:bottom w:val="single" w:sz="4" w:space="0" w:color="auto"/>
              <w:right w:val="single" w:sz="4" w:space="0" w:color="auto"/>
            </w:tcBorders>
            <w:noWrap/>
            <w:vAlign w:val="bottom"/>
            <w:hideMark/>
          </w:tcPr>
          <w:p w14:paraId="03995B5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BA5E28B"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6343CAA2" w14:textId="77777777" w:rsidR="00416D67" w:rsidRPr="00416D67" w:rsidRDefault="00416D67" w:rsidP="00416D67">
            <w:pPr>
              <w:rPr>
                <w:rFonts w:ascii="Arial" w:hAnsi="Arial" w:cs="Arial"/>
                <w:sz w:val="14"/>
                <w:szCs w:val="14"/>
              </w:rPr>
            </w:pPr>
            <w:r w:rsidRPr="00416D67">
              <w:rPr>
                <w:rFonts w:ascii="Arial" w:hAnsi="Arial" w:cs="Arial"/>
                <w:sz w:val="14"/>
                <w:szCs w:val="14"/>
              </w:rPr>
              <w:t>4222</w:t>
            </w:r>
          </w:p>
        </w:tc>
        <w:tc>
          <w:tcPr>
            <w:tcW w:w="4222" w:type="dxa"/>
            <w:tcBorders>
              <w:top w:val="single" w:sz="4" w:space="0" w:color="auto"/>
              <w:left w:val="nil"/>
              <w:bottom w:val="single" w:sz="4" w:space="0" w:color="auto"/>
              <w:right w:val="single" w:sz="4" w:space="0" w:color="auto"/>
            </w:tcBorders>
            <w:noWrap/>
            <w:vAlign w:val="bottom"/>
            <w:hideMark/>
          </w:tcPr>
          <w:p w14:paraId="3AC1962C" w14:textId="77777777" w:rsidR="00416D67" w:rsidRPr="00416D67" w:rsidRDefault="00416D67" w:rsidP="00416D67">
            <w:pPr>
              <w:rPr>
                <w:rFonts w:ascii="Arial" w:hAnsi="Arial" w:cs="Arial"/>
                <w:sz w:val="14"/>
                <w:szCs w:val="14"/>
              </w:rPr>
            </w:pPr>
            <w:r w:rsidRPr="00416D67">
              <w:rPr>
                <w:rFonts w:ascii="Arial" w:hAnsi="Arial" w:cs="Arial"/>
                <w:sz w:val="14"/>
                <w:szCs w:val="14"/>
              </w:rPr>
              <w:t>Komunikacijska oprema</w:t>
            </w:r>
          </w:p>
        </w:tc>
        <w:tc>
          <w:tcPr>
            <w:tcW w:w="1275" w:type="dxa"/>
            <w:tcBorders>
              <w:top w:val="single" w:sz="4" w:space="0" w:color="auto"/>
              <w:left w:val="nil"/>
              <w:bottom w:val="single" w:sz="4" w:space="0" w:color="auto"/>
              <w:right w:val="single" w:sz="4" w:space="0" w:color="auto"/>
            </w:tcBorders>
            <w:noWrap/>
            <w:vAlign w:val="bottom"/>
            <w:hideMark/>
          </w:tcPr>
          <w:p w14:paraId="2FAAF05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4BD3626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077385C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769,80</w:t>
            </w:r>
          </w:p>
        </w:tc>
        <w:tc>
          <w:tcPr>
            <w:tcW w:w="1275" w:type="dxa"/>
            <w:tcBorders>
              <w:top w:val="single" w:sz="4" w:space="0" w:color="auto"/>
              <w:left w:val="nil"/>
              <w:bottom w:val="single" w:sz="4" w:space="0" w:color="auto"/>
              <w:right w:val="single" w:sz="4" w:space="0" w:color="auto"/>
            </w:tcBorders>
            <w:noWrap/>
            <w:vAlign w:val="bottom"/>
            <w:hideMark/>
          </w:tcPr>
          <w:p w14:paraId="75DFF42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8E0E63D" w14:textId="77777777" w:rsidTr="00BB1392">
        <w:trPr>
          <w:trHeight w:val="195"/>
          <w:jc w:val="center"/>
        </w:trPr>
        <w:tc>
          <w:tcPr>
            <w:tcW w:w="500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5F0C3D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 Pomoći</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5095E4A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60.682,00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17284F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60.682,00</w:t>
            </w:r>
          </w:p>
        </w:tc>
        <w:tc>
          <w:tcPr>
            <w:tcW w:w="1276" w:type="dxa"/>
            <w:tcBorders>
              <w:top w:val="single" w:sz="4" w:space="0" w:color="auto"/>
              <w:left w:val="nil"/>
              <w:bottom w:val="single" w:sz="4" w:space="0" w:color="auto"/>
              <w:right w:val="single" w:sz="4" w:space="0" w:color="auto"/>
            </w:tcBorders>
            <w:shd w:val="clear" w:color="000000" w:fill="CCCCFF"/>
            <w:noWrap/>
            <w:vAlign w:val="bottom"/>
            <w:hideMark/>
          </w:tcPr>
          <w:p w14:paraId="4163891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60.201,50</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228FFCC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99,21%</w:t>
            </w:r>
          </w:p>
        </w:tc>
      </w:tr>
      <w:tr w:rsidR="00416D67" w:rsidRPr="00416D67" w14:paraId="497EBAD2" w14:textId="77777777" w:rsidTr="00BB1392">
        <w:trPr>
          <w:trHeight w:val="195"/>
          <w:jc w:val="center"/>
        </w:trPr>
        <w:tc>
          <w:tcPr>
            <w:tcW w:w="500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6ED6F61"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5.1.9 Pomoći fiskalna održivost dječjih vrtića</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4DD69F1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40.236,00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DA176A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40.236,00</w:t>
            </w:r>
          </w:p>
        </w:tc>
        <w:tc>
          <w:tcPr>
            <w:tcW w:w="1276" w:type="dxa"/>
            <w:tcBorders>
              <w:top w:val="single" w:sz="4" w:space="0" w:color="auto"/>
              <w:left w:val="nil"/>
              <w:bottom w:val="single" w:sz="4" w:space="0" w:color="auto"/>
              <w:right w:val="single" w:sz="4" w:space="0" w:color="auto"/>
            </w:tcBorders>
            <w:shd w:val="clear" w:color="000000" w:fill="CCCCFF"/>
            <w:noWrap/>
            <w:vAlign w:val="bottom"/>
            <w:hideMark/>
          </w:tcPr>
          <w:p w14:paraId="76514A2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40.236,00</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27963BB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42E7C8C3"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1DD1D91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31</w:t>
            </w:r>
          </w:p>
        </w:tc>
        <w:tc>
          <w:tcPr>
            <w:tcW w:w="4222" w:type="dxa"/>
            <w:tcBorders>
              <w:top w:val="single" w:sz="4" w:space="0" w:color="auto"/>
              <w:left w:val="nil"/>
              <w:bottom w:val="single" w:sz="4" w:space="0" w:color="auto"/>
              <w:right w:val="single" w:sz="4" w:space="0" w:color="auto"/>
            </w:tcBorders>
            <w:noWrap/>
            <w:vAlign w:val="bottom"/>
            <w:hideMark/>
          </w:tcPr>
          <w:p w14:paraId="16830AA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Rashodi za zaposlene</w:t>
            </w:r>
          </w:p>
        </w:tc>
        <w:tc>
          <w:tcPr>
            <w:tcW w:w="1275" w:type="dxa"/>
            <w:tcBorders>
              <w:top w:val="single" w:sz="4" w:space="0" w:color="auto"/>
              <w:left w:val="nil"/>
              <w:bottom w:val="single" w:sz="4" w:space="0" w:color="auto"/>
              <w:right w:val="single" w:sz="4" w:space="0" w:color="auto"/>
            </w:tcBorders>
            <w:noWrap/>
            <w:vAlign w:val="bottom"/>
            <w:hideMark/>
          </w:tcPr>
          <w:p w14:paraId="3C3D39D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40.236,00</w:t>
            </w:r>
          </w:p>
        </w:tc>
        <w:tc>
          <w:tcPr>
            <w:tcW w:w="1418" w:type="dxa"/>
            <w:tcBorders>
              <w:top w:val="single" w:sz="4" w:space="0" w:color="auto"/>
              <w:left w:val="nil"/>
              <w:bottom w:val="single" w:sz="4" w:space="0" w:color="auto"/>
              <w:right w:val="single" w:sz="4" w:space="0" w:color="auto"/>
            </w:tcBorders>
            <w:noWrap/>
            <w:vAlign w:val="bottom"/>
            <w:hideMark/>
          </w:tcPr>
          <w:p w14:paraId="13E16A7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40.236,00</w:t>
            </w:r>
          </w:p>
        </w:tc>
        <w:tc>
          <w:tcPr>
            <w:tcW w:w="1276" w:type="dxa"/>
            <w:tcBorders>
              <w:top w:val="single" w:sz="4" w:space="0" w:color="auto"/>
              <w:left w:val="nil"/>
              <w:bottom w:val="single" w:sz="4" w:space="0" w:color="auto"/>
              <w:right w:val="single" w:sz="4" w:space="0" w:color="auto"/>
            </w:tcBorders>
            <w:noWrap/>
            <w:vAlign w:val="bottom"/>
            <w:hideMark/>
          </w:tcPr>
          <w:p w14:paraId="49BD296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40.236,00</w:t>
            </w:r>
          </w:p>
        </w:tc>
        <w:tc>
          <w:tcPr>
            <w:tcW w:w="1275" w:type="dxa"/>
            <w:tcBorders>
              <w:top w:val="single" w:sz="4" w:space="0" w:color="auto"/>
              <w:left w:val="nil"/>
              <w:bottom w:val="single" w:sz="4" w:space="0" w:color="auto"/>
              <w:right w:val="single" w:sz="4" w:space="0" w:color="auto"/>
            </w:tcBorders>
            <w:noWrap/>
            <w:vAlign w:val="bottom"/>
            <w:hideMark/>
          </w:tcPr>
          <w:p w14:paraId="78E9F84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142EBDCF"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510DC791" w14:textId="77777777" w:rsidR="00416D67" w:rsidRPr="00416D67" w:rsidRDefault="00416D67" w:rsidP="00416D67">
            <w:pPr>
              <w:rPr>
                <w:rFonts w:ascii="Arial" w:hAnsi="Arial" w:cs="Arial"/>
                <w:sz w:val="14"/>
                <w:szCs w:val="14"/>
              </w:rPr>
            </w:pPr>
            <w:r w:rsidRPr="00416D67">
              <w:rPr>
                <w:rFonts w:ascii="Arial" w:hAnsi="Arial" w:cs="Arial"/>
                <w:sz w:val="14"/>
                <w:szCs w:val="14"/>
              </w:rPr>
              <w:t>3111</w:t>
            </w:r>
          </w:p>
        </w:tc>
        <w:tc>
          <w:tcPr>
            <w:tcW w:w="4222" w:type="dxa"/>
            <w:tcBorders>
              <w:top w:val="single" w:sz="4" w:space="0" w:color="auto"/>
              <w:left w:val="nil"/>
              <w:bottom w:val="single" w:sz="4" w:space="0" w:color="auto"/>
              <w:right w:val="single" w:sz="4" w:space="0" w:color="auto"/>
            </w:tcBorders>
            <w:noWrap/>
            <w:vAlign w:val="bottom"/>
            <w:hideMark/>
          </w:tcPr>
          <w:p w14:paraId="18ADE0A4" w14:textId="77777777" w:rsidR="00416D67" w:rsidRPr="00416D67" w:rsidRDefault="00416D67" w:rsidP="00416D67">
            <w:pPr>
              <w:rPr>
                <w:rFonts w:ascii="Arial" w:hAnsi="Arial" w:cs="Arial"/>
                <w:sz w:val="14"/>
                <w:szCs w:val="14"/>
              </w:rPr>
            </w:pPr>
            <w:r w:rsidRPr="00416D67">
              <w:rPr>
                <w:rFonts w:ascii="Arial" w:hAnsi="Arial" w:cs="Arial"/>
                <w:sz w:val="14"/>
                <w:szCs w:val="14"/>
              </w:rPr>
              <w:t>Plaće za redovan rad</w:t>
            </w:r>
          </w:p>
        </w:tc>
        <w:tc>
          <w:tcPr>
            <w:tcW w:w="1275" w:type="dxa"/>
            <w:tcBorders>
              <w:top w:val="single" w:sz="4" w:space="0" w:color="auto"/>
              <w:left w:val="nil"/>
              <w:bottom w:val="single" w:sz="4" w:space="0" w:color="auto"/>
              <w:right w:val="single" w:sz="4" w:space="0" w:color="auto"/>
            </w:tcBorders>
            <w:noWrap/>
            <w:vAlign w:val="bottom"/>
            <w:hideMark/>
          </w:tcPr>
          <w:p w14:paraId="618FBAA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61F9B3D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43766C3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33.754,48</w:t>
            </w:r>
          </w:p>
        </w:tc>
        <w:tc>
          <w:tcPr>
            <w:tcW w:w="1275" w:type="dxa"/>
            <w:tcBorders>
              <w:top w:val="single" w:sz="4" w:space="0" w:color="auto"/>
              <w:left w:val="nil"/>
              <w:bottom w:val="single" w:sz="4" w:space="0" w:color="auto"/>
              <w:right w:val="single" w:sz="4" w:space="0" w:color="auto"/>
            </w:tcBorders>
            <w:noWrap/>
            <w:vAlign w:val="bottom"/>
            <w:hideMark/>
          </w:tcPr>
          <w:p w14:paraId="3122840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EB1DB80"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60345E74" w14:textId="77777777" w:rsidR="00416D67" w:rsidRPr="00416D67" w:rsidRDefault="00416D67" w:rsidP="00416D67">
            <w:pPr>
              <w:rPr>
                <w:rFonts w:ascii="Arial" w:hAnsi="Arial" w:cs="Arial"/>
                <w:sz w:val="14"/>
                <w:szCs w:val="14"/>
              </w:rPr>
            </w:pPr>
            <w:r w:rsidRPr="00416D67">
              <w:rPr>
                <w:rFonts w:ascii="Arial" w:hAnsi="Arial" w:cs="Arial"/>
                <w:sz w:val="14"/>
                <w:szCs w:val="14"/>
              </w:rPr>
              <w:t>3132</w:t>
            </w:r>
          </w:p>
        </w:tc>
        <w:tc>
          <w:tcPr>
            <w:tcW w:w="4222" w:type="dxa"/>
            <w:tcBorders>
              <w:top w:val="single" w:sz="4" w:space="0" w:color="auto"/>
              <w:left w:val="nil"/>
              <w:bottom w:val="single" w:sz="4" w:space="0" w:color="auto"/>
              <w:right w:val="single" w:sz="4" w:space="0" w:color="auto"/>
            </w:tcBorders>
            <w:noWrap/>
            <w:vAlign w:val="bottom"/>
            <w:hideMark/>
          </w:tcPr>
          <w:p w14:paraId="54186114" w14:textId="77777777" w:rsidR="00416D67" w:rsidRPr="00416D67" w:rsidRDefault="00416D67" w:rsidP="00416D67">
            <w:pPr>
              <w:rPr>
                <w:rFonts w:ascii="Arial" w:hAnsi="Arial" w:cs="Arial"/>
                <w:sz w:val="14"/>
                <w:szCs w:val="14"/>
              </w:rPr>
            </w:pPr>
            <w:r w:rsidRPr="00416D67">
              <w:rPr>
                <w:rFonts w:ascii="Arial" w:hAnsi="Arial" w:cs="Arial"/>
                <w:sz w:val="14"/>
                <w:szCs w:val="14"/>
              </w:rPr>
              <w:t>Doprinosi za obvezno zdravstveno osiguranje</w:t>
            </w:r>
          </w:p>
        </w:tc>
        <w:tc>
          <w:tcPr>
            <w:tcW w:w="1275" w:type="dxa"/>
            <w:tcBorders>
              <w:top w:val="single" w:sz="4" w:space="0" w:color="auto"/>
              <w:left w:val="nil"/>
              <w:bottom w:val="single" w:sz="4" w:space="0" w:color="auto"/>
              <w:right w:val="single" w:sz="4" w:space="0" w:color="auto"/>
            </w:tcBorders>
            <w:noWrap/>
            <w:vAlign w:val="bottom"/>
            <w:hideMark/>
          </w:tcPr>
          <w:p w14:paraId="46512D6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3347D34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65807B1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6.481,52</w:t>
            </w:r>
          </w:p>
        </w:tc>
        <w:tc>
          <w:tcPr>
            <w:tcW w:w="1275" w:type="dxa"/>
            <w:tcBorders>
              <w:top w:val="single" w:sz="4" w:space="0" w:color="auto"/>
              <w:left w:val="nil"/>
              <w:bottom w:val="single" w:sz="4" w:space="0" w:color="auto"/>
              <w:right w:val="single" w:sz="4" w:space="0" w:color="auto"/>
            </w:tcBorders>
            <w:noWrap/>
            <w:vAlign w:val="bottom"/>
            <w:hideMark/>
          </w:tcPr>
          <w:p w14:paraId="0CFE313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69087B7" w14:textId="77777777" w:rsidTr="00BB1392">
        <w:trPr>
          <w:trHeight w:val="195"/>
          <w:jc w:val="center"/>
        </w:trPr>
        <w:tc>
          <w:tcPr>
            <w:tcW w:w="500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83E87E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5.2. Tekuće pomoći državni proračun PK</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71F090E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5.696,00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4F465B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5.696,00</w:t>
            </w:r>
          </w:p>
        </w:tc>
        <w:tc>
          <w:tcPr>
            <w:tcW w:w="1276" w:type="dxa"/>
            <w:tcBorders>
              <w:top w:val="single" w:sz="4" w:space="0" w:color="auto"/>
              <w:left w:val="nil"/>
              <w:bottom w:val="single" w:sz="4" w:space="0" w:color="auto"/>
              <w:right w:val="single" w:sz="4" w:space="0" w:color="auto"/>
            </w:tcBorders>
            <w:shd w:val="clear" w:color="000000" w:fill="CCCCFF"/>
            <w:noWrap/>
            <w:vAlign w:val="bottom"/>
            <w:hideMark/>
          </w:tcPr>
          <w:p w14:paraId="1EEE9E9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5.484,00</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43476F9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96,28%</w:t>
            </w:r>
          </w:p>
        </w:tc>
      </w:tr>
      <w:tr w:rsidR="00416D67" w:rsidRPr="00416D67" w14:paraId="331A14D4"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11B3302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4222" w:type="dxa"/>
            <w:tcBorders>
              <w:top w:val="single" w:sz="4" w:space="0" w:color="auto"/>
              <w:left w:val="nil"/>
              <w:bottom w:val="single" w:sz="4" w:space="0" w:color="auto"/>
              <w:right w:val="single" w:sz="4" w:space="0" w:color="auto"/>
            </w:tcBorders>
            <w:noWrap/>
            <w:vAlign w:val="bottom"/>
            <w:hideMark/>
          </w:tcPr>
          <w:p w14:paraId="224A21C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275" w:type="dxa"/>
            <w:tcBorders>
              <w:top w:val="single" w:sz="4" w:space="0" w:color="auto"/>
              <w:left w:val="nil"/>
              <w:bottom w:val="single" w:sz="4" w:space="0" w:color="auto"/>
              <w:right w:val="single" w:sz="4" w:space="0" w:color="auto"/>
            </w:tcBorders>
            <w:noWrap/>
            <w:vAlign w:val="bottom"/>
            <w:hideMark/>
          </w:tcPr>
          <w:p w14:paraId="10FDB2B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5.696,00</w:t>
            </w:r>
          </w:p>
        </w:tc>
        <w:tc>
          <w:tcPr>
            <w:tcW w:w="1418" w:type="dxa"/>
            <w:tcBorders>
              <w:top w:val="single" w:sz="4" w:space="0" w:color="auto"/>
              <w:left w:val="nil"/>
              <w:bottom w:val="single" w:sz="4" w:space="0" w:color="auto"/>
              <w:right w:val="single" w:sz="4" w:space="0" w:color="auto"/>
            </w:tcBorders>
            <w:noWrap/>
            <w:vAlign w:val="bottom"/>
            <w:hideMark/>
          </w:tcPr>
          <w:p w14:paraId="6FBD186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5.696,00</w:t>
            </w:r>
          </w:p>
        </w:tc>
        <w:tc>
          <w:tcPr>
            <w:tcW w:w="1276" w:type="dxa"/>
            <w:tcBorders>
              <w:top w:val="single" w:sz="4" w:space="0" w:color="auto"/>
              <w:left w:val="nil"/>
              <w:bottom w:val="single" w:sz="4" w:space="0" w:color="auto"/>
              <w:right w:val="single" w:sz="4" w:space="0" w:color="auto"/>
            </w:tcBorders>
            <w:noWrap/>
            <w:vAlign w:val="bottom"/>
            <w:hideMark/>
          </w:tcPr>
          <w:p w14:paraId="445D002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5.484,00</w:t>
            </w:r>
          </w:p>
        </w:tc>
        <w:tc>
          <w:tcPr>
            <w:tcW w:w="1275" w:type="dxa"/>
            <w:tcBorders>
              <w:top w:val="single" w:sz="4" w:space="0" w:color="auto"/>
              <w:left w:val="nil"/>
              <w:bottom w:val="single" w:sz="4" w:space="0" w:color="auto"/>
              <w:right w:val="single" w:sz="4" w:space="0" w:color="auto"/>
            </w:tcBorders>
            <w:noWrap/>
            <w:vAlign w:val="bottom"/>
            <w:hideMark/>
          </w:tcPr>
          <w:p w14:paraId="3EDCAE5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96,28%</w:t>
            </w:r>
          </w:p>
        </w:tc>
      </w:tr>
      <w:tr w:rsidR="00416D67" w:rsidRPr="00416D67" w14:paraId="57D5828D"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0A9DEA34" w14:textId="77777777" w:rsidR="00416D67" w:rsidRPr="00416D67" w:rsidRDefault="00416D67" w:rsidP="00416D67">
            <w:pPr>
              <w:rPr>
                <w:rFonts w:ascii="Arial" w:hAnsi="Arial" w:cs="Arial"/>
                <w:sz w:val="14"/>
                <w:szCs w:val="14"/>
              </w:rPr>
            </w:pPr>
            <w:r w:rsidRPr="00416D67">
              <w:rPr>
                <w:rFonts w:ascii="Arial" w:hAnsi="Arial" w:cs="Arial"/>
                <w:sz w:val="14"/>
                <w:szCs w:val="14"/>
              </w:rPr>
              <w:t>3222</w:t>
            </w:r>
          </w:p>
        </w:tc>
        <w:tc>
          <w:tcPr>
            <w:tcW w:w="4222" w:type="dxa"/>
            <w:tcBorders>
              <w:top w:val="single" w:sz="4" w:space="0" w:color="auto"/>
              <w:left w:val="nil"/>
              <w:bottom w:val="single" w:sz="4" w:space="0" w:color="auto"/>
              <w:right w:val="single" w:sz="4" w:space="0" w:color="auto"/>
            </w:tcBorders>
            <w:noWrap/>
            <w:vAlign w:val="bottom"/>
            <w:hideMark/>
          </w:tcPr>
          <w:p w14:paraId="672E708E" w14:textId="77777777" w:rsidR="00416D67" w:rsidRPr="00416D67" w:rsidRDefault="00416D67" w:rsidP="00416D67">
            <w:pPr>
              <w:rPr>
                <w:rFonts w:ascii="Arial" w:hAnsi="Arial" w:cs="Arial"/>
                <w:sz w:val="14"/>
                <w:szCs w:val="14"/>
              </w:rPr>
            </w:pPr>
            <w:r w:rsidRPr="00416D67">
              <w:rPr>
                <w:rFonts w:ascii="Arial" w:hAnsi="Arial" w:cs="Arial"/>
                <w:sz w:val="14"/>
                <w:szCs w:val="14"/>
              </w:rPr>
              <w:t>Materijal i sirovine</w:t>
            </w:r>
          </w:p>
        </w:tc>
        <w:tc>
          <w:tcPr>
            <w:tcW w:w="1275" w:type="dxa"/>
            <w:tcBorders>
              <w:top w:val="single" w:sz="4" w:space="0" w:color="auto"/>
              <w:left w:val="nil"/>
              <w:bottom w:val="single" w:sz="4" w:space="0" w:color="auto"/>
              <w:right w:val="single" w:sz="4" w:space="0" w:color="auto"/>
            </w:tcBorders>
            <w:noWrap/>
            <w:vAlign w:val="bottom"/>
            <w:hideMark/>
          </w:tcPr>
          <w:p w14:paraId="7BA0E31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663575B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2BF312C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5.484,00</w:t>
            </w:r>
          </w:p>
        </w:tc>
        <w:tc>
          <w:tcPr>
            <w:tcW w:w="1275" w:type="dxa"/>
            <w:tcBorders>
              <w:top w:val="single" w:sz="4" w:space="0" w:color="auto"/>
              <w:left w:val="nil"/>
              <w:bottom w:val="single" w:sz="4" w:space="0" w:color="auto"/>
              <w:right w:val="single" w:sz="4" w:space="0" w:color="auto"/>
            </w:tcBorders>
            <w:noWrap/>
            <w:vAlign w:val="bottom"/>
            <w:hideMark/>
          </w:tcPr>
          <w:p w14:paraId="27252A5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02B8097" w14:textId="77777777" w:rsidTr="00BB1392">
        <w:trPr>
          <w:trHeight w:val="195"/>
          <w:jc w:val="center"/>
        </w:trPr>
        <w:tc>
          <w:tcPr>
            <w:tcW w:w="500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FE313E"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5.3. Tekuće pomoći PK JLP(R)S </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16B3DF1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14.750,00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D81EE0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14.750,00</w:t>
            </w:r>
          </w:p>
        </w:tc>
        <w:tc>
          <w:tcPr>
            <w:tcW w:w="1276" w:type="dxa"/>
            <w:tcBorders>
              <w:top w:val="single" w:sz="4" w:space="0" w:color="auto"/>
              <w:left w:val="nil"/>
              <w:bottom w:val="single" w:sz="4" w:space="0" w:color="auto"/>
              <w:right w:val="single" w:sz="4" w:space="0" w:color="auto"/>
            </w:tcBorders>
            <w:shd w:val="clear" w:color="000000" w:fill="CCCCFF"/>
            <w:noWrap/>
            <w:vAlign w:val="bottom"/>
            <w:hideMark/>
          </w:tcPr>
          <w:p w14:paraId="4C94CA9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14.481,50</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032C28F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98,18%</w:t>
            </w:r>
          </w:p>
        </w:tc>
      </w:tr>
      <w:tr w:rsidR="00416D67" w:rsidRPr="00416D67" w14:paraId="136E87A9"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2FF0EEE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4222" w:type="dxa"/>
            <w:tcBorders>
              <w:top w:val="single" w:sz="4" w:space="0" w:color="auto"/>
              <w:left w:val="nil"/>
              <w:bottom w:val="single" w:sz="4" w:space="0" w:color="auto"/>
              <w:right w:val="single" w:sz="4" w:space="0" w:color="auto"/>
            </w:tcBorders>
            <w:noWrap/>
            <w:vAlign w:val="bottom"/>
            <w:hideMark/>
          </w:tcPr>
          <w:p w14:paraId="490B1BA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275" w:type="dxa"/>
            <w:tcBorders>
              <w:top w:val="single" w:sz="4" w:space="0" w:color="auto"/>
              <w:left w:val="nil"/>
              <w:bottom w:val="single" w:sz="4" w:space="0" w:color="auto"/>
              <w:right w:val="single" w:sz="4" w:space="0" w:color="auto"/>
            </w:tcBorders>
            <w:noWrap/>
            <w:vAlign w:val="bottom"/>
            <w:hideMark/>
          </w:tcPr>
          <w:p w14:paraId="4A30541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14.750,00</w:t>
            </w:r>
          </w:p>
        </w:tc>
        <w:tc>
          <w:tcPr>
            <w:tcW w:w="1418" w:type="dxa"/>
            <w:tcBorders>
              <w:top w:val="single" w:sz="4" w:space="0" w:color="auto"/>
              <w:left w:val="nil"/>
              <w:bottom w:val="single" w:sz="4" w:space="0" w:color="auto"/>
              <w:right w:val="single" w:sz="4" w:space="0" w:color="auto"/>
            </w:tcBorders>
            <w:noWrap/>
            <w:vAlign w:val="bottom"/>
            <w:hideMark/>
          </w:tcPr>
          <w:p w14:paraId="3B16FDA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14.750,00</w:t>
            </w:r>
          </w:p>
        </w:tc>
        <w:tc>
          <w:tcPr>
            <w:tcW w:w="1276" w:type="dxa"/>
            <w:tcBorders>
              <w:top w:val="single" w:sz="4" w:space="0" w:color="auto"/>
              <w:left w:val="nil"/>
              <w:bottom w:val="single" w:sz="4" w:space="0" w:color="auto"/>
              <w:right w:val="single" w:sz="4" w:space="0" w:color="auto"/>
            </w:tcBorders>
            <w:noWrap/>
            <w:vAlign w:val="bottom"/>
            <w:hideMark/>
          </w:tcPr>
          <w:p w14:paraId="7C0EB15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14.481,50</w:t>
            </w:r>
          </w:p>
        </w:tc>
        <w:tc>
          <w:tcPr>
            <w:tcW w:w="1275" w:type="dxa"/>
            <w:tcBorders>
              <w:top w:val="single" w:sz="4" w:space="0" w:color="auto"/>
              <w:left w:val="nil"/>
              <w:bottom w:val="single" w:sz="4" w:space="0" w:color="auto"/>
              <w:right w:val="single" w:sz="4" w:space="0" w:color="auto"/>
            </w:tcBorders>
            <w:noWrap/>
            <w:vAlign w:val="bottom"/>
            <w:hideMark/>
          </w:tcPr>
          <w:p w14:paraId="5AB601C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98,18%</w:t>
            </w:r>
          </w:p>
        </w:tc>
      </w:tr>
      <w:tr w:rsidR="00416D67" w:rsidRPr="00416D67" w14:paraId="0F0E3013"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12570E80" w14:textId="77777777" w:rsidR="00416D67" w:rsidRPr="00416D67" w:rsidRDefault="00416D67" w:rsidP="00416D67">
            <w:pPr>
              <w:rPr>
                <w:rFonts w:ascii="Arial" w:hAnsi="Arial" w:cs="Arial"/>
                <w:sz w:val="14"/>
                <w:szCs w:val="14"/>
              </w:rPr>
            </w:pPr>
            <w:r w:rsidRPr="00416D67">
              <w:rPr>
                <w:rFonts w:ascii="Arial" w:hAnsi="Arial" w:cs="Arial"/>
                <w:sz w:val="14"/>
                <w:szCs w:val="14"/>
              </w:rPr>
              <w:t>3222</w:t>
            </w:r>
          </w:p>
        </w:tc>
        <w:tc>
          <w:tcPr>
            <w:tcW w:w="4222" w:type="dxa"/>
            <w:tcBorders>
              <w:top w:val="single" w:sz="4" w:space="0" w:color="auto"/>
              <w:left w:val="nil"/>
              <w:bottom w:val="single" w:sz="4" w:space="0" w:color="auto"/>
              <w:right w:val="single" w:sz="4" w:space="0" w:color="auto"/>
            </w:tcBorders>
            <w:noWrap/>
            <w:vAlign w:val="bottom"/>
            <w:hideMark/>
          </w:tcPr>
          <w:p w14:paraId="30D40F81" w14:textId="77777777" w:rsidR="00416D67" w:rsidRPr="00416D67" w:rsidRDefault="00416D67" w:rsidP="00416D67">
            <w:pPr>
              <w:rPr>
                <w:rFonts w:ascii="Arial" w:hAnsi="Arial" w:cs="Arial"/>
                <w:sz w:val="14"/>
                <w:szCs w:val="14"/>
              </w:rPr>
            </w:pPr>
            <w:r w:rsidRPr="00416D67">
              <w:rPr>
                <w:rFonts w:ascii="Arial" w:hAnsi="Arial" w:cs="Arial"/>
                <w:sz w:val="14"/>
                <w:szCs w:val="14"/>
              </w:rPr>
              <w:t>Materijal i sirovine</w:t>
            </w:r>
          </w:p>
        </w:tc>
        <w:tc>
          <w:tcPr>
            <w:tcW w:w="1275" w:type="dxa"/>
            <w:tcBorders>
              <w:top w:val="single" w:sz="4" w:space="0" w:color="auto"/>
              <w:left w:val="nil"/>
              <w:bottom w:val="single" w:sz="4" w:space="0" w:color="auto"/>
              <w:right w:val="single" w:sz="4" w:space="0" w:color="auto"/>
            </w:tcBorders>
            <w:noWrap/>
            <w:vAlign w:val="bottom"/>
            <w:hideMark/>
          </w:tcPr>
          <w:p w14:paraId="52639AE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5239B3D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0AB4C32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14.481,50</w:t>
            </w:r>
          </w:p>
        </w:tc>
        <w:tc>
          <w:tcPr>
            <w:tcW w:w="1275" w:type="dxa"/>
            <w:tcBorders>
              <w:top w:val="single" w:sz="4" w:space="0" w:color="auto"/>
              <w:left w:val="nil"/>
              <w:bottom w:val="single" w:sz="4" w:space="0" w:color="auto"/>
              <w:right w:val="single" w:sz="4" w:space="0" w:color="auto"/>
            </w:tcBorders>
            <w:noWrap/>
            <w:vAlign w:val="bottom"/>
            <w:hideMark/>
          </w:tcPr>
          <w:p w14:paraId="53AF81A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799DD61A" w14:textId="77777777" w:rsidTr="00BB1392">
        <w:trPr>
          <w:trHeight w:val="195"/>
          <w:jc w:val="center"/>
        </w:trPr>
        <w:tc>
          <w:tcPr>
            <w:tcW w:w="500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57102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6. Donacije</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5D13C4C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5A70852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w:t>
            </w:r>
          </w:p>
        </w:tc>
        <w:tc>
          <w:tcPr>
            <w:tcW w:w="1276" w:type="dxa"/>
            <w:tcBorders>
              <w:top w:val="single" w:sz="4" w:space="0" w:color="auto"/>
              <w:left w:val="nil"/>
              <w:bottom w:val="single" w:sz="4" w:space="0" w:color="auto"/>
              <w:right w:val="single" w:sz="4" w:space="0" w:color="auto"/>
            </w:tcBorders>
            <w:shd w:val="clear" w:color="000000" w:fill="CCCCFF"/>
            <w:noWrap/>
            <w:vAlign w:val="bottom"/>
            <w:hideMark/>
          </w:tcPr>
          <w:p w14:paraId="29B1A70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1F617A4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23932380" w14:textId="77777777" w:rsidTr="00BB1392">
        <w:trPr>
          <w:trHeight w:val="195"/>
          <w:jc w:val="center"/>
        </w:trPr>
        <w:tc>
          <w:tcPr>
            <w:tcW w:w="500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2BA67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6.2. Donacije PK</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209F242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43A2FE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300,00</w:t>
            </w:r>
          </w:p>
        </w:tc>
        <w:tc>
          <w:tcPr>
            <w:tcW w:w="1276" w:type="dxa"/>
            <w:tcBorders>
              <w:top w:val="single" w:sz="4" w:space="0" w:color="auto"/>
              <w:left w:val="nil"/>
              <w:bottom w:val="single" w:sz="4" w:space="0" w:color="auto"/>
              <w:right w:val="single" w:sz="4" w:space="0" w:color="auto"/>
            </w:tcBorders>
            <w:shd w:val="clear" w:color="000000" w:fill="CCCCFF"/>
            <w:noWrap/>
            <w:vAlign w:val="bottom"/>
            <w:hideMark/>
          </w:tcPr>
          <w:p w14:paraId="174D6F7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10B8FB7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0,00%</w:t>
            </w:r>
          </w:p>
        </w:tc>
      </w:tr>
      <w:tr w:rsidR="00416D67" w:rsidRPr="00416D67" w14:paraId="3B21005B"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5EC5AC3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4222" w:type="dxa"/>
            <w:tcBorders>
              <w:top w:val="single" w:sz="4" w:space="0" w:color="auto"/>
              <w:left w:val="nil"/>
              <w:bottom w:val="single" w:sz="4" w:space="0" w:color="auto"/>
              <w:right w:val="single" w:sz="4" w:space="0" w:color="auto"/>
            </w:tcBorders>
            <w:noWrap/>
            <w:vAlign w:val="bottom"/>
            <w:hideMark/>
          </w:tcPr>
          <w:p w14:paraId="606D3F4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275" w:type="dxa"/>
            <w:tcBorders>
              <w:top w:val="single" w:sz="4" w:space="0" w:color="auto"/>
              <w:left w:val="nil"/>
              <w:bottom w:val="single" w:sz="4" w:space="0" w:color="auto"/>
              <w:right w:val="single" w:sz="4" w:space="0" w:color="auto"/>
            </w:tcBorders>
            <w:noWrap/>
            <w:vAlign w:val="bottom"/>
            <w:hideMark/>
          </w:tcPr>
          <w:p w14:paraId="5A20891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w:t>
            </w:r>
          </w:p>
        </w:tc>
        <w:tc>
          <w:tcPr>
            <w:tcW w:w="1418" w:type="dxa"/>
            <w:tcBorders>
              <w:top w:val="single" w:sz="4" w:space="0" w:color="auto"/>
              <w:left w:val="nil"/>
              <w:bottom w:val="single" w:sz="4" w:space="0" w:color="auto"/>
              <w:right w:val="single" w:sz="4" w:space="0" w:color="auto"/>
            </w:tcBorders>
            <w:noWrap/>
            <w:vAlign w:val="bottom"/>
            <w:hideMark/>
          </w:tcPr>
          <w:p w14:paraId="2D370C9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300,00</w:t>
            </w:r>
          </w:p>
        </w:tc>
        <w:tc>
          <w:tcPr>
            <w:tcW w:w="1276" w:type="dxa"/>
            <w:tcBorders>
              <w:top w:val="single" w:sz="4" w:space="0" w:color="auto"/>
              <w:left w:val="nil"/>
              <w:bottom w:val="single" w:sz="4" w:space="0" w:color="auto"/>
              <w:right w:val="single" w:sz="4" w:space="0" w:color="auto"/>
            </w:tcBorders>
            <w:noWrap/>
            <w:vAlign w:val="bottom"/>
            <w:hideMark/>
          </w:tcPr>
          <w:p w14:paraId="33EAFEA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c>
          <w:tcPr>
            <w:tcW w:w="1275" w:type="dxa"/>
            <w:tcBorders>
              <w:top w:val="single" w:sz="4" w:space="0" w:color="auto"/>
              <w:left w:val="nil"/>
              <w:bottom w:val="single" w:sz="4" w:space="0" w:color="auto"/>
              <w:right w:val="single" w:sz="4" w:space="0" w:color="auto"/>
            </w:tcBorders>
            <w:noWrap/>
            <w:vAlign w:val="bottom"/>
            <w:hideMark/>
          </w:tcPr>
          <w:p w14:paraId="5937576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0,00%</w:t>
            </w:r>
          </w:p>
        </w:tc>
      </w:tr>
      <w:tr w:rsidR="00416D67" w:rsidRPr="00416D67" w14:paraId="252E6C9D" w14:textId="77777777" w:rsidTr="00BB1392">
        <w:trPr>
          <w:trHeight w:val="195"/>
          <w:jc w:val="center"/>
        </w:trPr>
        <w:tc>
          <w:tcPr>
            <w:tcW w:w="500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C177926"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 Višak prihoda ranijih godina</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2B8F9BB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140,97</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F54BCE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140,97</w:t>
            </w:r>
          </w:p>
        </w:tc>
        <w:tc>
          <w:tcPr>
            <w:tcW w:w="1276" w:type="dxa"/>
            <w:tcBorders>
              <w:top w:val="single" w:sz="4" w:space="0" w:color="auto"/>
              <w:left w:val="nil"/>
              <w:bottom w:val="single" w:sz="4" w:space="0" w:color="auto"/>
              <w:right w:val="single" w:sz="4" w:space="0" w:color="auto"/>
            </w:tcBorders>
            <w:shd w:val="clear" w:color="000000" w:fill="CCCCFF"/>
            <w:noWrap/>
            <w:vAlign w:val="bottom"/>
            <w:hideMark/>
          </w:tcPr>
          <w:p w14:paraId="30E0B1F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140,97</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3717C00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761179FF" w14:textId="77777777" w:rsidTr="00BB1392">
        <w:trPr>
          <w:trHeight w:val="195"/>
          <w:jc w:val="center"/>
        </w:trPr>
        <w:tc>
          <w:tcPr>
            <w:tcW w:w="500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10992F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9.3. Višak prihoda prethodne godine PK</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6758A01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140,97</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E037F2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140,97</w:t>
            </w:r>
          </w:p>
        </w:tc>
        <w:tc>
          <w:tcPr>
            <w:tcW w:w="1276" w:type="dxa"/>
            <w:tcBorders>
              <w:top w:val="single" w:sz="4" w:space="0" w:color="auto"/>
              <w:left w:val="nil"/>
              <w:bottom w:val="single" w:sz="4" w:space="0" w:color="auto"/>
              <w:right w:val="single" w:sz="4" w:space="0" w:color="auto"/>
            </w:tcBorders>
            <w:shd w:val="clear" w:color="000000" w:fill="CCCCFF"/>
            <w:noWrap/>
            <w:vAlign w:val="bottom"/>
            <w:hideMark/>
          </w:tcPr>
          <w:p w14:paraId="7732FCAC"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140,97</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7A14411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44DA5FFB"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178234D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4222" w:type="dxa"/>
            <w:tcBorders>
              <w:top w:val="single" w:sz="4" w:space="0" w:color="auto"/>
              <w:left w:val="nil"/>
              <w:bottom w:val="single" w:sz="4" w:space="0" w:color="auto"/>
              <w:right w:val="single" w:sz="4" w:space="0" w:color="auto"/>
            </w:tcBorders>
            <w:noWrap/>
            <w:vAlign w:val="bottom"/>
            <w:hideMark/>
          </w:tcPr>
          <w:p w14:paraId="79319954"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275" w:type="dxa"/>
            <w:tcBorders>
              <w:top w:val="single" w:sz="4" w:space="0" w:color="auto"/>
              <w:left w:val="nil"/>
              <w:bottom w:val="single" w:sz="4" w:space="0" w:color="auto"/>
              <w:right w:val="single" w:sz="4" w:space="0" w:color="auto"/>
            </w:tcBorders>
            <w:noWrap/>
            <w:vAlign w:val="bottom"/>
            <w:hideMark/>
          </w:tcPr>
          <w:p w14:paraId="7ED4366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140,97</w:t>
            </w:r>
          </w:p>
        </w:tc>
        <w:tc>
          <w:tcPr>
            <w:tcW w:w="1418" w:type="dxa"/>
            <w:tcBorders>
              <w:top w:val="single" w:sz="4" w:space="0" w:color="auto"/>
              <w:left w:val="nil"/>
              <w:bottom w:val="single" w:sz="4" w:space="0" w:color="auto"/>
              <w:right w:val="single" w:sz="4" w:space="0" w:color="auto"/>
            </w:tcBorders>
            <w:noWrap/>
            <w:vAlign w:val="bottom"/>
            <w:hideMark/>
          </w:tcPr>
          <w:p w14:paraId="2E39112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140,97</w:t>
            </w:r>
          </w:p>
        </w:tc>
        <w:tc>
          <w:tcPr>
            <w:tcW w:w="1276" w:type="dxa"/>
            <w:tcBorders>
              <w:top w:val="single" w:sz="4" w:space="0" w:color="auto"/>
              <w:left w:val="nil"/>
              <w:bottom w:val="single" w:sz="4" w:space="0" w:color="auto"/>
              <w:right w:val="single" w:sz="4" w:space="0" w:color="auto"/>
            </w:tcBorders>
            <w:noWrap/>
            <w:vAlign w:val="bottom"/>
            <w:hideMark/>
          </w:tcPr>
          <w:p w14:paraId="5E549E8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140,97</w:t>
            </w:r>
          </w:p>
        </w:tc>
        <w:tc>
          <w:tcPr>
            <w:tcW w:w="1275" w:type="dxa"/>
            <w:tcBorders>
              <w:top w:val="single" w:sz="4" w:space="0" w:color="auto"/>
              <w:left w:val="nil"/>
              <w:bottom w:val="single" w:sz="4" w:space="0" w:color="auto"/>
              <w:right w:val="single" w:sz="4" w:space="0" w:color="auto"/>
            </w:tcBorders>
            <w:noWrap/>
            <w:vAlign w:val="bottom"/>
            <w:hideMark/>
          </w:tcPr>
          <w:p w14:paraId="6F5256D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53B3B7F5"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08A0ECFD" w14:textId="77777777" w:rsidR="00416D67" w:rsidRPr="00416D67" w:rsidRDefault="00416D67" w:rsidP="00416D67">
            <w:pPr>
              <w:rPr>
                <w:rFonts w:ascii="Arial" w:hAnsi="Arial" w:cs="Arial"/>
                <w:sz w:val="14"/>
                <w:szCs w:val="14"/>
              </w:rPr>
            </w:pPr>
            <w:r w:rsidRPr="00416D67">
              <w:rPr>
                <w:rFonts w:ascii="Arial" w:hAnsi="Arial" w:cs="Arial"/>
                <w:sz w:val="14"/>
                <w:szCs w:val="14"/>
              </w:rPr>
              <w:t>3222</w:t>
            </w:r>
          </w:p>
        </w:tc>
        <w:tc>
          <w:tcPr>
            <w:tcW w:w="4222" w:type="dxa"/>
            <w:tcBorders>
              <w:top w:val="single" w:sz="4" w:space="0" w:color="auto"/>
              <w:left w:val="nil"/>
              <w:bottom w:val="single" w:sz="4" w:space="0" w:color="auto"/>
              <w:right w:val="single" w:sz="4" w:space="0" w:color="auto"/>
            </w:tcBorders>
            <w:noWrap/>
            <w:vAlign w:val="bottom"/>
            <w:hideMark/>
          </w:tcPr>
          <w:p w14:paraId="20B0605B" w14:textId="77777777" w:rsidR="00416D67" w:rsidRPr="00416D67" w:rsidRDefault="00416D67" w:rsidP="00416D67">
            <w:pPr>
              <w:rPr>
                <w:rFonts w:ascii="Arial" w:hAnsi="Arial" w:cs="Arial"/>
                <w:sz w:val="14"/>
                <w:szCs w:val="14"/>
              </w:rPr>
            </w:pPr>
            <w:r w:rsidRPr="00416D67">
              <w:rPr>
                <w:rFonts w:ascii="Arial" w:hAnsi="Arial" w:cs="Arial"/>
                <w:sz w:val="14"/>
                <w:szCs w:val="14"/>
              </w:rPr>
              <w:t>Materijal i sirovine</w:t>
            </w:r>
          </w:p>
        </w:tc>
        <w:tc>
          <w:tcPr>
            <w:tcW w:w="1275" w:type="dxa"/>
            <w:tcBorders>
              <w:top w:val="single" w:sz="4" w:space="0" w:color="auto"/>
              <w:left w:val="nil"/>
              <w:bottom w:val="single" w:sz="4" w:space="0" w:color="auto"/>
              <w:right w:val="single" w:sz="4" w:space="0" w:color="auto"/>
            </w:tcBorders>
            <w:noWrap/>
            <w:vAlign w:val="bottom"/>
            <w:hideMark/>
          </w:tcPr>
          <w:p w14:paraId="296D509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61BA4A6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42C6756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140,97</w:t>
            </w:r>
          </w:p>
        </w:tc>
        <w:tc>
          <w:tcPr>
            <w:tcW w:w="1275" w:type="dxa"/>
            <w:tcBorders>
              <w:top w:val="single" w:sz="4" w:space="0" w:color="auto"/>
              <w:left w:val="nil"/>
              <w:bottom w:val="single" w:sz="4" w:space="0" w:color="auto"/>
              <w:right w:val="single" w:sz="4" w:space="0" w:color="auto"/>
            </w:tcBorders>
            <w:noWrap/>
            <w:vAlign w:val="bottom"/>
            <w:hideMark/>
          </w:tcPr>
          <w:p w14:paraId="52925AD6"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025ADA91"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0A5014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A100002</w:t>
            </w:r>
          </w:p>
        </w:tc>
        <w:tc>
          <w:tcPr>
            <w:tcW w:w="4222" w:type="dxa"/>
            <w:tcBorders>
              <w:top w:val="single" w:sz="4" w:space="0" w:color="auto"/>
              <w:left w:val="nil"/>
              <w:bottom w:val="single" w:sz="4" w:space="0" w:color="auto"/>
              <w:right w:val="single" w:sz="4" w:space="0" w:color="auto"/>
            </w:tcBorders>
            <w:shd w:val="clear" w:color="000000" w:fill="FFFF99"/>
            <w:noWrap/>
            <w:vAlign w:val="bottom"/>
            <w:hideMark/>
          </w:tcPr>
          <w:p w14:paraId="452EE16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Božićno darivanje predškolske djece</w:t>
            </w:r>
          </w:p>
        </w:tc>
        <w:tc>
          <w:tcPr>
            <w:tcW w:w="1275" w:type="dxa"/>
            <w:tcBorders>
              <w:top w:val="single" w:sz="4" w:space="0" w:color="auto"/>
              <w:left w:val="nil"/>
              <w:bottom w:val="single" w:sz="4" w:space="0" w:color="auto"/>
              <w:right w:val="single" w:sz="4" w:space="0" w:color="auto"/>
            </w:tcBorders>
            <w:shd w:val="clear" w:color="000000" w:fill="FFFF99"/>
            <w:noWrap/>
            <w:vAlign w:val="bottom"/>
            <w:hideMark/>
          </w:tcPr>
          <w:p w14:paraId="3288FEE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16.063,00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4CA70A3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16.063,00</w:t>
            </w:r>
          </w:p>
        </w:tc>
        <w:tc>
          <w:tcPr>
            <w:tcW w:w="1276" w:type="dxa"/>
            <w:tcBorders>
              <w:top w:val="single" w:sz="4" w:space="0" w:color="auto"/>
              <w:left w:val="nil"/>
              <w:bottom w:val="single" w:sz="4" w:space="0" w:color="auto"/>
              <w:right w:val="single" w:sz="4" w:space="0" w:color="auto"/>
            </w:tcBorders>
            <w:shd w:val="clear" w:color="000000" w:fill="FFFF99"/>
            <w:noWrap/>
            <w:vAlign w:val="bottom"/>
            <w:hideMark/>
          </w:tcPr>
          <w:p w14:paraId="3F40430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18.283,99</w:t>
            </w:r>
          </w:p>
        </w:tc>
        <w:tc>
          <w:tcPr>
            <w:tcW w:w="1275" w:type="dxa"/>
            <w:tcBorders>
              <w:top w:val="single" w:sz="4" w:space="0" w:color="auto"/>
              <w:left w:val="nil"/>
              <w:bottom w:val="single" w:sz="4" w:space="0" w:color="auto"/>
              <w:right w:val="single" w:sz="4" w:space="0" w:color="auto"/>
            </w:tcBorders>
            <w:shd w:val="clear" w:color="000000" w:fill="FFFF99"/>
            <w:noWrap/>
            <w:vAlign w:val="bottom"/>
            <w:hideMark/>
          </w:tcPr>
          <w:p w14:paraId="1F57B22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113,83%</w:t>
            </w:r>
          </w:p>
        </w:tc>
      </w:tr>
      <w:tr w:rsidR="00416D67" w:rsidRPr="00416D67" w14:paraId="3A29E7C6" w14:textId="77777777" w:rsidTr="00BB1392">
        <w:trPr>
          <w:trHeight w:val="195"/>
          <w:jc w:val="center"/>
        </w:trPr>
        <w:tc>
          <w:tcPr>
            <w:tcW w:w="500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27F8FF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 Opći prihodi i primici</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22C2E5C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13.500,00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9F5D53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13.500,00</w:t>
            </w:r>
          </w:p>
        </w:tc>
        <w:tc>
          <w:tcPr>
            <w:tcW w:w="1276" w:type="dxa"/>
            <w:tcBorders>
              <w:top w:val="single" w:sz="4" w:space="0" w:color="auto"/>
              <w:left w:val="nil"/>
              <w:bottom w:val="single" w:sz="4" w:space="0" w:color="auto"/>
              <w:right w:val="single" w:sz="4" w:space="0" w:color="auto"/>
            </w:tcBorders>
            <w:shd w:val="clear" w:color="000000" w:fill="CCCCFF"/>
            <w:noWrap/>
            <w:vAlign w:val="bottom"/>
            <w:hideMark/>
          </w:tcPr>
          <w:p w14:paraId="570080B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16.452,53</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49576E2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121,87%</w:t>
            </w:r>
          </w:p>
        </w:tc>
      </w:tr>
      <w:tr w:rsidR="00416D67" w:rsidRPr="00416D67" w14:paraId="396AD3E2" w14:textId="77777777" w:rsidTr="00BB1392">
        <w:trPr>
          <w:trHeight w:val="195"/>
          <w:jc w:val="center"/>
        </w:trPr>
        <w:tc>
          <w:tcPr>
            <w:tcW w:w="500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4AD5857"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1.1. 01 Opći prihodi i primici</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3922F16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13.500,00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0C93B03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13.500,00</w:t>
            </w:r>
          </w:p>
        </w:tc>
        <w:tc>
          <w:tcPr>
            <w:tcW w:w="1276" w:type="dxa"/>
            <w:tcBorders>
              <w:top w:val="single" w:sz="4" w:space="0" w:color="auto"/>
              <w:left w:val="nil"/>
              <w:bottom w:val="single" w:sz="4" w:space="0" w:color="auto"/>
              <w:right w:val="single" w:sz="4" w:space="0" w:color="auto"/>
            </w:tcBorders>
            <w:shd w:val="clear" w:color="000000" w:fill="CCCCFF"/>
            <w:noWrap/>
            <w:vAlign w:val="bottom"/>
            <w:hideMark/>
          </w:tcPr>
          <w:p w14:paraId="18DB355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16.452,53</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2C9A603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121,87%</w:t>
            </w:r>
          </w:p>
        </w:tc>
      </w:tr>
      <w:tr w:rsidR="00416D67" w:rsidRPr="00416D67" w14:paraId="74F232C9"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524F692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4222" w:type="dxa"/>
            <w:tcBorders>
              <w:top w:val="single" w:sz="4" w:space="0" w:color="auto"/>
              <w:left w:val="nil"/>
              <w:bottom w:val="single" w:sz="4" w:space="0" w:color="auto"/>
              <w:right w:val="single" w:sz="4" w:space="0" w:color="auto"/>
            </w:tcBorders>
            <w:noWrap/>
            <w:vAlign w:val="bottom"/>
            <w:hideMark/>
          </w:tcPr>
          <w:p w14:paraId="4B8103A2"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275" w:type="dxa"/>
            <w:tcBorders>
              <w:top w:val="single" w:sz="4" w:space="0" w:color="auto"/>
              <w:left w:val="nil"/>
              <w:bottom w:val="single" w:sz="4" w:space="0" w:color="auto"/>
              <w:right w:val="single" w:sz="4" w:space="0" w:color="auto"/>
            </w:tcBorders>
            <w:noWrap/>
            <w:vAlign w:val="bottom"/>
            <w:hideMark/>
          </w:tcPr>
          <w:p w14:paraId="2F75463A"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w:t>
            </w:r>
          </w:p>
        </w:tc>
        <w:tc>
          <w:tcPr>
            <w:tcW w:w="1418" w:type="dxa"/>
            <w:tcBorders>
              <w:top w:val="single" w:sz="4" w:space="0" w:color="auto"/>
              <w:left w:val="nil"/>
              <w:bottom w:val="single" w:sz="4" w:space="0" w:color="auto"/>
              <w:right w:val="single" w:sz="4" w:space="0" w:color="auto"/>
            </w:tcBorders>
            <w:noWrap/>
            <w:vAlign w:val="bottom"/>
            <w:hideMark/>
          </w:tcPr>
          <w:p w14:paraId="4113F9E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2.500,00</w:t>
            </w:r>
          </w:p>
        </w:tc>
        <w:tc>
          <w:tcPr>
            <w:tcW w:w="1276" w:type="dxa"/>
            <w:tcBorders>
              <w:top w:val="single" w:sz="4" w:space="0" w:color="auto"/>
              <w:left w:val="nil"/>
              <w:bottom w:val="single" w:sz="4" w:space="0" w:color="auto"/>
              <w:right w:val="single" w:sz="4" w:space="0" w:color="auto"/>
            </w:tcBorders>
            <w:noWrap/>
            <w:vAlign w:val="bottom"/>
            <w:hideMark/>
          </w:tcPr>
          <w:p w14:paraId="366632A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4.287,50</w:t>
            </w:r>
          </w:p>
        </w:tc>
        <w:tc>
          <w:tcPr>
            <w:tcW w:w="1275" w:type="dxa"/>
            <w:tcBorders>
              <w:top w:val="single" w:sz="4" w:space="0" w:color="auto"/>
              <w:left w:val="nil"/>
              <w:bottom w:val="single" w:sz="4" w:space="0" w:color="auto"/>
              <w:right w:val="single" w:sz="4" w:space="0" w:color="auto"/>
            </w:tcBorders>
            <w:noWrap/>
            <w:vAlign w:val="bottom"/>
            <w:hideMark/>
          </w:tcPr>
          <w:p w14:paraId="09B1616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171,50%</w:t>
            </w:r>
          </w:p>
        </w:tc>
      </w:tr>
      <w:tr w:rsidR="00416D67" w:rsidRPr="00416D67" w14:paraId="48565C3E"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0A9333B9" w14:textId="77777777" w:rsidR="00416D67" w:rsidRPr="00416D67" w:rsidRDefault="00416D67" w:rsidP="00416D67">
            <w:pPr>
              <w:rPr>
                <w:rFonts w:ascii="Arial" w:hAnsi="Arial" w:cs="Arial"/>
                <w:sz w:val="14"/>
                <w:szCs w:val="14"/>
              </w:rPr>
            </w:pPr>
            <w:r w:rsidRPr="00416D67">
              <w:rPr>
                <w:rFonts w:ascii="Arial" w:hAnsi="Arial" w:cs="Arial"/>
                <w:sz w:val="14"/>
                <w:szCs w:val="14"/>
              </w:rPr>
              <w:t>3239</w:t>
            </w:r>
          </w:p>
        </w:tc>
        <w:tc>
          <w:tcPr>
            <w:tcW w:w="4222" w:type="dxa"/>
            <w:tcBorders>
              <w:top w:val="single" w:sz="4" w:space="0" w:color="auto"/>
              <w:left w:val="nil"/>
              <w:bottom w:val="single" w:sz="4" w:space="0" w:color="auto"/>
              <w:right w:val="single" w:sz="4" w:space="0" w:color="auto"/>
            </w:tcBorders>
            <w:noWrap/>
            <w:vAlign w:val="bottom"/>
            <w:hideMark/>
          </w:tcPr>
          <w:p w14:paraId="4C33E67F" w14:textId="77777777" w:rsidR="00416D67" w:rsidRPr="00416D67" w:rsidRDefault="00416D67" w:rsidP="00416D67">
            <w:pPr>
              <w:rPr>
                <w:rFonts w:ascii="Arial" w:hAnsi="Arial" w:cs="Arial"/>
                <w:sz w:val="14"/>
                <w:szCs w:val="14"/>
              </w:rPr>
            </w:pPr>
            <w:r w:rsidRPr="00416D67">
              <w:rPr>
                <w:rFonts w:ascii="Arial" w:hAnsi="Arial" w:cs="Arial"/>
                <w:sz w:val="14"/>
                <w:szCs w:val="14"/>
              </w:rPr>
              <w:t>Ostale usluge</w:t>
            </w:r>
          </w:p>
        </w:tc>
        <w:tc>
          <w:tcPr>
            <w:tcW w:w="1275" w:type="dxa"/>
            <w:tcBorders>
              <w:top w:val="single" w:sz="4" w:space="0" w:color="auto"/>
              <w:left w:val="nil"/>
              <w:bottom w:val="single" w:sz="4" w:space="0" w:color="auto"/>
              <w:right w:val="single" w:sz="4" w:space="0" w:color="auto"/>
            </w:tcBorders>
            <w:noWrap/>
            <w:vAlign w:val="bottom"/>
            <w:hideMark/>
          </w:tcPr>
          <w:p w14:paraId="7E1E6901"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6FAF4784"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3257926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4.287,50</w:t>
            </w:r>
          </w:p>
        </w:tc>
        <w:tc>
          <w:tcPr>
            <w:tcW w:w="1275" w:type="dxa"/>
            <w:tcBorders>
              <w:top w:val="single" w:sz="4" w:space="0" w:color="auto"/>
              <w:left w:val="nil"/>
              <w:bottom w:val="single" w:sz="4" w:space="0" w:color="auto"/>
              <w:right w:val="single" w:sz="4" w:space="0" w:color="auto"/>
            </w:tcBorders>
            <w:noWrap/>
            <w:vAlign w:val="bottom"/>
            <w:hideMark/>
          </w:tcPr>
          <w:p w14:paraId="6498789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00C2875"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341DA33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37</w:t>
            </w:r>
          </w:p>
        </w:tc>
        <w:tc>
          <w:tcPr>
            <w:tcW w:w="4222" w:type="dxa"/>
            <w:tcBorders>
              <w:top w:val="single" w:sz="4" w:space="0" w:color="auto"/>
              <w:left w:val="nil"/>
              <w:bottom w:val="single" w:sz="4" w:space="0" w:color="auto"/>
              <w:right w:val="single" w:sz="4" w:space="0" w:color="auto"/>
            </w:tcBorders>
            <w:noWrap/>
            <w:vAlign w:val="bottom"/>
            <w:hideMark/>
          </w:tcPr>
          <w:p w14:paraId="700C70D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Naknade građanima i kućanstvima na temelju osiguranja i druge naknade</w:t>
            </w:r>
          </w:p>
        </w:tc>
        <w:tc>
          <w:tcPr>
            <w:tcW w:w="1275" w:type="dxa"/>
            <w:tcBorders>
              <w:top w:val="single" w:sz="4" w:space="0" w:color="auto"/>
              <w:left w:val="nil"/>
              <w:bottom w:val="single" w:sz="4" w:space="0" w:color="auto"/>
              <w:right w:val="single" w:sz="4" w:space="0" w:color="auto"/>
            </w:tcBorders>
            <w:noWrap/>
            <w:vAlign w:val="bottom"/>
            <w:hideMark/>
          </w:tcPr>
          <w:p w14:paraId="2852CB5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11.000,00</w:t>
            </w:r>
          </w:p>
        </w:tc>
        <w:tc>
          <w:tcPr>
            <w:tcW w:w="1418" w:type="dxa"/>
            <w:tcBorders>
              <w:top w:val="single" w:sz="4" w:space="0" w:color="auto"/>
              <w:left w:val="nil"/>
              <w:bottom w:val="single" w:sz="4" w:space="0" w:color="auto"/>
              <w:right w:val="single" w:sz="4" w:space="0" w:color="auto"/>
            </w:tcBorders>
            <w:noWrap/>
            <w:vAlign w:val="bottom"/>
            <w:hideMark/>
          </w:tcPr>
          <w:p w14:paraId="0B4FA89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11.000,00</w:t>
            </w:r>
          </w:p>
        </w:tc>
        <w:tc>
          <w:tcPr>
            <w:tcW w:w="1276" w:type="dxa"/>
            <w:tcBorders>
              <w:top w:val="single" w:sz="4" w:space="0" w:color="auto"/>
              <w:left w:val="nil"/>
              <w:bottom w:val="single" w:sz="4" w:space="0" w:color="auto"/>
              <w:right w:val="single" w:sz="4" w:space="0" w:color="auto"/>
            </w:tcBorders>
            <w:noWrap/>
            <w:vAlign w:val="bottom"/>
            <w:hideMark/>
          </w:tcPr>
          <w:p w14:paraId="0A03767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12.165,03</w:t>
            </w:r>
          </w:p>
        </w:tc>
        <w:tc>
          <w:tcPr>
            <w:tcW w:w="1275" w:type="dxa"/>
            <w:tcBorders>
              <w:top w:val="single" w:sz="4" w:space="0" w:color="auto"/>
              <w:left w:val="nil"/>
              <w:bottom w:val="single" w:sz="4" w:space="0" w:color="auto"/>
              <w:right w:val="single" w:sz="4" w:space="0" w:color="auto"/>
            </w:tcBorders>
            <w:noWrap/>
            <w:vAlign w:val="bottom"/>
            <w:hideMark/>
          </w:tcPr>
          <w:p w14:paraId="41E52D6B"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110,59%</w:t>
            </w:r>
          </w:p>
        </w:tc>
      </w:tr>
      <w:tr w:rsidR="00416D67" w:rsidRPr="00416D67" w14:paraId="17A1A41A"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3D78C807" w14:textId="77777777" w:rsidR="00416D67" w:rsidRPr="00416D67" w:rsidRDefault="00416D67" w:rsidP="00416D67">
            <w:pPr>
              <w:rPr>
                <w:rFonts w:ascii="Arial" w:hAnsi="Arial" w:cs="Arial"/>
                <w:sz w:val="14"/>
                <w:szCs w:val="14"/>
              </w:rPr>
            </w:pPr>
            <w:r w:rsidRPr="00416D67">
              <w:rPr>
                <w:rFonts w:ascii="Arial" w:hAnsi="Arial" w:cs="Arial"/>
                <w:sz w:val="14"/>
                <w:szCs w:val="14"/>
              </w:rPr>
              <w:t>3722</w:t>
            </w:r>
          </w:p>
        </w:tc>
        <w:tc>
          <w:tcPr>
            <w:tcW w:w="4222" w:type="dxa"/>
            <w:tcBorders>
              <w:top w:val="single" w:sz="4" w:space="0" w:color="auto"/>
              <w:left w:val="nil"/>
              <w:bottom w:val="single" w:sz="4" w:space="0" w:color="auto"/>
              <w:right w:val="single" w:sz="4" w:space="0" w:color="auto"/>
            </w:tcBorders>
            <w:noWrap/>
            <w:vAlign w:val="bottom"/>
            <w:hideMark/>
          </w:tcPr>
          <w:p w14:paraId="5D9E7EDF" w14:textId="77777777" w:rsidR="00416D67" w:rsidRPr="00416D67" w:rsidRDefault="00416D67" w:rsidP="00416D67">
            <w:pPr>
              <w:rPr>
                <w:rFonts w:ascii="Arial" w:hAnsi="Arial" w:cs="Arial"/>
                <w:sz w:val="14"/>
                <w:szCs w:val="14"/>
              </w:rPr>
            </w:pPr>
            <w:r w:rsidRPr="00416D67">
              <w:rPr>
                <w:rFonts w:ascii="Arial" w:hAnsi="Arial" w:cs="Arial"/>
                <w:sz w:val="14"/>
                <w:szCs w:val="14"/>
              </w:rPr>
              <w:t>Naknade građanima i kućanstvima u naravi</w:t>
            </w:r>
          </w:p>
        </w:tc>
        <w:tc>
          <w:tcPr>
            <w:tcW w:w="1275" w:type="dxa"/>
            <w:tcBorders>
              <w:top w:val="single" w:sz="4" w:space="0" w:color="auto"/>
              <w:left w:val="nil"/>
              <w:bottom w:val="single" w:sz="4" w:space="0" w:color="auto"/>
              <w:right w:val="single" w:sz="4" w:space="0" w:color="auto"/>
            </w:tcBorders>
            <w:noWrap/>
            <w:vAlign w:val="bottom"/>
            <w:hideMark/>
          </w:tcPr>
          <w:p w14:paraId="2476120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609F127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5193B98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12.165,03</w:t>
            </w:r>
          </w:p>
        </w:tc>
        <w:tc>
          <w:tcPr>
            <w:tcW w:w="1275" w:type="dxa"/>
            <w:tcBorders>
              <w:top w:val="single" w:sz="4" w:space="0" w:color="auto"/>
              <w:left w:val="nil"/>
              <w:bottom w:val="single" w:sz="4" w:space="0" w:color="auto"/>
              <w:right w:val="single" w:sz="4" w:space="0" w:color="auto"/>
            </w:tcBorders>
            <w:noWrap/>
            <w:vAlign w:val="bottom"/>
            <w:hideMark/>
          </w:tcPr>
          <w:p w14:paraId="2B41D55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80C0CD7" w14:textId="77777777" w:rsidTr="00BB1392">
        <w:trPr>
          <w:trHeight w:val="195"/>
          <w:jc w:val="center"/>
        </w:trPr>
        <w:tc>
          <w:tcPr>
            <w:tcW w:w="500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F212FD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2735465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2.563,00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1D92FE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2.563,00</w:t>
            </w:r>
          </w:p>
        </w:tc>
        <w:tc>
          <w:tcPr>
            <w:tcW w:w="1276" w:type="dxa"/>
            <w:tcBorders>
              <w:top w:val="single" w:sz="4" w:space="0" w:color="auto"/>
              <w:left w:val="nil"/>
              <w:bottom w:val="single" w:sz="4" w:space="0" w:color="auto"/>
              <w:right w:val="single" w:sz="4" w:space="0" w:color="auto"/>
            </w:tcBorders>
            <w:shd w:val="clear" w:color="000000" w:fill="CCCCFF"/>
            <w:noWrap/>
            <w:vAlign w:val="bottom"/>
            <w:hideMark/>
          </w:tcPr>
          <w:p w14:paraId="440FB41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1.831,46</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297DBEC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71,46%</w:t>
            </w:r>
          </w:p>
        </w:tc>
      </w:tr>
      <w:tr w:rsidR="00416D67" w:rsidRPr="00416D67" w14:paraId="1CA918B5" w14:textId="77777777" w:rsidTr="00BB1392">
        <w:trPr>
          <w:trHeight w:val="195"/>
          <w:jc w:val="center"/>
        </w:trPr>
        <w:tc>
          <w:tcPr>
            <w:tcW w:w="500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557151"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4.4. Prihodi za posebne PK boravak roditelji i </w:t>
            </w:r>
            <w:proofErr w:type="spellStart"/>
            <w:r w:rsidRPr="00416D67">
              <w:rPr>
                <w:rFonts w:ascii="Arial" w:hAnsi="Arial" w:cs="Arial"/>
                <w:b/>
                <w:bCs/>
                <w:color w:val="333333"/>
                <w:sz w:val="14"/>
                <w:szCs w:val="14"/>
              </w:rPr>
              <w:t>soc.program</w:t>
            </w:r>
            <w:proofErr w:type="spellEnd"/>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25E908C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2.563,00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80226F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2.563,00</w:t>
            </w:r>
          </w:p>
        </w:tc>
        <w:tc>
          <w:tcPr>
            <w:tcW w:w="1276" w:type="dxa"/>
            <w:tcBorders>
              <w:top w:val="single" w:sz="4" w:space="0" w:color="auto"/>
              <w:left w:val="nil"/>
              <w:bottom w:val="single" w:sz="4" w:space="0" w:color="auto"/>
              <w:right w:val="single" w:sz="4" w:space="0" w:color="auto"/>
            </w:tcBorders>
            <w:shd w:val="clear" w:color="000000" w:fill="CCCCFF"/>
            <w:noWrap/>
            <w:vAlign w:val="bottom"/>
            <w:hideMark/>
          </w:tcPr>
          <w:p w14:paraId="059D8A7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1.831,46</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07D54AF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71,46%</w:t>
            </w:r>
          </w:p>
        </w:tc>
      </w:tr>
      <w:tr w:rsidR="00416D67" w:rsidRPr="00416D67" w14:paraId="479DA6A2"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1E2595B9"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4222" w:type="dxa"/>
            <w:tcBorders>
              <w:top w:val="single" w:sz="4" w:space="0" w:color="auto"/>
              <w:left w:val="nil"/>
              <w:bottom w:val="single" w:sz="4" w:space="0" w:color="auto"/>
              <w:right w:val="single" w:sz="4" w:space="0" w:color="auto"/>
            </w:tcBorders>
            <w:noWrap/>
            <w:vAlign w:val="bottom"/>
            <w:hideMark/>
          </w:tcPr>
          <w:p w14:paraId="22ED960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275" w:type="dxa"/>
            <w:tcBorders>
              <w:top w:val="single" w:sz="4" w:space="0" w:color="auto"/>
              <w:left w:val="nil"/>
              <w:bottom w:val="single" w:sz="4" w:space="0" w:color="auto"/>
              <w:right w:val="single" w:sz="4" w:space="0" w:color="auto"/>
            </w:tcBorders>
            <w:noWrap/>
            <w:vAlign w:val="bottom"/>
            <w:hideMark/>
          </w:tcPr>
          <w:p w14:paraId="0FA055E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2.563,00</w:t>
            </w:r>
          </w:p>
        </w:tc>
        <w:tc>
          <w:tcPr>
            <w:tcW w:w="1418" w:type="dxa"/>
            <w:tcBorders>
              <w:top w:val="single" w:sz="4" w:space="0" w:color="auto"/>
              <w:left w:val="nil"/>
              <w:bottom w:val="single" w:sz="4" w:space="0" w:color="auto"/>
              <w:right w:val="single" w:sz="4" w:space="0" w:color="auto"/>
            </w:tcBorders>
            <w:noWrap/>
            <w:vAlign w:val="bottom"/>
            <w:hideMark/>
          </w:tcPr>
          <w:p w14:paraId="150BE82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2.563,00</w:t>
            </w:r>
          </w:p>
        </w:tc>
        <w:tc>
          <w:tcPr>
            <w:tcW w:w="1276" w:type="dxa"/>
            <w:tcBorders>
              <w:top w:val="single" w:sz="4" w:space="0" w:color="auto"/>
              <w:left w:val="nil"/>
              <w:bottom w:val="single" w:sz="4" w:space="0" w:color="auto"/>
              <w:right w:val="single" w:sz="4" w:space="0" w:color="auto"/>
            </w:tcBorders>
            <w:noWrap/>
            <w:vAlign w:val="bottom"/>
            <w:hideMark/>
          </w:tcPr>
          <w:p w14:paraId="04D57E87"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1.831,46</w:t>
            </w:r>
          </w:p>
        </w:tc>
        <w:tc>
          <w:tcPr>
            <w:tcW w:w="1275" w:type="dxa"/>
            <w:tcBorders>
              <w:top w:val="single" w:sz="4" w:space="0" w:color="auto"/>
              <w:left w:val="nil"/>
              <w:bottom w:val="single" w:sz="4" w:space="0" w:color="auto"/>
              <w:right w:val="single" w:sz="4" w:space="0" w:color="auto"/>
            </w:tcBorders>
            <w:noWrap/>
            <w:vAlign w:val="bottom"/>
            <w:hideMark/>
          </w:tcPr>
          <w:p w14:paraId="0D63C58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71,46%</w:t>
            </w:r>
          </w:p>
        </w:tc>
      </w:tr>
      <w:tr w:rsidR="00416D67" w:rsidRPr="00416D67" w14:paraId="7844E894"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060E5F7C" w14:textId="77777777" w:rsidR="00416D67" w:rsidRPr="00416D67" w:rsidRDefault="00416D67" w:rsidP="00416D67">
            <w:pPr>
              <w:rPr>
                <w:rFonts w:ascii="Arial" w:hAnsi="Arial" w:cs="Arial"/>
                <w:sz w:val="14"/>
                <w:szCs w:val="14"/>
              </w:rPr>
            </w:pPr>
            <w:r w:rsidRPr="00416D67">
              <w:rPr>
                <w:rFonts w:ascii="Arial" w:hAnsi="Arial" w:cs="Arial"/>
                <w:sz w:val="14"/>
                <w:szCs w:val="14"/>
              </w:rPr>
              <w:t>3233</w:t>
            </w:r>
          </w:p>
        </w:tc>
        <w:tc>
          <w:tcPr>
            <w:tcW w:w="4222" w:type="dxa"/>
            <w:tcBorders>
              <w:top w:val="single" w:sz="4" w:space="0" w:color="auto"/>
              <w:left w:val="nil"/>
              <w:bottom w:val="single" w:sz="4" w:space="0" w:color="auto"/>
              <w:right w:val="single" w:sz="4" w:space="0" w:color="auto"/>
            </w:tcBorders>
            <w:noWrap/>
            <w:vAlign w:val="bottom"/>
            <w:hideMark/>
          </w:tcPr>
          <w:p w14:paraId="7071C839" w14:textId="77777777" w:rsidR="00416D67" w:rsidRPr="00416D67" w:rsidRDefault="00416D67" w:rsidP="00416D67">
            <w:pPr>
              <w:rPr>
                <w:rFonts w:ascii="Arial" w:hAnsi="Arial" w:cs="Arial"/>
                <w:sz w:val="14"/>
                <w:szCs w:val="14"/>
              </w:rPr>
            </w:pPr>
            <w:r w:rsidRPr="00416D67">
              <w:rPr>
                <w:rFonts w:ascii="Arial" w:hAnsi="Arial" w:cs="Arial"/>
                <w:sz w:val="14"/>
                <w:szCs w:val="14"/>
              </w:rPr>
              <w:t>Usluge promidžbe i informiranja</w:t>
            </w:r>
          </w:p>
        </w:tc>
        <w:tc>
          <w:tcPr>
            <w:tcW w:w="1275" w:type="dxa"/>
            <w:tcBorders>
              <w:top w:val="single" w:sz="4" w:space="0" w:color="auto"/>
              <w:left w:val="nil"/>
              <w:bottom w:val="single" w:sz="4" w:space="0" w:color="auto"/>
              <w:right w:val="single" w:sz="4" w:space="0" w:color="auto"/>
            </w:tcBorders>
            <w:noWrap/>
            <w:vAlign w:val="bottom"/>
            <w:hideMark/>
          </w:tcPr>
          <w:p w14:paraId="581B2B0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254F140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65C0DC09"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68,75</w:t>
            </w:r>
          </w:p>
        </w:tc>
        <w:tc>
          <w:tcPr>
            <w:tcW w:w="1275" w:type="dxa"/>
            <w:tcBorders>
              <w:top w:val="single" w:sz="4" w:space="0" w:color="auto"/>
              <w:left w:val="nil"/>
              <w:bottom w:val="single" w:sz="4" w:space="0" w:color="auto"/>
              <w:right w:val="single" w:sz="4" w:space="0" w:color="auto"/>
            </w:tcBorders>
            <w:noWrap/>
            <w:vAlign w:val="bottom"/>
            <w:hideMark/>
          </w:tcPr>
          <w:p w14:paraId="32C630A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3736AE86"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069B7047" w14:textId="77777777" w:rsidR="00416D67" w:rsidRPr="00416D67" w:rsidRDefault="00416D67" w:rsidP="00416D67">
            <w:pPr>
              <w:rPr>
                <w:rFonts w:ascii="Arial" w:hAnsi="Arial" w:cs="Arial"/>
                <w:sz w:val="14"/>
                <w:szCs w:val="14"/>
              </w:rPr>
            </w:pPr>
            <w:r w:rsidRPr="00416D67">
              <w:rPr>
                <w:rFonts w:ascii="Arial" w:hAnsi="Arial" w:cs="Arial"/>
                <w:sz w:val="14"/>
                <w:szCs w:val="14"/>
              </w:rPr>
              <w:t>3235</w:t>
            </w:r>
          </w:p>
        </w:tc>
        <w:tc>
          <w:tcPr>
            <w:tcW w:w="4222" w:type="dxa"/>
            <w:tcBorders>
              <w:top w:val="single" w:sz="4" w:space="0" w:color="auto"/>
              <w:left w:val="nil"/>
              <w:bottom w:val="single" w:sz="4" w:space="0" w:color="auto"/>
              <w:right w:val="single" w:sz="4" w:space="0" w:color="auto"/>
            </w:tcBorders>
            <w:noWrap/>
            <w:vAlign w:val="bottom"/>
            <w:hideMark/>
          </w:tcPr>
          <w:p w14:paraId="142F06AC" w14:textId="77777777" w:rsidR="00416D67" w:rsidRPr="00416D67" w:rsidRDefault="00416D67" w:rsidP="00416D67">
            <w:pPr>
              <w:rPr>
                <w:rFonts w:ascii="Arial" w:hAnsi="Arial" w:cs="Arial"/>
                <w:sz w:val="14"/>
                <w:szCs w:val="14"/>
              </w:rPr>
            </w:pPr>
            <w:r w:rsidRPr="00416D67">
              <w:rPr>
                <w:rFonts w:ascii="Arial" w:hAnsi="Arial" w:cs="Arial"/>
                <w:sz w:val="14"/>
                <w:szCs w:val="14"/>
              </w:rPr>
              <w:t>Zakupnine i najamnine</w:t>
            </w:r>
          </w:p>
        </w:tc>
        <w:tc>
          <w:tcPr>
            <w:tcW w:w="1275" w:type="dxa"/>
            <w:tcBorders>
              <w:top w:val="single" w:sz="4" w:space="0" w:color="auto"/>
              <w:left w:val="nil"/>
              <w:bottom w:val="single" w:sz="4" w:space="0" w:color="auto"/>
              <w:right w:val="single" w:sz="4" w:space="0" w:color="auto"/>
            </w:tcBorders>
            <w:noWrap/>
            <w:vAlign w:val="bottom"/>
            <w:hideMark/>
          </w:tcPr>
          <w:p w14:paraId="6B1FB4C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3A66E3E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1842C66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1.140,63</w:t>
            </w:r>
          </w:p>
        </w:tc>
        <w:tc>
          <w:tcPr>
            <w:tcW w:w="1275" w:type="dxa"/>
            <w:tcBorders>
              <w:top w:val="single" w:sz="4" w:space="0" w:color="auto"/>
              <w:left w:val="nil"/>
              <w:bottom w:val="single" w:sz="4" w:space="0" w:color="auto"/>
              <w:right w:val="single" w:sz="4" w:space="0" w:color="auto"/>
            </w:tcBorders>
            <w:noWrap/>
            <w:vAlign w:val="bottom"/>
            <w:hideMark/>
          </w:tcPr>
          <w:p w14:paraId="54C225F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2F39973"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47D21CF3" w14:textId="77777777" w:rsidR="00416D67" w:rsidRPr="00416D67" w:rsidRDefault="00416D67" w:rsidP="00416D67">
            <w:pPr>
              <w:rPr>
                <w:rFonts w:ascii="Arial" w:hAnsi="Arial" w:cs="Arial"/>
                <w:sz w:val="14"/>
                <w:szCs w:val="14"/>
              </w:rPr>
            </w:pPr>
            <w:r w:rsidRPr="00416D67">
              <w:rPr>
                <w:rFonts w:ascii="Arial" w:hAnsi="Arial" w:cs="Arial"/>
                <w:sz w:val="14"/>
                <w:szCs w:val="14"/>
              </w:rPr>
              <w:t>3237</w:t>
            </w:r>
          </w:p>
        </w:tc>
        <w:tc>
          <w:tcPr>
            <w:tcW w:w="4222" w:type="dxa"/>
            <w:tcBorders>
              <w:top w:val="single" w:sz="4" w:space="0" w:color="auto"/>
              <w:left w:val="nil"/>
              <w:bottom w:val="single" w:sz="4" w:space="0" w:color="auto"/>
              <w:right w:val="single" w:sz="4" w:space="0" w:color="auto"/>
            </w:tcBorders>
            <w:noWrap/>
            <w:vAlign w:val="bottom"/>
            <w:hideMark/>
          </w:tcPr>
          <w:p w14:paraId="62AD810C" w14:textId="77777777" w:rsidR="00416D67" w:rsidRPr="00416D67" w:rsidRDefault="00416D67" w:rsidP="00416D67">
            <w:pPr>
              <w:rPr>
                <w:rFonts w:ascii="Arial" w:hAnsi="Arial" w:cs="Arial"/>
                <w:sz w:val="14"/>
                <w:szCs w:val="14"/>
              </w:rPr>
            </w:pPr>
            <w:r w:rsidRPr="00416D67">
              <w:rPr>
                <w:rFonts w:ascii="Arial" w:hAnsi="Arial" w:cs="Arial"/>
                <w:sz w:val="14"/>
                <w:szCs w:val="14"/>
              </w:rPr>
              <w:t>Intelektualne i osobne usluge</w:t>
            </w:r>
          </w:p>
        </w:tc>
        <w:tc>
          <w:tcPr>
            <w:tcW w:w="1275" w:type="dxa"/>
            <w:tcBorders>
              <w:top w:val="single" w:sz="4" w:space="0" w:color="auto"/>
              <w:left w:val="nil"/>
              <w:bottom w:val="single" w:sz="4" w:space="0" w:color="auto"/>
              <w:right w:val="single" w:sz="4" w:space="0" w:color="auto"/>
            </w:tcBorders>
            <w:noWrap/>
            <w:vAlign w:val="bottom"/>
            <w:hideMark/>
          </w:tcPr>
          <w:p w14:paraId="353CA358"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725335B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7D40AA0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527,76</w:t>
            </w:r>
          </w:p>
        </w:tc>
        <w:tc>
          <w:tcPr>
            <w:tcW w:w="1275" w:type="dxa"/>
            <w:tcBorders>
              <w:top w:val="single" w:sz="4" w:space="0" w:color="auto"/>
              <w:left w:val="nil"/>
              <w:bottom w:val="single" w:sz="4" w:space="0" w:color="auto"/>
              <w:right w:val="single" w:sz="4" w:space="0" w:color="auto"/>
            </w:tcBorders>
            <w:noWrap/>
            <w:vAlign w:val="bottom"/>
            <w:hideMark/>
          </w:tcPr>
          <w:p w14:paraId="34C70AB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10C1D8A6"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6652B1BC" w14:textId="77777777" w:rsidR="00416D67" w:rsidRPr="00416D67" w:rsidRDefault="00416D67" w:rsidP="00416D67">
            <w:pPr>
              <w:rPr>
                <w:rFonts w:ascii="Arial" w:hAnsi="Arial" w:cs="Arial"/>
                <w:sz w:val="14"/>
                <w:szCs w:val="14"/>
              </w:rPr>
            </w:pPr>
            <w:r w:rsidRPr="00416D67">
              <w:rPr>
                <w:rFonts w:ascii="Arial" w:hAnsi="Arial" w:cs="Arial"/>
                <w:sz w:val="14"/>
                <w:szCs w:val="14"/>
              </w:rPr>
              <w:t>3239</w:t>
            </w:r>
          </w:p>
        </w:tc>
        <w:tc>
          <w:tcPr>
            <w:tcW w:w="4222" w:type="dxa"/>
            <w:tcBorders>
              <w:top w:val="single" w:sz="4" w:space="0" w:color="auto"/>
              <w:left w:val="nil"/>
              <w:bottom w:val="single" w:sz="4" w:space="0" w:color="auto"/>
              <w:right w:val="single" w:sz="4" w:space="0" w:color="auto"/>
            </w:tcBorders>
            <w:noWrap/>
            <w:vAlign w:val="bottom"/>
            <w:hideMark/>
          </w:tcPr>
          <w:p w14:paraId="0D7954CA" w14:textId="77777777" w:rsidR="00416D67" w:rsidRPr="00416D67" w:rsidRDefault="00416D67" w:rsidP="00416D67">
            <w:pPr>
              <w:rPr>
                <w:rFonts w:ascii="Arial" w:hAnsi="Arial" w:cs="Arial"/>
                <w:sz w:val="14"/>
                <w:szCs w:val="14"/>
              </w:rPr>
            </w:pPr>
            <w:r w:rsidRPr="00416D67">
              <w:rPr>
                <w:rFonts w:ascii="Arial" w:hAnsi="Arial" w:cs="Arial"/>
                <w:sz w:val="14"/>
                <w:szCs w:val="14"/>
              </w:rPr>
              <w:t>Ostale usluge</w:t>
            </w:r>
          </w:p>
        </w:tc>
        <w:tc>
          <w:tcPr>
            <w:tcW w:w="1275" w:type="dxa"/>
            <w:tcBorders>
              <w:top w:val="single" w:sz="4" w:space="0" w:color="auto"/>
              <w:left w:val="nil"/>
              <w:bottom w:val="single" w:sz="4" w:space="0" w:color="auto"/>
              <w:right w:val="single" w:sz="4" w:space="0" w:color="auto"/>
            </w:tcBorders>
            <w:noWrap/>
            <w:vAlign w:val="bottom"/>
            <w:hideMark/>
          </w:tcPr>
          <w:p w14:paraId="02B6748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2CA1C3F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54E717B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94,32</w:t>
            </w:r>
          </w:p>
        </w:tc>
        <w:tc>
          <w:tcPr>
            <w:tcW w:w="1275" w:type="dxa"/>
            <w:tcBorders>
              <w:top w:val="single" w:sz="4" w:space="0" w:color="auto"/>
              <w:left w:val="nil"/>
              <w:bottom w:val="single" w:sz="4" w:space="0" w:color="auto"/>
              <w:right w:val="single" w:sz="4" w:space="0" w:color="auto"/>
            </w:tcBorders>
            <w:noWrap/>
            <w:vAlign w:val="bottom"/>
            <w:hideMark/>
          </w:tcPr>
          <w:p w14:paraId="4086DC6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6BD57632"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7A1167E"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A100003</w:t>
            </w:r>
          </w:p>
        </w:tc>
        <w:tc>
          <w:tcPr>
            <w:tcW w:w="4222" w:type="dxa"/>
            <w:tcBorders>
              <w:top w:val="single" w:sz="4" w:space="0" w:color="auto"/>
              <w:left w:val="nil"/>
              <w:bottom w:val="single" w:sz="4" w:space="0" w:color="auto"/>
              <w:right w:val="single" w:sz="4" w:space="0" w:color="auto"/>
            </w:tcBorders>
            <w:shd w:val="clear" w:color="000000" w:fill="FFFF99"/>
            <w:noWrap/>
            <w:vAlign w:val="bottom"/>
            <w:hideMark/>
          </w:tcPr>
          <w:p w14:paraId="79E8D6D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 xml:space="preserve">Aktivnost: Provođenje programa </w:t>
            </w:r>
            <w:proofErr w:type="spellStart"/>
            <w:r w:rsidRPr="00416D67">
              <w:rPr>
                <w:rFonts w:ascii="Arial" w:hAnsi="Arial" w:cs="Arial"/>
                <w:b/>
                <w:bCs/>
                <w:sz w:val="14"/>
                <w:szCs w:val="14"/>
              </w:rPr>
              <w:t>predškole</w:t>
            </w:r>
            <w:proofErr w:type="spellEnd"/>
          </w:p>
        </w:tc>
        <w:tc>
          <w:tcPr>
            <w:tcW w:w="1275" w:type="dxa"/>
            <w:tcBorders>
              <w:top w:val="single" w:sz="4" w:space="0" w:color="auto"/>
              <w:left w:val="nil"/>
              <w:bottom w:val="single" w:sz="4" w:space="0" w:color="auto"/>
              <w:right w:val="single" w:sz="4" w:space="0" w:color="auto"/>
            </w:tcBorders>
            <w:shd w:val="clear" w:color="000000" w:fill="FFFF99"/>
            <w:noWrap/>
            <w:vAlign w:val="bottom"/>
            <w:hideMark/>
          </w:tcPr>
          <w:p w14:paraId="74869B5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1.268,00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6B026372"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1.268,00</w:t>
            </w:r>
          </w:p>
        </w:tc>
        <w:tc>
          <w:tcPr>
            <w:tcW w:w="1276" w:type="dxa"/>
            <w:tcBorders>
              <w:top w:val="single" w:sz="4" w:space="0" w:color="auto"/>
              <w:left w:val="nil"/>
              <w:bottom w:val="single" w:sz="4" w:space="0" w:color="auto"/>
              <w:right w:val="single" w:sz="4" w:space="0" w:color="auto"/>
            </w:tcBorders>
            <w:shd w:val="clear" w:color="000000" w:fill="FFFF99"/>
            <w:noWrap/>
            <w:vAlign w:val="bottom"/>
            <w:hideMark/>
          </w:tcPr>
          <w:p w14:paraId="55ADFC9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659,43</w:t>
            </w:r>
          </w:p>
        </w:tc>
        <w:tc>
          <w:tcPr>
            <w:tcW w:w="1275" w:type="dxa"/>
            <w:tcBorders>
              <w:top w:val="single" w:sz="4" w:space="0" w:color="auto"/>
              <w:left w:val="nil"/>
              <w:bottom w:val="single" w:sz="4" w:space="0" w:color="auto"/>
              <w:right w:val="single" w:sz="4" w:space="0" w:color="auto"/>
            </w:tcBorders>
            <w:shd w:val="clear" w:color="000000" w:fill="FFFF99"/>
            <w:noWrap/>
            <w:vAlign w:val="bottom"/>
            <w:hideMark/>
          </w:tcPr>
          <w:p w14:paraId="0EBFB6D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52,01%</w:t>
            </w:r>
          </w:p>
        </w:tc>
      </w:tr>
      <w:tr w:rsidR="00416D67" w:rsidRPr="00416D67" w14:paraId="2768BF8E" w14:textId="77777777" w:rsidTr="00BB1392">
        <w:trPr>
          <w:trHeight w:val="195"/>
          <w:jc w:val="center"/>
        </w:trPr>
        <w:tc>
          <w:tcPr>
            <w:tcW w:w="500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24492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4618750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334D749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800,00</w:t>
            </w:r>
          </w:p>
        </w:tc>
        <w:tc>
          <w:tcPr>
            <w:tcW w:w="1276" w:type="dxa"/>
            <w:tcBorders>
              <w:top w:val="single" w:sz="4" w:space="0" w:color="auto"/>
              <w:left w:val="nil"/>
              <w:bottom w:val="single" w:sz="4" w:space="0" w:color="auto"/>
              <w:right w:val="single" w:sz="4" w:space="0" w:color="auto"/>
            </w:tcBorders>
            <w:shd w:val="clear" w:color="000000" w:fill="CCCCFF"/>
            <w:noWrap/>
            <w:vAlign w:val="bottom"/>
            <w:hideMark/>
          </w:tcPr>
          <w:p w14:paraId="3D7F8F4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285,03</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61A8E51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35,63%</w:t>
            </w:r>
          </w:p>
        </w:tc>
      </w:tr>
      <w:tr w:rsidR="00416D67" w:rsidRPr="00416D67" w14:paraId="46497B58" w14:textId="77777777" w:rsidTr="00BB1392">
        <w:trPr>
          <w:trHeight w:val="195"/>
          <w:jc w:val="center"/>
        </w:trPr>
        <w:tc>
          <w:tcPr>
            <w:tcW w:w="500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896028"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4.4. Prihodi za posebne PK boravak roditelji i </w:t>
            </w:r>
            <w:proofErr w:type="spellStart"/>
            <w:r w:rsidRPr="00416D67">
              <w:rPr>
                <w:rFonts w:ascii="Arial" w:hAnsi="Arial" w:cs="Arial"/>
                <w:b/>
                <w:bCs/>
                <w:color w:val="333333"/>
                <w:sz w:val="14"/>
                <w:szCs w:val="14"/>
              </w:rPr>
              <w:t>soc.program</w:t>
            </w:r>
            <w:proofErr w:type="spellEnd"/>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493AD9D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1C4CC8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800,00</w:t>
            </w:r>
          </w:p>
        </w:tc>
        <w:tc>
          <w:tcPr>
            <w:tcW w:w="1276" w:type="dxa"/>
            <w:tcBorders>
              <w:top w:val="single" w:sz="4" w:space="0" w:color="auto"/>
              <w:left w:val="nil"/>
              <w:bottom w:val="single" w:sz="4" w:space="0" w:color="auto"/>
              <w:right w:val="single" w:sz="4" w:space="0" w:color="auto"/>
            </w:tcBorders>
            <w:shd w:val="clear" w:color="000000" w:fill="CCCCFF"/>
            <w:noWrap/>
            <w:vAlign w:val="bottom"/>
            <w:hideMark/>
          </w:tcPr>
          <w:p w14:paraId="25E7175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285,03</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2D76EC0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35,63%</w:t>
            </w:r>
          </w:p>
        </w:tc>
      </w:tr>
      <w:tr w:rsidR="00416D67" w:rsidRPr="00416D67" w14:paraId="53BCA470"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0C0DBEA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4222" w:type="dxa"/>
            <w:tcBorders>
              <w:top w:val="single" w:sz="4" w:space="0" w:color="auto"/>
              <w:left w:val="nil"/>
              <w:bottom w:val="single" w:sz="4" w:space="0" w:color="auto"/>
              <w:right w:val="single" w:sz="4" w:space="0" w:color="auto"/>
            </w:tcBorders>
            <w:noWrap/>
            <w:vAlign w:val="bottom"/>
            <w:hideMark/>
          </w:tcPr>
          <w:p w14:paraId="0657E4C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275" w:type="dxa"/>
            <w:tcBorders>
              <w:top w:val="single" w:sz="4" w:space="0" w:color="auto"/>
              <w:left w:val="nil"/>
              <w:bottom w:val="single" w:sz="4" w:space="0" w:color="auto"/>
              <w:right w:val="single" w:sz="4" w:space="0" w:color="auto"/>
            </w:tcBorders>
            <w:noWrap/>
            <w:vAlign w:val="bottom"/>
            <w:hideMark/>
          </w:tcPr>
          <w:p w14:paraId="74F0BDD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800,00</w:t>
            </w:r>
          </w:p>
        </w:tc>
        <w:tc>
          <w:tcPr>
            <w:tcW w:w="1418" w:type="dxa"/>
            <w:tcBorders>
              <w:top w:val="single" w:sz="4" w:space="0" w:color="auto"/>
              <w:left w:val="nil"/>
              <w:bottom w:val="single" w:sz="4" w:space="0" w:color="auto"/>
              <w:right w:val="single" w:sz="4" w:space="0" w:color="auto"/>
            </w:tcBorders>
            <w:noWrap/>
            <w:vAlign w:val="bottom"/>
            <w:hideMark/>
          </w:tcPr>
          <w:p w14:paraId="52B0FF7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800,00</w:t>
            </w:r>
          </w:p>
        </w:tc>
        <w:tc>
          <w:tcPr>
            <w:tcW w:w="1276" w:type="dxa"/>
            <w:tcBorders>
              <w:top w:val="single" w:sz="4" w:space="0" w:color="auto"/>
              <w:left w:val="nil"/>
              <w:bottom w:val="single" w:sz="4" w:space="0" w:color="auto"/>
              <w:right w:val="single" w:sz="4" w:space="0" w:color="auto"/>
            </w:tcBorders>
            <w:noWrap/>
            <w:vAlign w:val="bottom"/>
            <w:hideMark/>
          </w:tcPr>
          <w:p w14:paraId="6B4517A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285,03</w:t>
            </w:r>
          </w:p>
        </w:tc>
        <w:tc>
          <w:tcPr>
            <w:tcW w:w="1275" w:type="dxa"/>
            <w:tcBorders>
              <w:top w:val="single" w:sz="4" w:space="0" w:color="auto"/>
              <w:left w:val="nil"/>
              <w:bottom w:val="single" w:sz="4" w:space="0" w:color="auto"/>
              <w:right w:val="single" w:sz="4" w:space="0" w:color="auto"/>
            </w:tcBorders>
            <w:noWrap/>
            <w:vAlign w:val="bottom"/>
            <w:hideMark/>
          </w:tcPr>
          <w:p w14:paraId="54A8331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35,63%</w:t>
            </w:r>
          </w:p>
        </w:tc>
      </w:tr>
      <w:tr w:rsidR="00416D67" w:rsidRPr="00416D67" w14:paraId="226A2E3C"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06FD478A" w14:textId="77777777" w:rsidR="00416D67" w:rsidRPr="00416D67" w:rsidRDefault="00416D67" w:rsidP="00416D67">
            <w:pPr>
              <w:rPr>
                <w:rFonts w:ascii="Arial" w:hAnsi="Arial" w:cs="Arial"/>
                <w:sz w:val="14"/>
                <w:szCs w:val="14"/>
              </w:rPr>
            </w:pPr>
            <w:r w:rsidRPr="00416D67">
              <w:rPr>
                <w:rFonts w:ascii="Arial" w:hAnsi="Arial" w:cs="Arial"/>
                <w:sz w:val="14"/>
                <w:szCs w:val="14"/>
              </w:rPr>
              <w:t>3221</w:t>
            </w:r>
          </w:p>
        </w:tc>
        <w:tc>
          <w:tcPr>
            <w:tcW w:w="4222" w:type="dxa"/>
            <w:tcBorders>
              <w:top w:val="single" w:sz="4" w:space="0" w:color="auto"/>
              <w:left w:val="nil"/>
              <w:bottom w:val="single" w:sz="4" w:space="0" w:color="auto"/>
              <w:right w:val="single" w:sz="4" w:space="0" w:color="auto"/>
            </w:tcBorders>
            <w:noWrap/>
            <w:vAlign w:val="bottom"/>
            <w:hideMark/>
          </w:tcPr>
          <w:p w14:paraId="3DAE2D5C" w14:textId="77777777" w:rsidR="00416D67" w:rsidRPr="00416D67" w:rsidRDefault="00416D67" w:rsidP="00416D67">
            <w:pPr>
              <w:rPr>
                <w:rFonts w:ascii="Arial" w:hAnsi="Arial" w:cs="Arial"/>
                <w:sz w:val="14"/>
                <w:szCs w:val="14"/>
              </w:rPr>
            </w:pPr>
            <w:r w:rsidRPr="00416D67">
              <w:rPr>
                <w:rFonts w:ascii="Arial" w:hAnsi="Arial" w:cs="Arial"/>
                <w:sz w:val="14"/>
                <w:szCs w:val="14"/>
              </w:rPr>
              <w:t>Uredski materijal i ostali materijalni rashodi</w:t>
            </w:r>
          </w:p>
        </w:tc>
        <w:tc>
          <w:tcPr>
            <w:tcW w:w="1275" w:type="dxa"/>
            <w:tcBorders>
              <w:top w:val="single" w:sz="4" w:space="0" w:color="auto"/>
              <w:left w:val="nil"/>
              <w:bottom w:val="single" w:sz="4" w:space="0" w:color="auto"/>
              <w:right w:val="single" w:sz="4" w:space="0" w:color="auto"/>
            </w:tcBorders>
            <w:noWrap/>
            <w:vAlign w:val="bottom"/>
            <w:hideMark/>
          </w:tcPr>
          <w:p w14:paraId="5E0EED0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7DA8E24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52FD1CAD"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285,03</w:t>
            </w:r>
          </w:p>
        </w:tc>
        <w:tc>
          <w:tcPr>
            <w:tcW w:w="1275" w:type="dxa"/>
            <w:tcBorders>
              <w:top w:val="single" w:sz="4" w:space="0" w:color="auto"/>
              <w:left w:val="nil"/>
              <w:bottom w:val="single" w:sz="4" w:space="0" w:color="auto"/>
              <w:right w:val="single" w:sz="4" w:space="0" w:color="auto"/>
            </w:tcBorders>
            <w:noWrap/>
            <w:vAlign w:val="bottom"/>
            <w:hideMark/>
          </w:tcPr>
          <w:p w14:paraId="5341E7E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76C20EA" w14:textId="77777777" w:rsidTr="00BB1392">
        <w:trPr>
          <w:trHeight w:val="195"/>
          <w:jc w:val="center"/>
        </w:trPr>
        <w:tc>
          <w:tcPr>
            <w:tcW w:w="500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E7C78CE"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 Pomoći</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68335BD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468,00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5571B41"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468,00</w:t>
            </w:r>
          </w:p>
        </w:tc>
        <w:tc>
          <w:tcPr>
            <w:tcW w:w="1276" w:type="dxa"/>
            <w:tcBorders>
              <w:top w:val="single" w:sz="4" w:space="0" w:color="auto"/>
              <w:left w:val="nil"/>
              <w:bottom w:val="single" w:sz="4" w:space="0" w:color="auto"/>
              <w:right w:val="single" w:sz="4" w:space="0" w:color="auto"/>
            </w:tcBorders>
            <w:shd w:val="clear" w:color="000000" w:fill="CCCCFF"/>
            <w:noWrap/>
            <w:vAlign w:val="bottom"/>
            <w:hideMark/>
          </w:tcPr>
          <w:p w14:paraId="49BD3F6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374,40</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7C36A53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80,00%</w:t>
            </w:r>
          </w:p>
        </w:tc>
      </w:tr>
      <w:tr w:rsidR="00416D67" w:rsidRPr="00416D67" w14:paraId="2027B08C" w14:textId="77777777" w:rsidTr="00BB1392">
        <w:trPr>
          <w:trHeight w:val="195"/>
          <w:jc w:val="center"/>
        </w:trPr>
        <w:tc>
          <w:tcPr>
            <w:tcW w:w="500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A37A23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5.2. Tekuće pomoći državni proračun PK</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7357502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468,00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7AAD423"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468,00</w:t>
            </w:r>
          </w:p>
        </w:tc>
        <w:tc>
          <w:tcPr>
            <w:tcW w:w="1276" w:type="dxa"/>
            <w:tcBorders>
              <w:top w:val="single" w:sz="4" w:space="0" w:color="auto"/>
              <w:left w:val="nil"/>
              <w:bottom w:val="single" w:sz="4" w:space="0" w:color="auto"/>
              <w:right w:val="single" w:sz="4" w:space="0" w:color="auto"/>
            </w:tcBorders>
            <w:shd w:val="clear" w:color="000000" w:fill="CCCCFF"/>
            <w:noWrap/>
            <w:vAlign w:val="bottom"/>
            <w:hideMark/>
          </w:tcPr>
          <w:p w14:paraId="6F99392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374,40</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643353E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80,00%</w:t>
            </w:r>
          </w:p>
        </w:tc>
      </w:tr>
      <w:tr w:rsidR="00416D67" w:rsidRPr="00416D67" w14:paraId="3CD74657"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2DACB198"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4222" w:type="dxa"/>
            <w:tcBorders>
              <w:top w:val="single" w:sz="4" w:space="0" w:color="auto"/>
              <w:left w:val="nil"/>
              <w:bottom w:val="single" w:sz="4" w:space="0" w:color="auto"/>
              <w:right w:val="single" w:sz="4" w:space="0" w:color="auto"/>
            </w:tcBorders>
            <w:noWrap/>
            <w:vAlign w:val="bottom"/>
            <w:hideMark/>
          </w:tcPr>
          <w:p w14:paraId="5525D9AD"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275" w:type="dxa"/>
            <w:tcBorders>
              <w:top w:val="single" w:sz="4" w:space="0" w:color="auto"/>
              <w:left w:val="nil"/>
              <w:bottom w:val="single" w:sz="4" w:space="0" w:color="auto"/>
              <w:right w:val="single" w:sz="4" w:space="0" w:color="auto"/>
            </w:tcBorders>
            <w:noWrap/>
            <w:vAlign w:val="bottom"/>
            <w:hideMark/>
          </w:tcPr>
          <w:p w14:paraId="281CAA4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468,00</w:t>
            </w:r>
          </w:p>
        </w:tc>
        <w:tc>
          <w:tcPr>
            <w:tcW w:w="1418" w:type="dxa"/>
            <w:tcBorders>
              <w:top w:val="single" w:sz="4" w:space="0" w:color="auto"/>
              <w:left w:val="nil"/>
              <w:bottom w:val="single" w:sz="4" w:space="0" w:color="auto"/>
              <w:right w:val="single" w:sz="4" w:space="0" w:color="auto"/>
            </w:tcBorders>
            <w:noWrap/>
            <w:vAlign w:val="bottom"/>
            <w:hideMark/>
          </w:tcPr>
          <w:p w14:paraId="6EBE076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468,00</w:t>
            </w:r>
          </w:p>
        </w:tc>
        <w:tc>
          <w:tcPr>
            <w:tcW w:w="1276" w:type="dxa"/>
            <w:tcBorders>
              <w:top w:val="single" w:sz="4" w:space="0" w:color="auto"/>
              <w:left w:val="nil"/>
              <w:bottom w:val="single" w:sz="4" w:space="0" w:color="auto"/>
              <w:right w:val="single" w:sz="4" w:space="0" w:color="auto"/>
            </w:tcBorders>
            <w:noWrap/>
            <w:vAlign w:val="bottom"/>
            <w:hideMark/>
          </w:tcPr>
          <w:p w14:paraId="0B2E62B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374,40</w:t>
            </w:r>
          </w:p>
        </w:tc>
        <w:tc>
          <w:tcPr>
            <w:tcW w:w="1275" w:type="dxa"/>
            <w:tcBorders>
              <w:top w:val="single" w:sz="4" w:space="0" w:color="auto"/>
              <w:left w:val="nil"/>
              <w:bottom w:val="single" w:sz="4" w:space="0" w:color="auto"/>
              <w:right w:val="single" w:sz="4" w:space="0" w:color="auto"/>
            </w:tcBorders>
            <w:noWrap/>
            <w:vAlign w:val="bottom"/>
            <w:hideMark/>
          </w:tcPr>
          <w:p w14:paraId="0D8EDD9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80,00%</w:t>
            </w:r>
          </w:p>
        </w:tc>
      </w:tr>
      <w:tr w:rsidR="00416D67" w:rsidRPr="00416D67" w14:paraId="3E9614A8"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29B24DB3" w14:textId="77777777" w:rsidR="00416D67" w:rsidRPr="00416D67" w:rsidRDefault="00416D67" w:rsidP="00416D67">
            <w:pPr>
              <w:rPr>
                <w:rFonts w:ascii="Arial" w:hAnsi="Arial" w:cs="Arial"/>
                <w:sz w:val="14"/>
                <w:szCs w:val="14"/>
              </w:rPr>
            </w:pPr>
            <w:r w:rsidRPr="00416D67">
              <w:rPr>
                <w:rFonts w:ascii="Arial" w:hAnsi="Arial" w:cs="Arial"/>
                <w:sz w:val="14"/>
                <w:szCs w:val="14"/>
              </w:rPr>
              <w:t>3221</w:t>
            </w:r>
          </w:p>
        </w:tc>
        <w:tc>
          <w:tcPr>
            <w:tcW w:w="4222" w:type="dxa"/>
            <w:tcBorders>
              <w:top w:val="single" w:sz="4" w:space="0" w:color="auto"/>
              <w:left w:val="nil"/>
              <w:bottom w:val="single" w:sz="4" w:space="0" w:color="auto"/>
              <w:right w:val="single" w:sz="4" w:space="0" w:color="auto"/>
            </w:tcBorders>
            <w:noWrap/>
            <w:vAlign w:val="bottom"/>
            <w:hideMark/>
          </w:tcPr>
          <w:p w14:paraId="385B9A8E" w14:textId="77777777" w:rsidR="00416D67" w:rsidRPr="00416D67" w:rsidRDefault="00416D67" w:rsidP="00416D67">
            <w:pPr>
              <w:rPr>
                <w:rFonts w:ascii="Arial" w:hAnsi="Arial" w:cs="Arial"/>
                <w:sz w:val="14"/>
                <w:szCs w:val="14"/>
              </w:rPr>
            </w:pPr>
            <w:r w:rsidRPr="00416D67">
              <w:rPr>
                <w:rFonts w:ascii="Arial" w:hAnsi="Arial" w:cs="Arial"/>
                <w:sz w:val="14"/>
                <w:szCs w:val="14"/>
              </w:rPr>
              <w:t>Uredski materijal i ostali materijalni rashodi</w:t>
            </w:r>
          </w:p>
        </w:tc>
        <w:tc>
          <w:tcPr>
            <w:tcW w:w="1275" w:type="dxa"/>
            <w:tcBorders>
              <w:top w:val="single" w:sz="4" w:space="0" w:color="auto"/>
              <w:left w:val="nil"/>
              <w:bottom w:val="single" w:sz="4" w:space="0" w:color="auto"/>
              <w:right w:val="single" w:sz="4" w:space="0" w:color="auto"/>
            </w:tcBorders>
            <w:noWrap/>
            <w:vAlign w:val="bottom"/>
            <w:hideMark/>
          </w:tcPr>
          <w:p w14:paraId="2D44FAD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4A5838B0"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35839A5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374,40</w:t>
            </w:r>
          </w:p>
        </w:tc>
        <w:tc>
          <w:tcPr>
            <w:tcW w:w="1275" w:type="dxa"/>
            <w:tcBorders>
              <w:top w:val="single" w:sz="4" w:space="0" w:color="auto"/>
              <w:left w:val="nil"/>
              <w:bottom w:val="single" w:sz="4" w:space="0" w:color="auto"/>
              <w:right w:val="single" w:sz="4" w:space="0" w:color="auto"/>
            </w:tcBorders>
            <w:noWrap/>
            <w:vAlign w:val="bottom"/>
            <w:hideMark/>
          </w:tcPr>
          <w:p w14:paraId="14C4023A"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4D9E78C8"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EA3439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A100004</w:t>
            </w:r>
          </w:p>
        </w:tc>
        <w:tc>
          <w:tcPr>
            <w:tcW w:w="4222" w:type="dxa"/>
            <w:tcBorders>
              <w:top w:val="single" w:sz="4" w:space="0" w:color="auto"/>
              <w:left w:val="nil"/>
              <w:bottom w:val="single" w:sz="4" w:space="0" w:color="auto"/>
              <w:right w:val="single" w:sz="4" w:space="0" w:color="auto"/>
            </w:tcBorders>
            <w:shd w:val="clear" w:color="000000" w:fill="FFFF99"/>
            <w:noWrap/>
            <w:vAlign w:val="bottom"/>
            <w:hideMark/>
          </w:tcPr>
          <w:p w14:paraId="78654B3A"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Provođenje programa zavičajne nastave</w:t>
            </w:r>
          </w:p>
        </w:tc>
        <w:tc>
          <w:tcPr>
            <w:tcW w:w="1275" w:type="dxa"/>
            <w:tcBorders>
              <w:top w:val="single" w:sz="4" w:space="0" w:color="auto"/>
              <w:left w:val="nil"/>
              <w:bottom w:val="single" w:sz="4" w:space="0" w:color="auto"/>
              <w:right w:val="single" w:sz="4" w:space="0" w:color="auto"/>
            </w:tcBorders>
            <w:shd w:val="clear" w:color="000000" w:fill="FFFF99"/>
            <w:noWrap/>
            <w:vAlign w:val="bottom"/>
            <w:hideMark/>
          </w:tcPr>
          <w:p w14:paraId="6103D99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1.450,00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6BBE864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1.450,00</w:t>
            </w:r>
          </w:p>
        </w:tc>
        <w:tc>
          <w:tcPr>
            <w:tcW w:w="1276" w:type="dxa"/>
            <w:tcBorders>
              <w:top w:val="single" w:sz="4" w:space="0" w:color="auto"/>
              <w:left w:val="nil"/>
              <w:bottom w:val="single" w:sz="4" w:space="0" w:color="auto"/>
              <w:right w:val="single" w:sz="4" w:space="0" w:color="auto"/>
            </w:tcBorders>
            <w:shd w:val="clear" w:color="000000" w:fill="FFFF99"/>
            <w:noWrap/>
            <w:vAlign w:val="bottom"/>
            <w:hideMark/>
          </w:tcPr>
          <w:p w14:paraId="07328CF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1.585,00</w:t>
            </w:r>
          </w:p>
        </w:tc>
        <w:tc>
          <w:tcPr>
            <w:tcW w:w="1275" w:type="dxa"/>
            <w:tcBorders>
              <w:top w:val="single" w:sz="4" w:space="0" w:color="auto"/>
              <w:left w:val="nil"/>
              <w:bottom w:val="single" w:sz="4" w:space="0" w:color="auto"/>
              <w:right w:val="single" w:sz="4" w:space="0" w:color="auto"/>
            </w:tcBorders>
            <w:shd w:val="clear" w:color="000000" w:fill="FFFF99"/>
            <w:noWrap/>
            <w:vAlign w:val="bottom"/>
            <w:hideMark/>
          </w:tcPr>
          <w:p w14:paraId="3956AFAE"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109,31%</w:t>
            </w:r>
          </w:p>
        </w:tc>
      </w:tr>
      <w:tr w:rsidR="00416D67" w:rsidRPr="00416D67" w14:paraId="483C4A89" w14:textId="77777777" w:rsidTr="00BB1392">
        <w:trPr>
          <w:trHeight w:val="195"/>
          <w:jc w:val="center"/>
        </w:trPr>
        <w:tc>
          <w:tcPr>
            <w:tcW w:w="500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38C70F0"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4. Prihodi za posebne namjene</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4DD590B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450,00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51C8030"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450,00</w:t>
            </w:r>
          </w:p>
        </w:tc>
        <w:tc>
          <w:tcPr>
            <w:tcW w:w="1276" w:type="dxa"/>
            <w:tcBorders>
              <w:top w:val="single" w:sz="4" w:space="0" w:color="auto"/>
              <w:left w:val="nil"/>
              <w:bottom w:val="single" w:sz="4" w:space="0" w:color="auto"/>
              <w:right w:val="single" w:sz="4" w:space="0" w:color="auto"/>
            </w:tcBorders>
            <w:shd w:val="clear" w:color="000000" w:fill="CCCCFF"/>
            <w:noWrap/>
            <w:vAlign w:val="bottom"/>
            <w:hideMark/>
          </w:tcPr>
          <w:p w14:paraId="016E7986"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585,00</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0638B31E"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130,00%</w:t>
            </w:r>
          </w:p>
        </w:tc>
      </w:tr>
      <w:tr w:rsidR="00416D67" w:rsidRPr="00416D67" w14:paraId="179F8341" w14:textId="77777777" w:rsidTr="00BB1392">
        <w:trPr>
          <w:trHeight w:val="195"/>
          <w:jc w:val="center"/>
        </w:trPr>
        <w:tc>
          <w:tcPr>
            <w:tcW w:w="500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C04376D"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4.4. Prihodi za posebne PK boravak roditelji i </w:t>
            </w:r>
            <w:proofErr w:type="spellStart"/>
            <w:r w:rsidRPr="00416D67">
              <w:rPr>
                <w:rFonts w:ascii="Arial" w:hAnsi="Arial" w:cs="Arial"/>
                <w:b/>
                <w:bCs/>
                <w:color w:val="333333"/>
                <w:sz w:val="14"/>
                <w:szCs w:val="14"/>
              </w:rPr>
              <w:t>soc.program</w:t>
            </w:r>
            <w:proofErr w:type="spellEnd"/>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58CF406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450,00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1E61678"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450,00</w:t>
            </w:r>
          </w:p>
        </w:tc>
        <w:tc>
          <w:tcPr>
            <w:tcW w:w="1276" w:type="dxa"/>
            <w:tcBorders>
              <w:top w:val="single" w:sz="4" w:space="0" w:color="auto"/>
              <w:left w:val="nil"/>
              <w:bottom w:val="single" w:sz="4" w:space="0" w:color="auto"/>
              <w:right w:val="single" w:sz="4" w:space="0" w:color="auto"/>
            </w:tcBorders>
            <w:shd w:val="clear" w:color="000000" w:fill="CCCCFF"/>
            <w:noWrap/>
            <w:vAlign w:val="bottom"/>
            <w:hideMark/>
          </w:tcPr>
          <w:p w14:paraId="12F8C0C7"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585,00</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6C085B3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130,00%</w:t>
            </w:r>
          </w:p>
        </w:tc>
      </w:tr>
      <w:tr w:rsidR="00416D67" w:rsidRPr="00416D67" w14:paraId="2E629780"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5D7B1247"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4222" w:type="dxa"/>
            <w:tcBorders>
              <w:top w:val="single" w:sz="4" w:space="0" w:color="auto"/>
              <w:left w:val="nil"/>
              <w:bottom w:val="single" w:sz="4" w:space="0" w:color="auto"/>
              <w:right w:val="single" w:sz="4" w:space="0" w:color="auto"/>
            </w:tcBorders>
            <w:noWrap/>
            <w:vAlign w:val="bottom"/>
            <w:hideMark/>
          </w:tcPr>
          <w:p w14:paraId="55791A70"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275" w:type="dxa"/>
            <w:tcBorders>
              <w:top w:val="single" w:sz="4" w:space="0" w:color="auto"/>
              <w:left w:val="nil"/>
              <w:bottom w:val="single" w:sz="4" w:space="0" w:color="auto"/>
              <w:right w:val="single" w:sz="4" w:space="0" w:color="auto"/>
            </w:tcBorders>
            <w:noWrap/>
            <w:vAlign w:val="bottom"/>
            <w:hideMark/>
          </w:tcPr>
          <w:p w14:paraId="21F82311"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450,00</w:t>
            </w:r>
          </w:p>
        </w:tc>
        <w:tc>
          <w:tcPr>
            <w:tcW w:w="1418" w:type="dxa"/>
            <w:tcBorders>
              <w:top w:val="single" w:sz="4" w:space="0" w:color="auto"/>
              <w:left w:val="nil"/>
              <w:bottom w:val="single" w:sz="4" w:space="0" w:color="auto"/>
              <w:right w:val="single" w:sz="4" w:space="0" w:color="auto"/>
            </w:tcBorders>
            <w:noWrap/>
            <w:vAlign w:val="bottom"/>
            <w:hideMark/>
          </w:tcPr>
          <w:p w14:paraId="4765F7A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450,00</w:t>
            </w:r>
          </w:p>
        </w:tc>
        <w:tc>
          <w:tcPr>
            <w:tcW w:w="1276" w:type="dxa"/>
            <w:tcBorders>
              <w:top w:val="single" w:sz="4" w:space="0" w:color="auto"/>
              <w:left w:val="nil"/>
              <w:bottom w:val="single" w:sz="4" w:space="0" w:color="auto"/>
              <w:right w:val="single" w:sz="4" w:space="0" w:color="auto"/>
            </w:tcBorders>
            <w:noWrap/>
            <w:vAlign w:val="bottom"/>
            <w:hideMark/>
          </w:tcPr>
          <w:p w14:paraId="2DD994A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585,00</w:t>
            </w:r>
          </w:p>
        </w:tc>
        <w:tc>
          <w:tcPr>
            <w:tcW w:w="1275" w:type="dxa"/>
            <w:tcBorders>
              <w:top w:val="single" w:sz="4" w:space="0" w:color="auto"/>
              <w:left w:val="nil"/>
              <w:bottom w:val="single" w:sz="4" w:space="0" w:color="auto"/>
              <w:right w:val="single" w:sz="4" w:space="0" w:color="auto"/>
            </w:tcBorders>
            <w:noWrap/>
            <w:vAlign w:val="bottom"/>
            <w:hideMark/>
          </w:tcPr>
          <w:p w14:paraId="0F28E194"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130,00%</w:t>
            </w:r>
          </w:p>
        </w:tc>
      </w:tr>
      <w:tr w:rsidR="00416D67" w:rsidRPr="00416D67" w14:paraId="2E9FE94E"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175ACDD6" w14:textId="77777777" w:rsidR="00416D67" w:rsidRPr="00416D67" w:rsidRDefault="00416D67" w:rsidP="00416D67">
            <w:pPr>
              <w:rPr>
                <w:rFonts w:ascii="Arial" w:hAnsi="Arial" w:cs="Arial"/>
                <w:sz w:val="14"/>
                <w:szCs w:val="14"/>
              </w:rPr>
            </w:pPr>
            <w:r w:rsidRPr="00416D67">
              <w:rPr>
                <w:rFonts w:ascii="Arial" w:hAnsi="Arial" w:cs="Arial"/>
                <w:sz w:val="14"/>
                <w:szCs w:val="14"/>
              </w:rPr>
              <w:t>3231</w:t>
            </w:r>
          </w:p>
        </w:tc>
        <w:tc>
          <w:tcPr>
            <w:tcW w:w="4222" w:type="dxa"/>
            <w:tcBorders>
              <w:top w:val="single" w:sz="4" w:space="0" w:color="auto"/>
              <w:left w:val="nil"/>
              <w:bottom w:val="single" w:sz="4" w:space="0" w:color="auto"/>
              <w:right w:val="single" w:sz="4" w:space="0" w:color="auto"/>
            </w:tcBorders>
            <w:noWrap/>
            <w:vAlign w:val="bottom"/>
            <w:hideMark/>
          </w:tcPr>
          <w:p w14:paraId="11975766" w14:textId="77777777" w:rsidR="00416D67" w:rsidRPr="00416D67" w:rsidRDefault="00416D67" w:rsidP="00416D67">
            <w:pPr>
              <w:rPr>
                <w:rFonts w:ascii="Arial" w:hAnsi="Arial" w:cs="Arial"/>
                <w:sz w:val="14"/>
                <w:szCs w:val="14"/>
              </w:rPr>
            </w:pPr>
            <w:r w:rsidRPr="00416D67">
              <w:rPr>
                <w:rFonts w:ascii="Arial" w:hAnsi="Arial" w:cs="Arial"/>
                <w:sz w:val="14"/>
                <w:szCs w:val="14"/>
              </w:rPr>
              <w:t>Usluge telefona, interneta, pošte i prijevoza</w:t>
            </w:r>
          </w:p>
        </w:tc>
        <w:tc>
          <w:tcPr>
            <w:tcW w:w="1275" w:type="dxa"/>
            <w:tcBorders>
              <w:top w:val="single" w:sz="4" w:space="0" w:color="auto"/>
              <w:left w:val="nil"/>
              <w:bottom w:val="single" w:sz="4" w:space="0" w:color="auto"/>
              <w:right w:val="single" w:sz="4" w:space="0" w:color="auto"/>
            </w:tcBorders>
            <w:noWrap/>
            <w:vAlign w:val="bottom"/>
            <w:hideMark/>
          </w:tcPr>
          <w:p w14:paraId="7600908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0EB6BA1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130E76E7"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585,00</w:t>
            </w:r>
          </w:p>
        </w:tc>
        <w:tc>
          <w:tcPr>
            <w:tcW w:w="1275" w:type="dxa"/>
            <w:tcBorders>
              <w:top w:val="single" w:sz="4" w:space="0" w:color="auto"/>
              <w:left w:val="nil"/>
              <w:bottom w:val="single" w:sz="4" w:space="0" w:color="auto"/>
              <w:right w:val="single" w:sz="4" w:space="0" w:color="auto"/>
            </w:tcBorders>
            <w:noWrap/>
            <w:vAlign w:val="bottom"/>
            <w:hideMark/>
          </w:tcPr>
          <w:p w14:paraId="2CF42E4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E2D19FE" w14:textId="77777777" w:rsidTr="00BB1392">
        <w:trPr>
          <w:trHeight w:val="195"/>
          <w:jc w:val="center"/>
        </w:trPr>
        <w:tc>
          <w:tcPr>
            <w:tcW w:w="500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7C61FD1"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5. Pomoći</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16BF5D8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4674049F"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w:t>
            </w:r>
          </w:p>
        </w:tc>
        <w:tc>
          <w:tcPr>
            <w:tcW w:w="1276" w:type="dxa"/>
            <w:tcBorders>
              <w:top w:val="single" w:sz="4" w:space="0" w:color="auto"/>
              <w:left w:val="nil"/>
              <w:bottom w:val="single" w:sz="4" w:space="0" w:color="auto"/>
              <w:right w:val="single" w:sz="4" w:space="0" w:color="auto"/>
            </w:tcBorders>
            <w:shd w:val="clear" w:color="000000" w:fill="CCCCFF"/>
            <w:noWrap/>
            <w:vAlign w:val="bottom"/>
            <w:hideMark/>
          </w:tcPr>
          <w:p w14:paraId="6BE215E9"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5B6F76C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326AB473" w14:textId="77777777" w:rsidTr="00BB1392">
        <w:trPr>
          <w:trHeight w:val="195"/>
          <w:jc w:val="center"/>
        </w:trPr>
        <w:tc>
          <w:tcPr>
            <w:tcW w:w="500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34B13B9"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 xml:space="preserve">Izvor 5.4. Tekuće pomoći PK JLP(R)S </w:t>
            </w:r>
            <w:proofErr w:type="spellStart"/>
            <w:r w:rsidRPr="00416D67">
              <w:rPr>
                <w:rFonts w:ascii="Arial" w:hAnsi="Arial" w:cs="Arial"/>
                <w:b/>
                <w:bCs/>
                <w:color w:val="333333"/>
                <w:sz w:val="14"/>
                <w:szCs w:val="14"/>
              </w:rPr>
              <w:t>Ist.županija</w:t>
            </w:r>
            <w:proofErr w:type="spellEnd"/>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724049A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2756039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w:t>
            </w:r>
          </w:p>
        </w:tc>
        <w:tc>
          <w:tcPr>
            <w:tcW w:w="1276" w:type="dxa"/>
            <w:tcBorders>
              <w:top w:val="single" w:sz="4" w:space="0" w:color="auto"/>
              <w:left w:val="nil"/>
              <w:bottom w:val="single" w:sz="4" w:space="0" w:color="auto"/>
              <w:right w:val="single" w:sz="4" w:space="0" w:color="auto"/>
            </w:tcBorders>
            <w:shd w:val="clear" w:color="000000" w:fill="CCCCFF"/>
            <w:noWrap/>
            <w:vAlign w:val="bottom"/>
            <w:hideMark/>
          </w:tcPr>
          <w:p w14:paraId="29D41E02"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1.000,00</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498FF304"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100,00%</w:t>
            </w:r>
          </w:p>
        </w:tc>
      </w:tr>
      <w:tr w:rsidR="00416D67" w:rsidRPr="00416D67" w14:paraId="35E7EA8F"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42996B01"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4222" w:type="dxa"/>
            <w:tcBorders>
              <w:top w:val="single" w:sz="4" w:space="0" w:color="auto"/>
              <w:left w:val="nil"/>
              <w:bottom w:val="single" w:sz="4" w:space="0" w:color="auto"/>
              <w:right w:val="single" w:sz="4" w:space="0" w:color="auto"/>
            </w:tcBorders>
            <w:noWrap/>
            <w:vAlign w:val="bottom"/>
            <w:hideMark/>
          </w:tcPr>
          <w:p w14:paraId="12AAED4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275" w:type="dxa"/>
            <w:tcBorders>
              <w:top w:val="single" w:sz="4" w:space="0" w:color="auto"/>
              <w:left w:val="nil"/>
              <w:bottom w:val="single" w:sz="4" w:space="0" w:color="auto"/>
              <w:right w:val="single" w:sz="4" w:space="0" w:color="auto"/>
            </w:tcBorders>
            <w:noWrap/>
            <w:vAlign w:val="bottom"/>
            <w:hideMark/>
          </w:tcPr>
          <w:p w14:paraId="425E0740"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1418" w:type="dxa"/>
            <w:tcBorders>
              <w:top w:val="single" w:sz="4" w:space="0" w:color="auto"/>
              <w:left w:val="nil"/>
              <w:bottom w:val="single" w:sz="4" w:space="0" w:color="auto"/>
              <w:right w:val="single" w:sz="4" w:space="0" w:color="auto"/>
            </w:tcBorders>
            <w:noWrap/>
            <w:vAlign w:val="bottom"/>
            <w:hideMark/>
          </w:tcPr>
          <w:p w14:paraId="2C48F426"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1276" w:type="dxa"/>
            <w:tcBorders>
              <w:top w:val="single" w:sz="4" w:space="0" w:color="auto"/>
              <w:left w:val="nil"/>
              <w:bottom w:val="single" w:sz="4" w:space="0" w:color="auto"/>
              <w:right w:val="single" w:sz="4" w:space="0" w:color="auto"/>
            </w:tcBorders>
            <w:noWrap/>
            <w:vAlign w:val="bottom"/>
            <w:hideMark/>
          </w:tcPr>
          <w:p w14:paraId="05CB1DBD"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1.000,00</w:t>
            </w:r>
          </w:p>
        </w:tc>
        <w:tc>
          <w:tcPr>
            <w:tcW w:w="1275" w:type="dxa"/>
            <w:tcBorders>
              <w:top w:val="single" w:sz="4" w:space="0" w:color="auto"/>
              <w:left w:val="nil"/>
              <w:bottom w:val="single" w:sz="4" w:space="0" w:color="auto"/>
              <w:right w:val="single" w:sz="4" w:space="0" w:color="auto"/>
            </w:tcBorders>
            <w:noWrap/>
            <w:vAlign w:val="bottom"/>
            <w:hideMark/>
          </w:tcPr>
          <w:p w14:paraId="5C409D85"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100,00%</w:t>
            </w:r>
          </w:p>
        </w:tc>
      </w:tr>
      <w:tr w:rsidR="00416D67" w:rsidRPr="00416D67" w14:paraId="3141AA9F"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1D1E315D" w14:textId="77777777" w:rsidR="00416D67" w:rsidRPr="00416D67" w:rsidRDefault="00416D67" w:rsidP="00416D67">
            <w:pPr>
              <w:rPr>
                <w:rFonts w:ascii="Arial" w:hAnsi="Arial" w:cs="Arial"/>
                <w:sz w:val="14"/>
                <w:szCs w:val="14"/>
              </w:rPr>
            </w:pPr>
            <w:r w:rsidRPr="00416D67">
              <w:rPr>
                <w:rFonts w:ascii="Arial" w:hAnsi="Arial" w:cs="Arial"/>
                <w:sz w:val="14"/>
                <w:szCs w:val="14"/>
              </w:rPr>
              <w:t>3233</w:t>
            </w:r>
          </w:p>
        </w:tc>
        <w:tc>
          <w:tcPr>
            <w:tcW w:w="4222" w:type="dxa"/>
            <w:tcBorders>
              <w:top w:val="single" w:sz="4" w:space="0" w:color="auto"/>
              <w:left w:val="nil"/>
              <w:bottom w:val="single" w:sz="4" w:space="0" w:color="auto"/>
              <w:right w:val="single" w:sz="4" w:space="0" w:color="auto"/>
            </w:tcBorders>
            <w:noWrap/>
            <w:vAlign w:val="bottom"/>
            <w:hideMark/>
          </w:tcPr>
          <w:p w14:paraId="2A588637" w14:textId="77777777" w:rsidR="00416D67" w:rsidRPr="00416D67" w:rsidRDefault="00416D67" w:rsidP="00416D67">
            <w:pPr>
              <w:rPr>
                <w:rFonts w:ascii="Arial" w:hAnsi="Arial" w:cs="Arial"/>
                <w:sz w:val="14"/>
                <w:szCs w:val="14"/>
              </w:rPr>
            </w:pPr>
            <w:r w:rsidRPr="00416D67">
              <w:rPr>
                <w:rFonts w:ascii="Arial" w:hAnsi="Arial" w:cs="Arial"/>
                <w:sz w:val="14"/>
                <w:szCs w:val="14"/>
              </w:rPr>
              <w:t>Usluge promidžbe i informiranja</w:t>
            </w:r>
          </w:p>
        </w:tc>
        <w:tc>
          <w:tcPr>
            <w:tcW w:w="1275" w:type="dxa"/>
            <w:tcBorders>
              <w:top w:val="single" w:sz="4" w:space="0" w:color="auto"/>
              <w:left w:val="nil"/>
              <w:bottom w:val="single" w:sz="4" w:space="0" w:color="auto"/>
              <w:right w:val="single" w:sz="4" w:space="0" w:color="auto"/>
            </w:tcBorders>
            <w:noWrap/>
            <w:vAlign w:val="bottom"/>
            <w:hideMark/>
          </w:tcPr>
          <w:p w14:paraId="2121C61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27BA5A7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332C905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1.000,00</w:t>
            </w:r>
          </w:p>
        </w:tc>
        <w:tc>
          <w:tcPr>
            <w:tcW w:w="1275" w:type="dxa"/>
            <w:tcBorders>
              <w:top w:val="single" w:sz="4" w:space="0" w:color="auto"/>
              <w:left w:val="nil"/>
              <w:bottom w:val="single" w:sz="4" w:space="0" w:color="auto"/>
              <w:right w:val="single" w:sz="4" w:space="0" w:color="auto"/>
            </w:tcBorders>
            <w:noWrap/>
            <w:vAlign w:val="bottom"/>
            <w:hideMark/>
          </w:tcPr>
          <w:p w14:paraId="4FA96983"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5A2825F8"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F3B5C0B"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A100009</w:t>
            </w:r>
          </w:p>
        </w:tc>
        <w:tc>
          <w:tcPr>
            <w:tcW w:w="4222" w:type="dxa"/>
            <w:tcBorders>
              <w:top w:val="single" w:sz="4" w:space="0" w:color="auto"/>
              <w:left w:val="nil"/>
              <w:bottom w:val="single" w:sz="4" w:space="0" w:color="auto"/>
              <w:right w:val="single" w:sz="4" w:space="0" w:color="auto"/>
            </w:tcBorders>
            <w:shd w:val="clear" w:color="000000" w:fill="FFFF99"/>
            <w:noWrap/>
            <w:vAlign w:val="bottom"/>
            <w:hideMark/>
          </w:tcPr>
          <w:p w14:paraId="6346FA5F"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Aktivnost: Priprema obroka za vanjske korisnike</w:t>
            </w:r>
          </w:p>
        </w:tc>
        <w:tc>
          <w:tcPr>
            <w:tcW w:w="1275" w:type="dxa"/>
            <w:tcBorders>
              <w:top w:val="single" w:sz="4" w:space="0" w:color="auto"/>
              <w:left w:val="nil"/>
              <w:bottom w:val="single" w:sz="4" w:space="0" w:color="auto"/>
              <w:right w:val="single" w:sz="4" w:space="0" w:color="auto"/>
            </w:tcBorders>
            <w:shd w:val="clear" w:color="000000" w:fill="FFFF99"/>
            <w:noWrap/>
            <w:vAlign w:val="bottom"/>
            <w:hideMark/>
          </w:tcPr>
          <w:p w14:paraId="34FFE953"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28.000,00</w:t>
            </w:r>
          </w:p>
        </w:tc>
        <w:tc>
          <w:tcPr>
            <w:tcW w:w="1418" w:type="dxa"/>
            <w:tcBorders>
              <w:top w:val="single" w:sz="4" w:space="0" w:color="auto"/>
              <w:left w:val="nil"/>
              <w:bottom w:val="single" w:sz="4" w:space="0" w:color="auto"/>
              <w:right w:val="single" w:sz="4" w:space="0" w:color="auto"/>
            </w:tcBorders>
            <w:shd w:val="clear" w:color="000000" w:fill="FFFF99"/>
            <w:noWrap/>
            <w:vAlign w:val="bottom"/>
            <w:hideMark/>
          </w:tcPr>
          <w:p w14:paraId="58A6F4A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28.000,00</w:t>
            </w:r>
          </w:p>
        </w:tc>
        <w:tc>
          <w:tcPr>
            <w:tcW w:w="1276" w:type="dxa"/>
            <w:tcBorders>
              <w:top w:val="single" w:sz="4" w:space="0" w:color="auto"/>
              <w:left w:val="nil"/>
              <w:bottom w:val="single" w:sz="4" w:space="0" w:color="auto"/>
              <w:right w:val="single" w:sz="4" w:space="0" w:color="auto"/>
            </w:tcBorders>
            <w:shd w:val="clear" w:color="000000" w:fill="FFFF99"/>
            <w:noWrap/>
            <w:vAlign w:val="bottom"/>
            <w:hideMark/>
          </w:tcPr>
          <w:p w14:paraId="1805CE1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27.404,40</w:t>
            </w:r>
          </w:p>
        </w:tc>
        <w:tc>
          <w:tcPr>
            <w:tcW w:w="1275" w:type="dxa"/>
            <w:tcBorders>
              <w:top w:val="single" w:sz="4" w:space="0" w:color="auto"/>
              <w:left w:val="nil"/>
              <w:bottom w:val="single" w:sz="4" w:space="0" w:color="auto"/>
              <w:right w:val="single" w:sz="4" w:space="0" w:color="auto"/>
            </w:tcBorders>
            <w:shd w:val="clear" w:color="000000" w:fill="FFFF99"/>
            <w:noWrap/>
            <w:vAlign w:val="bottom"/>
            <w:hideMark/>
          </w:tcPr>
          <w:p w14:paraId="31C127FF"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97,87%</w:t>
            </w:r>
          </w:p>
        </w:tc>
      </w:tr>
      <w:tr w:rsidR="00416D67" w:rsidRPr="00416D67" w14:paraId="3A78F4B9" w14:textId="77777777" w:rsidTr="00BB1392">
        <w:trPr>
          <w:trHeight w:val="195"/>
          <w:jc w:val="center"/>
        </w:trPr>
        <w:tc>
          <w:tcPr>
            <w:tcW w:w="500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1458E1C"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3. Vlastiti prihodi</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74699B0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28.000,00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126DCAC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28.000,00</w:t>
            </w:r>
          </w:p>
        </w:tc>
        <w:tc>
          <w:tcPr>
            <w:tcW w:w="1276" w:type="dxa"/>
            <w:tcBorders>
              <w:top w:val="single" w:sz="4" w:space="0" w:color="auto"/>
              <w:left w:val="nil"/>
              <w:bottom w:val="single" w:sz="4" w:space="0" w:color="auto"/>
              <w:right w:val="single" w:sz="4" w:space="0" w:color="auto"/>
            </w:tcBorders>
            <w:shd w:val="clear" w:color="000000" w:fill="CCCCFF"/>
            <w:noWrap/>
            <w:vAlign w:val="bottom"/>
            <w:hideMark/>
          </w:tcPr>
          <w:p w14:paraId="1909807A"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27.404,40</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1C927AA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97,87%</w:t>
            </w:r>
          </w:p>
        </w:tc>
      </w:tr>
      <w:tr w:rsidR="00416D67" w:rsidRPr="00416D67" w14:paraId="1240072B" w14:textId="77777777" w:rsidTr="00BB1392">
        <w:trPr>
          <w:trHeight w:val="195"/>
          <w:jc w:val="center"/>
        </w:trPr>
        <w:tc>
          <w:tcPr>
            <w:tcW w:w="500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D5127AF" w14:textId="77777777" w:rsidR="00416D67" w:rsidRPr="00416D67" w:rsidRDefault="00416D67" w:rsidP="00416D67">
            <w:pPr>
              <w:rPr>
                <w:rFonts w:ascii="Arial" w:hAnsi="Arial" w:cs="Arial"/>
                <w:b/>
                <w:bCs/>
                <w:color w:val="333333"/>
                <w:sz w:val="14"/>
                <w:szCs w:val="14"/>
              </w:rPr>
            </w:pPr>
            <w:r w:rsidRPr="00416D67">
              <w:rPr>
                <w:rFonts w:ascii="Arial" w:hAnsi="Arial" w:cs="Arial"/>
                <w:b/>
                <w:bCs/>
                <w:color w:val="333333"/>
                <w:sz w:val="14"/>
                <w:szCs w:val="14"/>
              </w:rPr>
              <w:t>Izvor 3.4. Vlastiti prihodi PK</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3D6C538B"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28.000,00</w:t>
            </w:r>
          </w:p>
        </w:tc>
        <w:tc>
          <w:tcPr>
            <w:tcW w:w="1418" w:type="dxa"/>
            <w:tcBorders>
              <w:top w:val="single" w:sz="4" w:space="0" w:color="auto"/>
              <w:left w:val="nil"/>
              <w:bottom w:val="single" w:sz="4" w:space="0" w:color="auto"/>
              <w:right w:val="single" w:sz="4" w:space="0" w:color="auto"/>
            </w:tcBorders>
            <w:shd w:val="clear" w:color="000000" w:fill="CCCCFF"/>
            <w:noWrap/>
            <w:vAlign w:val="bottom"/>
            <w:hideMark/>
          </w:tcPr>
          <w:p w14:paraId="7FCDD5B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28.000,00</w:t>
            </w:r>
          </w:p>
        </w:tc>
        <w:tc>
          <w:tcPr>
            <w:tcW w:w="1276" w:type="dxa"/>
            <w:tcBorders>
              <w:top w:val="single" w:sz="4" w:space="0" w:color="auto"/>
              <w:left w:val="nil"/>
              <w:bottom w:val="single" w:sz="4" w:space="0" w:color="auto"/>
              <w:right w:val="single" w:sz="4" w:space="0" w:color="auto"/>
            </w:tcBorders>
            <w:shd w:val="clear" w:color="000000" w:fill="CCCCFF"/>
            <w:noWrap/>
            <w:vAlign w:val="bottom"/>
            <w:hideMark/>
          </w:tcPr>
          <w:p w14:paraId="168C7545"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27.404,40</w:t>
            </w:r>
          </w:p>
        </w:tc>
        <w:tc>
          <w:tcPr>
            <w:tcW w:w="1275" w:type="dxa"/>
            <w:tcBorders>
              <w:top w:val="single" w:sz="4" w:space="0" w:color="auto"/>
              <w:left w:val="nil"/>
              <w:bottom w:val="single" w:sz="4" w:space="0" w:color="auto"/>
              <w:right w:val="single" w:sz="4" w:space="0" w:color="auto"/>
            </w:tcBorders>
            <w:shd w:val="clear" w:color="000000" w:fill="CCCCFF"/>
            <w:noWrap/>
            <w:vAlign w:val="bottom"/>
            <w:hideMark/>
          </w:tcPr>
          <w:p w14:paraId="257B9CED" w14:textId="77777777" w:rsidR="00416D67" w:rsidRPr="00416D67" w:rsidRDefault="00416D67" w:rsidP="00416D67">
            <w:pPr>
              <w:jc w:val="right"/>
              <w:rPr>
                <w:rFonts w:ascii="Arial" w:hAnsi="Arial" w:cs="Arial"/>
                <w:b/>
                <w:bCs/>
                <w:color w:val="333333"/>
                <w:sz w:val="14"/>
                <w:szCs w:val="14"/>
              </w:rPr>
            </w:pPr>
            <w:r w:rsidRPr="00416D67">
              <w:rPr>
                <w:rFonts w:ascii="Arial" w:hAnsi="Arial" w:cs="Arial"/>
                <w:b/>
                <w:bCs/>
                <w:color w:val="333333"/>
                <w:sz w:val="14"/>
                <w:szCs w:val="14"/>
              </w:rPr>
              <w:t>97,87%</w:t>
            </w:r>
          </w:p>
        </w:tc>
      </w:tr>
      <w:tr w:rsidR="00416D67" w:rsidRPr="00416D67" w14:paraId="2AFE0FF1"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3D5FB2A5"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32</w:t>
            </w:r>
          </w:p>
        </w:tc>
        <w:tc>
          <w:tcPr>
            <w:tcW w:w="4222" w:type="dxa"/>
            <w:tcBorders>
              <w:top w:val="single" w:sz="4" w:space="0" w:color="auto"/>
              <w:left w:val="nil"/>
              <w:bottom w:val="single" w:sz="4" w:space="0" w:color="auto"/>
              <w:right w:val="single" w:sz="4" w:space="0" w:color="auto"/>
            </w:tcBorders>
            <w:noWrap/>
            <w:vAlign w:val="bottom"/>
            <w:hideMark/>
          </w:tcPr>
          <w:p w14:paraId="1B553C5C" w14:textId="77777777" w:rsidR="00416D67" w:rsidRPr="00416D67" w:rsidRDefault="00416D67" w:rsidP="00416D67">
            <w:pPr>
              <w:rPr>
                <w:rFonts w:ascii="Arial" w:hAnsi="Arial" w:cs="Arial"/>
                <w:b/>
                <w:bCs/>
                <w:sz w:val="14"/>
                <w:szCs w:val="14"/>
              </w:rPr>
            </w:pPr>
            <w:r w:rsidRPr="00416D67">
              <w:rPr>
                <w:rFonts w:ascii="Arial" w:hAnsi="Arial" w:cs="Arial"/>
                <w:b/>
                <w:bCs/>
                <w:sz w:val="14"/>
                <w:szCs w:val="14"/>
              </w:rPr>
              <w:t>Materijalni rashodi</w:t>
            </w:r>
          </w:p>
        </w:tc>
        <w:tc>
          <w:tcPr>
            <w:tcW w:w="1275" w:type="dxa"/>
            <w:tcBorders>
              <w:top w:val="single" w:sz="4" w:space="0" w:color="auto"/>
              <w:left w:val="nil"/>
              <w:bottom w:val="single" w:sz="4" w:space="0" w:color="auto"/>
              <w:right w:val="single" w:sz="4" w:space="0" w:color="auto"/>
            </w:tcBorders>
            <w:noWrap/>
            <w:vAlign w:val="bottom"/>
            <w:hideMark/>
          </w:tcPr>
          <w:p w14:paraId="2FF955C9"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28.000,00</w:t>
            </w:r>
          </w:p>
        </w:tc>
        <w:tc>
          <w:tcPr>
            <w:tcW w:w="1418" w:type="dxa"/>
            <w:tcBorders>
              <w:top w:val="single" w:sz="4" w:space="0" w:color="auto"/>
              <w:left w:val="nil"/>
              <w:bottom w:val="single" w:sz="4" w:space="0" w:color="auto"/>
              <w:right w:val="single" w:sz="4" w:space="0" w:color="auto"/>
            </w:tcBorders>
            <w:noWrap/>
            <w:vAlign w:val="bottom"/>
            <w:hideMark/>
          </w:tcPr>
          <w:p w14:paraId="0B5CDAFC"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28.000,00</w:t>
            </w:r>
          </w:p>
        </w:tc>
        <w:tc>
          <w:tcPr>
            <w:tcW w:w="1276" w:type="dxa"/>
            <w:tcBorders>
              <w:top w:val="single" w:sz="4" w:space="0" w:color="auto"/>
              <w:left w:val="nil"/>
              <w:bottom w:val="single" w:sz="4" w:space="0" w:color="auto"/>
              <w:right w:val="single" w:sz="4" w:space="0" w:color="auto"/>
            </w:tcBorders>
            <w:noWrap/>
            <w:vAlign w:val="bottom"/>
            <w:hideMark/>
          </w:tcPr>
          <w:p w14:paraId="0449BCA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27.404,40</w:t>
            </w:r>
          </w:p>
        </w:tc>
        <w:tc>
          <w:tcPr>
            <w:tcW w:w="1275" w:type="dxa"/>
            <w:tcBorders>
              <w:top w:val="single" w:sz="4" w:space="0" w:color="auto"/>
              <w:left w:val="nil"/>
              <w:bottom w:val="single" w:sz="4" w:space="0" w:color="auto"/>
              <w:right w:val="single" w:sz="4" w:space="0" w:color="auto"/>
            </w:tcBorders>
            <w:noWrap/>
            <w:vAlign w:val="bottom"/>
            <w:hideMark/>
          </w:tcPr>
          <w:p w14:paraId="1BD73AF8" w14:textId="77777777" w:rsidR="00416D67" w:rsidRPr="00416D67" w:rsidRDefault="00416D67" w:rsidP="00416D67">
            <w:pPr>
              <w:jc w:val="right"/>
              <w:rPr>
                <w:rFonts w:ascii="Arial" w:hAnsi="Arial" w:cs="Arial"/>
                <w:b/>
                <w:bCs/>
                <w:sz w:val="14"/>
                <w:szCs w:val="14"/>
              </w:rPr>
            </w:pPr>
            <w:r w:rsidRPr="00416D67">
              <w:rPr>
                <w:rFonts w:ascii="Arial" w:hAnsi="Arial" w:cs="Arial"/>
                <w:b/>
                <w:bCs/>
                <w:sz w:val="14"/>
                <w:szCs w:val="14"/>
              </w:rPr>
              <w:t>97,87%</w:t>
            </w:r>
          </w:p>
        </w:tc>
      </w:tr>
      <w:tr w:rsidR="00416D67" w:rsidRPr="00416D67" w14:paraId="19CA6868"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6FB64DD7" w14:textId="77777777" w:rsidR="00416D67" w:rsidRPr="00416D67" w:rsidRDefault="00416D67" w:rsidP="00416D67">
            <w:pPr>
              <w:rPr>
                <w:rFonts w:ascii="Arial" w:hAnsi="Arial" w:cs="Arial"/>
                <w:sz w:val="14"/>
                <w:szCs w:val="14"/>
              </w:rPr>
            </w:pPr>
            <w:r w:rsidRPr="00416D67">
              <w:rPr>
                <w:rFonts w:ascii="Arial" w:hAnsi="Arial" w:cs="Arial"/>
                <w:sz w:val="14"/>
                <w:szCs w:val="14"/>
              </w:rPr>
              <w:t>3222</w:t>
            </w:r>
          </w:p>
        </w:tc>
        <w:tc>
          <w:tcPr>
            <w:tcW w:w="4222" w:type="dxa"/>
            <w:tcBorders>
              <w:top w:val="single" w:sz="4" w:space="0" w:color="auto"/>
              <w:left w:val="nil"/>
              <w:bottom w:val="single" w:sz="4" w:space="0" w:color="auto"/>
              <w:right w:val="single" w:sz="4" w:space="0" w:color="auto"/>
            </w:tcBorders>
            <w:noWrap/>
            <w:vAlign w:val="bottom"/>
            <w:hideMark/>
          </w:tcPr>
          <w:p w14:paraId="3FD52146" w14:textId="77777777" w:rsidR="00416D67" w:rsidRPr="00416D67" w:rsidRDefault="00416D67" w:rsidP="00416D67">
            <w:pPr>
              <w:rPr>
                <w:rFonts w:ascii="Arial" w:hAnsi="Arial" w:cs="Arial"/>
                <w:sz w:val="14"/>
                <w:szCs w:val="14"/>
              </w:rPr>
            </w:pPr>
            <w:r w:rsidRPr="00416D67">
              <w:rPr>
                <w:rFonts w:ascii="Arial" w:hAnsi="Arial" w:cs="Arial"/>
                <w:sz w:val="14"/>
                <w:szCs w:val="14"/>
              </w:rPr>
              <w:t>Materijal i sirovine</w:t>
            </w:r>
          </w:p>
        </w:tc>
        <w:tc>
          <w:tcPr>
            <w:tcW w:w="1275" w:type="dxa"/>
            <w:tcBorders>
              <w:top w:val="single" w:sz="4" w:space="0" w:color="auto"/>
              <w:left w:val="nil"/>
              <w:bottom w:val="single" w:sz="4" w:space="0" w:color="auto"/>
              <w:right w:val="single" w:sz="4" w:space="0" w:color="auto"/>
            </w:tcBorders>
            <w:noWrap/>
            <w:vAlign w:val="bottom"/>
            <w:hideMark/>
          </w:tcPr>
          <w:p w14:paraId="6E6A511F"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7FB6F22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287548A5"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27.288,73</w:t>
            </w:r>
          </w:p>
        </w:tc>
        <w:tc>
          <w:tcPr>
            <w:tcW w:w="1275" w:type="dxa"/>
            <w:tcBorders>
              <w:top w:val="single" w:sz="4" w:space="0" w:color="auto"/>
              <w:left w:val="nil"/>
              <w:bottom w:val="single" w:sz="4" w:space="0" w:color="auto"/>
              <w:right w:val="single" w:sz="4" w:space="0" w:color="auto"/>
            </w:tcBorders>
            <w:noWrap/>
            <w:vAlign w:val="bottom"/>
            <w:hideMark/>
          </w:tcPr>
          <w:p w14:paraId="3670A08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r w:rsidR="00416D67" w:rsidRPr="00416D67" w14:paraId="291F2F01" w14:textId="77777777" w:rsidTr="00BB1392">
        <w:trPr>
          <w:trHeight w:val="195"/>
          <w:jc w:val="center"/>
        </w:trPr>
        <w:tc>
          <w:tcPr>
            <w:tcW w:w="785" w:type="dxa"/>
            <w:tcBorders>
              <w:top w:val="single" w:sz="4" w:space="0" w:color="auto"/>
              <w:left w:val="single" w:sz="4" w:space="0" w:color="auto"/>
              <w:bottom w:val="single" w:sz="4" w:space="0" w:color="auto"/>
              <w:right w:val="single" w:sz="4" w:space="0" w:color="auto"/>
            </w:tcBorders>
            <w:noWrap/>
            <w:vAlign w:val="bottom"/>
            <w:hideMark/>
          </w:tcPr>
          <w:p w14:paraId="051414B5" w14:textId="77777777" w:rsidR="00416D67" w:rsidRPr="00416D67" w:rsidRDefault="00416D67" w:rsidP="00416D67">
            <w:pPr>
              <w:rPr>
                <w:rFonts w:ascii="Arial" w:hAnsi="Arial" w:cs="Arial"/>
                <w:sz w:val="14"/>
                <w:szCs w:val="14"/>
              </w:rPr>
            </w:pPr>
            <w:r w:rsidRPr="00416D67">
              <w:rPr>
                <w:rFonts w:ascii="Arial" w:hAnsi="Arial" w:cs="Arial"/>
                <w:sz w:val="14"/>
                <w:szCs w:val="14"/>
              </w:rPr>
              <w:t>3223</w:t>
            </w:r>
          </w:p>
        </w:tc>
        <w:tc>
          <w:tcPr>
            <w:tcW w:w="4222" w:type="dxa"/>
            <w:tcBorders>
              <w:top w:val="single" w:sz="4" w:space="0" w:color="auto"/>
              <w:left w:val="nil"/>
              <w:bottom w:val="single" w:sz="4" w:space="0" w:color="auto"/>
              <w:right w:val="single" w:sz="4" w:space="0" w:color="auto"/>
            </w:tcBorders>
            <w:noWrap/>
            <w:vAlign w:val="bottom"/>
            <w:hideMark/>
          </w:tcPr>
          <w:p w14:paraId="6E6B1CB2" w14:textId="77777777" w:rsidR="00416D67" w:rsidRPr="00416D67" w:rsidRDefault="00416D67" w:rsidP="00416D67">
            <w:pPr>
              <w:rPr>
                <w:rFonts w:ascii="Arial" w:hAnsi="Arial" w:cs="Arial"/>
                <w:sz w:val="14"/>
                <w:szCs w:val="14"/>
              </w:rPr>
            </w:pPr>
            <w:r w:rsidRPr="00416D67">
              <w:rPr>
                <w:rFonts w:ascii="Arial" w:hAnsi="Arial" w:cs="Arial"/>
                <w:sz w:val="14"/>
                <w:szCs w:val="14"/>
              </w:rPr>
              <w:t>Energija</w:t>
            </w:r>
          </w:p>
        </w:tc>
        <w:tc>
          <w:tcPr>
            <w:tcW w:w="1275" w:type="dxa"/>
            <w:tcBorders>
              <w:top w:val="single" w:sz="4" w:space="0" w:color="auto"/>
              <w:left w:val="nil"/>
              <w:bottom w:val="single" w:sz="4" w:space="0" w:color="auto"/>
              <w:right w:val="single" w:sz="4" w:space="0" w:color="auto"/>
            </w:tcBorders>
            <w:noWrap/>
            <w:vAlign w:val="bottom"/>
            <w:hideMark/>
          </w:tcPr>
          <w:p w14:paraId="1E38DAAB"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418" w:type="dxa"/>
            <w:tcBorders>
              <w:top w:val="single" w:sz="4" w:space="0" w:color="auto"/>
              <w:left w:val="nil"/>
              <w:bottom w:val="single" w:sz="4" w:space="0" w:color="auto"/>
              <w:right w:val="single" w:sz="4" w:space="0" w:color="auto"/>
            </w:tcBorders>
            <w:noWrap/>
            <w:vAlign w:val="bottom"/>
            <w:hideMark/>
          </w:tcPr>
          <w:p w14:paraId="06298B4C"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c>
          <w:tcPr>
            <w:tcW w:w="1276" w:type="dxa"/>
            <w:tcBorders>
              <w:top w:val="single" w:sz="4" w:space="0" w:color="auto"/>
              <w:left w:val="nil"/>
              <w:bottom w:val="single" w:sz="4" w:space="0" w:color="auto"/>
              <w:right w:val="single" w:sz="4" w:space="0" w:color="auto"/>
            </w:tcBorders>
            <w:noWrap/>
            <w:vAlign w:val="bottom"/>
            <w:hideMark/>
          </w:tcPr>
          <w:p w14:paraId="02D1866E"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115,67</w:t>
            </w:r>
          </w:p>
        </w:tc>
        <w:tc>
          <w:tcPr>
            <w:tcW w:w="1275" w:type="dxa"/>
            <w:tcBorders>
              <w:top w:val="single" w:sz="4" w:space="0" w:color="auto"/>
              <w:left w:val="nil"/>
              <w:bottom w:val="single" w:sz="4" w:space="0" w:color="auto"/>
              <w:right w:val="single" w:sz="4" w:space="0" w:color="auto"/>
            </w:tcBorders>
            <w:noWrap/>
            <w:vAlign w:val="bottom"/>
            <w:hideMark/>
          </w:tcPr>
          <w:p w14:paraId="3B1ED6B2" w14:textId="77777777" w:rsidR="00416D67" w:rsidRPr="00416D67" w:rsidRDefault="00416D67" w:rsidP="00416D67">
            <w:pPr>
              <w:jc w:val="right"/>
              <w:rPr>
                <w:rFonts w:ascii="Arial" w:hAnsi="Arial" w:cs="Arial"/>
                <w:sz w:val="14"/>
                <w:szCs w:val="14"/>
              </w:rPr>
            </w:pPr>
            <w:r w:rsidRPr="00416D67">
              <w:rPr>
                <w:rFonts w:ascii="Arial" w:hAnsi="Arial" w:cs="Arial"/>
                <w:sz w:val="14"/>
                <w:szCs w:val="14"/>
              </w:rPr>
              <w:t> </w:t>
            </w:r>
          </w:p>
        </w:tc>
      </w:tr>
    </w:tbl>
    <w:p w14:paraId="2C5AF6A8" w14:textId="77777777" w:rsidR="00416D67" w:rsidRPr="00416D67" w:rsidRDefault="00416D67" w:rsidP="00416D67">
      <w:pPr>
        <w:ind w:firstLine="708"/>
        <w:jc w:val="both"/>
      </w:pPr>
    </w:p>
    <w:p w14:paraId="38B554D6" w14:textId="77777777" w:rsidR="00416D67" w:rsidRPr="00416D67" w:rsidRDefault="00416D67" w:rsidP="00416D67">
      <w:pPr>
        <w:jc w:val="both"/>
      </w:pPr>
      <w:r w:rsidRPr="00416D67">
        <w:lastRenderedPageBreak/>
        <w:t xml:space="preserve">          Najznačajnija izdvajanja odnose se na Rashodi za zaposlene iznose 641.353,95  EUR  što je za 36,4% više u odnosu na prethodnu godinu iz razloga što je veći broj zaposlenih a povećana je i osnovica te naknada za topli obrok (uskladba s Osnivačem zbog povećane stope inflacije).       </w:t>
      </w:r>
    </w:p>
    <w:p w14:paraId="1F846C5D" w14:textId="77777777" w:rsidR="00416D67" w:rsidRPr="00416D67" w:rsidRDefault="00416D67" w:rsidP="00416D67">
      <w:pPr>
        <w:jc w:val="both"/>
      </w:pPr>
      <w:r w:rsidRPr="00416D67">
        <w:t xml:space="preserve">           Materijalni rashodi bilježe povećanje, a najznačajnije povećanje odnosi se na usluge tekućeg i investicijskog održavanja -popravak postrojenja i opreme;  komunalne usluge - povećanje naknade za uređenje voda i preventivne deratizacije; usluge promidžbe i informiranja radi tiskanja brošure radi projekta "vrtić zdravlja" koji je realiziran u travnju</w:t>
      </w:r>
    </w:p>
    <w:p w14:paraId="363DDE5D" w14:textId="77777777" w:rsidR="00416D67" w:rsidRPr="00416D67" w:rsidRDefault="00416D67" w:rsidP="00416D67">
      <w:pPr>
        <w:jc w:val="both"/>
      </w:pPr>
      <w:r w:rsidRPr="00416D67">
        <w:t xml:space="preserve">              Rashodi za usluge obuhvaćaju usluge tekućeg  i investicijskog održavanja (8.809,56 EUR od čega je najznačajnija usluga održavanja prostora </w:t>
      </w:r>
      <w:proofErr w:type="spellStart"/>
      <w:r w:rsidRPr="00416D67">
        <w:t>vrtića,i</w:t>
      </w:r>
      <w:proofErr w:type="spellEnd"/>
      <w:r w:rsidRPr="00416D67">
        <w:t xml:space="preserve"> postrojenja i opreme), usluge promidžbe i informiranja (3.081,25 EUR od čega je najznačajniji trošak tiskanja brošure radi projekta "vrtić zdravlja" ) komunalne usluge (2.509,77 EUR gdje najveće povećanje bilježi usluga iznošenja i odvoza smeća jer od rujna komunalno poduzeće fakturira DV uslugu odvoza kada počinje i naplata odvoza otpada plastike i papira); zdravstvene usluge (8.860,41 EUR bilježe povećanje jer su u izvještajnom razdoblju ostvareni sistematski pregledi zaposlenika koji prethodne godine nisu realizirani), ostale usluge (30.078,48 EUR najvećim dijelom odnose se na uslugu pranja i čišćenja i na usluge za obilježavanje programa božićno darivanje </w:t>
      </w:r>
      <w:proofErr w:type="spellStart"/>
      <w:r w:rsidRPr="00416D67">
        <w:t>predškoslke</w:t>
      </w:r>
      <w:proofErr w:type="spellEnd"/>
      <w:r w:rsidRPr="00416D67">
        <w:t xml:space="preserve"> djece)</w:t>
      </w:r>
    </w:p>
    <w:p w14:paraId="7E88608F" w14:textId="77777777" w:rsidR="00416D67" w:rsidRPr="00416D67" w:rsidRDefault="00416D67" w:rsidP="00416D67">
      <w:pPr>
        <w:jc w:val="both"/>
      </w:pPr>
      <w:r w:rsidRPr="00416D67">
        <w:t xml:space="preserve">           Od 01. siječnja 2026. godine proračunski korisnik posluje putem riznice, te je sa 31. prosincem 2025. žiro račun zatvoren i sredstva su prenijeta na žiro račun Općine Marčana.</w:t>
      </w:r>
    </w:p>
    <w:p w14:paraId="50ED58CA" w14:textId="77777777" w:rsidR="00416D67" w:rsidRPr="00416D67" w:rsidRDefault="00416D67" w:rsidP="00416D67">
      <w:pPr>
        <w:jc w:val="both"/>
        <w:sectPr w:rsidR="00416D67" w:rsidRPr="00416D67" w:rsidSect="00416D67">
          <w:pgSz w:w="11906" w:h="16838"/>
          <w:pgMar w:top="1418" w:right="1418" w:bottom="1418" w:left="1418" w:header="709" w:footer="709" w:gutter="0"/>
          <w:cols w:space="708"/>
          <w:docGrid w:linePitch="360"/>
        </w:sectPr>
      </w:pPr>
    </w:p>
    <w:p w14:paraId="3C742D8D" w14:textId="77777777" w:rsidR="00416D67" w:rsidRPr="00416D67" w:rsidRDefault="00416D67" w:rsidP="00416D67">
      <w:pPr>
        <w:overflowPunct w:val="0"/>
        <w:autoSpaceDE w:val="0"/>
        <w:autoSpaceDN w:val="0"/>
        <w:adjustRightInd w:val="0"/>
        <w:rPr>
          <w:b/>
          <w:lang w:val="en-GB"/>
        </w:rPr>
      </w:pPr>
      <w:r w:rsidRPr="00416D67">
        <w:rPr>
          <w:b/>
          <w:lang w:val="en-GB"/>
        </w:rPr>
        <w:lastRenderedPageBreak/>
        <w:t xml:space="preserve">        Program </w:t>
      </w:r>
      <w:proofErr w:type="spellStart"/>
      <w:r w:rsidRPr="00416D67">
        <w:rPr>
          <w:b/>
          <w:lang w:val="en-GB"/>
        </w:rPr>
        <w:t>zaštite</w:t>
      </w:r>
      <w:proofErr w:type="spellEnd"/>
      <w:r w:rsidRPr="00416D67">
        <w:rPr>
          <w:b/>
          <w:lang w:val="en-GB"/>
        </w:rPr>
        <w:t xml:space="preserve"> </w:t>
      </w:r>
      <w:proofErr w:type="spellStart"/>
      <w:r w:rsidRPr="00416D67">
        <w:rPr>
          <w:b/>
          <w:lang w:val="en-GB"/>
        </w:rPr>
        <w:t>okoliša</w:t>
      </w:r>
      <w:proofErr w:type="spellEnd"/>
      <w:r w:rsidRPr="00416D67">
        <w:rPr>
          <w:b/>
          <w:lang w:val="en-GB"/>
        </w:rPr>
        <w:t xml:space="preserve"> </w:t>
      </w:r>
      <w:proofErr w:type="spellStart"/>
      <w:r w:rsidRPr="00416D67">
        <w:rPr>
          <w:b/>
          <w:lang w:val="en-GB"/>
        </w:rPr>
        <w:t>i</w:t>
      </w:r>
      <w:proofErr w:type="spellEnd"/>
      <w:r w:rsidRPr="00416D67">
        <w:rPr>
          <w:b/>
          <w:lang w:val="en-GB"/>
        </w:rPr>
        <w:t xml:space="preserve"> </w:t>
      </w:r>
      <w:proofErr w:type="spellStart"/>
      <w:r w:rsidRPr="00416D67">
        <w:rPr>
          <w:b/>
          <w:lang w:val="en-GB"/>
        </w:rPr>
        <w:t>gospodarenja</w:t>
      </w:r>
      <w:proofErr w:type="spellEnd"/>
      <w:r w:rsidRPr="00416D67">
        <w:rPr>
          <w:b/>
          <w:lang w:val="en-GB"/>
        </w:rPr>
        <w:t xml:space="preserve"> </w:t>
      </w:r>
      <w:proofErr w:type="spellStart"/>
      <w:r w:rsidRPr="00416D67">
        <w:rPr>
          <w:b/>
          <w:lang w:val="en-GB"/>
        </w:rPr>
        <w:t>otpadom</w:t>
      </w:r>
      <w:proofErr w:type="spellEnd"/>
    </w:p>
    <w:p w14:paraId="500450D7" w14:textId="77777777" w:rsidR="00416D67" w:rsidRPr="00416D67" w:rsidRDefault="00416D67" w:rsidP="00416D67">
      <w:pPr>
        <w:overflowPunct w:val="0"/>
        <w:autoSpaceDE w:val="0"/>
        <w:autoSpaceDN w:val="0"/>
        <w:adjustRightInd w:val="0"/>
        <w:rPr>
          <w:lang w:val="en-GB"/>
        </w:rPr>
      </w:pPr>
      <w:r w:rsidRPr="00416D67">
        <w:rPr>
          <w:lang w:val="en-GB"/>
        </w:rPr>
        <w:t xml:space="preserve">        </w:t>
      </w:r>
      <w:proofErr w:type="spellStart"/>
      <w:r w:rsidRPr="00416D67">
        <w:rPr>
          <w:lang w:val="en-GB"/>
        </w:rPr>
        <w:t>Izdaci</w:t>
      </w:r>
      <w:proofErr w:type="spellEnd"/>
      <w:r w:rsidRPr="00416D67">
        <w:rPr>
          <w:lang w:val="en-GB"/>
        </w:rPr>
        <w:t xml:space="preserve"> </w:t>
      </w:r>
      <w:proofErr w:type="spellStart"/>
      <w:r w:rsidRPr="00416D67">
        <w:rPr>
          <w:lang w:val="en-GB"/>
        </w:rPr>
        <w:t>programa</w:t>
      </w:r>
      <w:proofErr w:type="spellEnd"/>
      <w:r w:rsidRPr="00416D67">
        <w:rPr>
          <w:lang w:val="en-GB"/>
        </w:rPr>
        <w:t xml:space="preserve"> </w:t>
      </w:r>
      <w:proofErr w:type="spellStart"/>
      <w:r w:rsidRPr="00416D67">
        <w:rPr>
          <w:lang w:val="en-GB"/>
        </w:rPr>
        <w:t>zaštite</w:t>
      </w:r>
      <w:proofErr w:type="spellEnd"/>
      <w:r w:rsidRPr="00416D67">
        <w:rPr>
          <w:lang w:val="en-GB"/>
        </w:rPr>
        <w:t xml:space="preserve"> </w:t>
      </w:r>
      <w:proofErr w:type="spellStart"/>
      <w:r w:rsidRPr="00416D67">
        <w:rPr>
          <w:lang w:val="en-GB"/>
        </w:rPr>
        <w:t>okoliša</w:t>
      </w:r>
      <w:proofErr w:type="spellEnd"/>
      <w:r w:rsidRPr="00416D67">
        <w:rPr>
          <w:lang w:val="en-GB"/>
        </w:rPr>
        <w:t xml:space="preserve"> </w:t>
      </w:r>
      <w:proofErr w:type="spellStart"/>
      <w:r w:rsidRPr="00416D67">
        <w:rPr>
          <w:lang w:val="en-GB"/>
        </w:rPr>
        <w:t>i</w:t>
      </w:r>
      <w:proofErr w:type="spellEnd"/>
      <w:r w:rsidRPr="00416D67">
        <w:rPr>
          <w:lang w:val="en-GB"/>
        </w:rPr>
        <w:t xml:space="preserve"> </w:t>
      </w:r>
      <w:proofErr w:type="spellStart"/>
      <w:r w:rsidRPr="00416D67">
        <w:rPr>
          <w:lang w:val="en-GB"/>
        </w:rPr>
        <w:t>gospodarenja</w:t>
      </w:r>
      <w:proofErr w:type="spellEnd"/>
      <w:r w:rsidRPr="00416D67">
        <w:rPr>
          <w:lang w:val="en-GB"/>
        </w:rPr>
        <w:t xml:space="preserve"> </w:t>
      </w:r>
      <w:proofErr w:type="spellStart"/>
      <w:r w:rsidRPr="00416D67">
        <w:rPr>
          <w:lang w:val="en-GB"/>
        </w:rPr>
        <w:t>otpadom</w:t>
      </w:r>
      <w:proofErr w:type="spellEnd"/>
      <w:r w:rsidRPr="00416D67">
        <w:rPr>
          <w:lang w:val="en-GB"/>
        </w:rPr>
        <w:t xml:space="preserve"> </w:t>
      </w:r>
      <w:proofErr w:type="spellStart"/>
      <w:r w:rsidRPr="00416D67">
        <w:rPr>
          <w:lang w:val="en-GB"/>
        </w:rPr>
        <w:t>ostvareni</w:t>
      </w:r>
      <w:proofErr w:type="spellEnd"/>
      <w:r w:rsidRPr="00416D67">
        <w:rPr>
          <w:lang w:val="en-GB"/>
        </w:rPr>
        <w:t xml:space="preserve"> </w:t>
      </w:r>
      <w:proofErr w:type="spellStart"/>
      <w:r w:rsidRPr="00416D67">
        <w:rPr>
          <w:lang w:val="en-GB"/>
        </w:rPr>
        <w:t>su</w:t>
      </w:r>
      <w:proofErr w:type="spellEnd"/>
      <w:r w:rsidRPr="00416D67">
        <w:rPr>
          <w:lang w:val="en-GB"/>
        </w:rPr>
        <w:t xml:space="preserve"> u </w:t>
      </w:r>
      <w:proofErr w:type="spellStart"/>
      <w:r w:rsidRPr="00416D67">
        <w:rPr>
          <w:lang w:val="en-GB"/>
        </w:rPr>
        <w:t>iznosu</w:t>
      </w:r>
      <w:proofErr w:type="spellEnd"/>
      <w:r w:rsidRPr="00416D67">
        <w:rPr>
          <w:lang w:val="en-GB"/>
        </w:rPr>
        <w:t xml:space="preserve"> od 101.675,</w:t>
      </w:r>
      <w:proofErr w:type="gramStart"/>
      <w:r w:rsidRPr="00416D67">
        <w:rPr>
          <w:lang w:val="en-GB"/>
        </w:rPr>
        <w:t>70  EUR</w:t>
      </w:r>
      <w:proofErr w:type="gramEnd"/>
      <w:r w:rsidRPr="00416D67">
        <w:rPr>
          <w:lang w:val="en-GB"/>
        </w:rPr>
        <w:t xml:space="preserve"> (</w:t>
      </w:r>
      <w:proofErr w:type="spellStart"/>
      <w:r w:rsidRPr="00416D67">
        <w:rPr>
          <w:lang w:val="en-GB"/>
        </w:rPr>
        <w:t>ostvarenje</w:t>
      </w:r>
      <w:proofErr w:type="spellEnd"/>
      <w:r w:rsidRPr="00416D67">
        <w:rPr>
          <w:lang w:val="en-GB"/>
        </w:rPr>
        <w:t xml:space="preserve"> 2024.godina 143.242,</w:t>
      </w:r>
      <w:proofErr w:type="gramStart"/>
      <w:r w:rsidRPr="00416D67">
        <w:rPr>
          <w:lang w:val="en-GB"/>
        </w:rPr>
        <w:t>78  EUR</w:t>
      </w:r>
      <w:proofErr w:type="gramEnd"/>
      <w:r w:rsidRPr="00416D67">
        <w:rPr>
          <w:lang w:val="en-GB"/>
        </w:rPr>
        <w:t xml:space="preserve">). U </w:t>
      </w:r>
      <w:proofErr w:type="spellStart"/>
      <w:r w:rsidRPr="00416D67">
        <w:rPr>
          <w:lang w:val="en-GB"/>
        </w:rPr>
        <w:t>izvještajnom</w:t>
      </w:r>
      <w:proofErr w:type="spellEnd"/>
      <w:r w:rsidRPr="00416D67">
        <w:rPr>
          <w:lang w:val="en-GB"/>
        </w:rPr>
        <w:t xml:space="preserve"> </w:t>
      </w:r>
      <w:proofErr w:type="spellStart"/>
      <w:r w:rsidRPr="00416D67">
        <w:rPr>
          <w:lang w:val="en-GB"/>
        </w:rPr>
        <w:t>razdoblju</w:t>
      </w:r>
      <w:proofErr w:type="spellEnd"/>
      <w:r w:rsidRPr="00416D67">
        <w:rPr>
          <w:lang w:val="en-GB"/>
        </w:rPr>
        <w:t xml:space="preserve"> </w:t>
      </w:r>
      <w:proofErr w:type="spellStart"/>
      <w:r w:rsidRPr="00416D67">
        <w:rPr>
          <w:lang w:val="en-GB"/>
        </w:rPr>
        <w:t>ostvarenje</w:t>
      </w:r>
      <w:proofErr w:type="spellEnd"/>
      <w:r w:rsidRPr="00416D67">
        <w:rPr>
          <w:lang w:val="en-GB"/>
        </w:rPr>
        <w:t xml:space="preserve"> je </w:t>
      </w:r>
      <w:proofErr w:type="spellStart"/>
      <w:r w:rsidRPr="00416D67">
        <w:rPr>
          <w:lang w:val="en-GB"/>
        </w:rPr>
        <w:t>više</w:t>
      </w:r>
      <w:proofErr w:type="spellEnd"/>
      <w:r w:rsidRPr="00416D67">
        <w:rPr>
          <w:lang w:val="en-GB"/>
        </w:rPr>
        <w:t xml:space="preserve"> u </w:t>
      </w:r>
      <w:proofErr w:type="spellStart"/>
      <w:r w:rsidRPr="00416D67">
        <w:rPr>
          <w:lang w:val="en-GB"/>
        </w:rPr>
        <w:t>odnosu</w:t>
      </w:r>
      <w:proofErr w:type="spellEnd"/>
      <w:r w:rsidRPr="00416D67">
        <w:rPr>
          <w:lang w:val="en-GB"/>
        </w:rPr>
        <w:t xml:space="preserve"> </w:t>
      </w:r>
      <w:proofErr w:type="spellStart"/>
      <w:r w:rsidRPr="00416D67">
        <w:rPr>
          <w:lang w:val="en-GB"/>
        </w:rPr>
        <w:t>na</w:t>
      </w:r>
      <w:proofErr w:type="spellEnd"/>
      <w:r w:rsidRPr="00416D67">
        <w:rPr>
          <w:lang w:val="en-GB"/>
        </w:rPr>
        <w:t xml:space="preserve"> </w:t>
      </w:r>
      <w:proofErr w:type="spellStart"/>
      <w:r w:rsidRPr="00416D67">
        <w:rPr>
          <w:lang w:val="en-GB"/>
        </w:rPr>
        <w:t>ostvarenje</w:t>
      </w:r>
      <w:proofErr w:type="spellEnd"/>
      <w:r w:rsidRPr="00416D67">
        <w:rPr>
          <w:lang w:val="en-GB"/>
        </w:rPr>
        <w:t xml:space="preserve"> </w:t>
      </w:r>
      <w:proofErr w:type="spellStart"/>
      <w:r w:rsidRPr="00416D67">
        <w:rPr>
          <w:lang w:val="en-GB"/>
        </w:rPr>
        <w:t>prethodne</w:t>
      </w:r>
      <w:proofErr w:type="spellEnd"/>
      <w:r w:rsidRPr="00416D67">
        <w:rPr>
          <w:lang w:val="en-GB"/>
        </w:rPr>
        <w:t xml:space="preserve"> </w:t>
      </w:r>
      <w:proofErr w:type="spellStart"/>
      <w:r w:rsidRPr="00416D67">
        <w:rPr>
          <w:lang w:val="en-GB"/>
        </w:rPr>
        <w:t>godine</w:t>
      </w:r>
      <w:proofErr w:type="spellEnd"/>
      <w:r w:rsidRPr="00416D67">
        <w:rPr>
          <w:lang w:val="en-GB"/>
        </w:rPr>
        <w:t xml:space="preserve"> </w:t>
      </w:r>
      <w:proofErr w:type="spellStart"/>
      <w:r w:rsidRPr="00416D67">
        <w:rPr>
          <w:lang w:val="en-GB"/>
        </w:rPr>
        <w:t>iz</w:t>
      </w:r>
      <w:proofErr w:type="spellEnd"/>
      <w:r w:rsidRPr="00416D67">
        <w:rPr>
          <w:lang w:val="en-GB"/>
        </w:rPr>
        <w:t xml:space="preserve"> </w:t>
      </w:r>
      <w:proofErr w:type="spellStart"/>
      <w:r w:rsidRPr="00416D67">
        <w:rPr>
          <w:lang w:val="en-GB"/>
        </w:rPr>
        <w:t>razloga</w:t>
      </w:r>
      <w:proofErr w:type="spellEnd"/>
      <w:r w:rsidRPr="00416D67">
        <w:rPr>
          <w:lang w:val="en-GB"/>
        </w:rPr>
        <w:t xml:space="preserve"> </w:t>
      </w:r>
      <w:proofErr w:type="spellStart"/>
      <w:r w:rsidRPr="00416D67">
        <w:rPr>
          <w:lang w:val="en-GB"/>
        </w:rPr>
        <w:t>što</w:t>
      </w:r>
      <w:proofErr w:type="spellEnd"/>
      <w:r w:rsidRPr="00416D67">
        <w:rPr>
          <w:lang w:val="en-GB"/>
        </w:rPr>
        <w:t xml:space="preserve"> </w:t>
      </w:r>
      <w:proofErr w:type="spellStart"/>
      <w:r w:rsidRPr="00416D67">
        <w:rPr>
          <w:lang w:val="en-GB"/>
        </w:rPr>
        <w:t>su</w:t>
      </w:r>
      <w:proofErr w:type="spellEnd"/>
      <w:r w:rsidRPr="00416D67">
        <w:rPr>
          <w:lang w:val="en-GB"/>
        </w:rPr>
        <w:t xml:space="preserve"> u </w:t>
      </w:r>
      <w:proofErr w:type="spellStart"/>
      <w:r w:rsidRPr="00416D67">
        <w:rPr>
          <w:lang w:val="en-GB"/>
        </w:rPr>
        <w:t>izvještajnom</w:t>
      </w:r>
      <w:proofErr w:type="spellEnd"/>
      <w:r w:rsidRPr="00416D67">
        <w:rPr>
          <w:lang w:val="en-GB"/>
        </w:rPr>
        <w:t xml:space="preserve"> </w:t>
      </w:r>
      <w:proofErr w:type="spellStart"/>
      <w:proofErr w:type="gramStart"/>
      <w:r w:rsidRPr="00416D67">
        <w:rPr>
          <w:lang w:val="en-GB"/>
        </w:rPr>
        <w:t>razdoblju</w:t>
      </w:r>
      <w:proofErr w:type="spellEnd"/>
      <w:r w:rsidRPr="00416D67">
        <w:rPr>
          <w:lang w:val="en-GB"/>
        </w:rPr>
        <w:t xml:space="preserve">  </w:t>
      </w:r>
      <w:proofErr w:type="spellStart"/>
      <w:r w:rsidRPr="00416D67">
        <w:rPr>
          <w:lang w:val="en-GB"/>
        </w:rPr>
        <w:t>utrošena</w:t>
      </w:r>
      <w:proofErr w:type="spellEnd"/>
      <w:proofErr w:type="gramEnd"/>
      <w:r w:rsidRPr="00416D67">
        <w:rPr>
          <w:lang w:val="en-GB"/>
        </w:rPr>
        <w:t xml:space="preserve"> </w:t>
      </w:r>
      <w:proofErr w:type="spellStart"/>
      <w:r w:rsidRPr="00416D67">
        <w:rPr>
          <w:lang w:val="en-GB"/>
        </w:rPr>
        <w:t>znajačajna</w:t>
      </w:r>
      <w:proofErr w:type="spellEnd"/>
      <w:r w:rsidRPr="00416D67">
        <w:rPr>
          <w:lang w:val="en-GB"/>
        </w:rPr>
        <w:t xml:space="preserve"> </w:t>
      </w:r>
      <w:proofErr w:type="spellStart"/>
      <w:r w:rsidRPr="00416D67">
        <w:rPr>
          <w:lang w:val="en-GB"/>
        </w:rPr>
        <w:t>sredstva</w:t>
      </w:r>
      <w:proofErr w:type="spellEnd"/>
      <w:r w:rsidRPr="00416D67">
        <w:rPr>
          <w:lang w:val="en-GB"/>
        </w:rPr>
        <w:t xml:space="preserve"> za </w:t>
      </w:r>
      <w:proofErr w:type="spellStart"/>
      <w:r w:rsidRPr="00416D67">
        <w:rPr>
          <w:lang w:val="en-GB"/>
        </w:rPr>
        <w:t>sanaciju</w:t>
      </w:r>
      <w:proofErr w:type="spellEnd"/>
      <w:r w:rsidRPr="00416D67">
        <w:rPr>
          <w:lang w:val="en-GB"/>
        </w:rPr>
        <w:t xml:space="preserve"> </w:t>
      </w:r>
      <w:proofErr w:type="spellStart"/>
      <w:r w:rsidRPr="00416D67">
        <w:rPr>
          <w:lang w:val="en-GB"/>
        </w:rPr>
        <w:t>neuređenih</w:t>
      </w:r>
      <w:proofErr w:type="spellEnd"/>
      <w:r w:rsidRPr="00416D67">
        <w:rPr>
          <w:lang w:val="en-GB"/>
        </w:rPr>
        <w:t xml:space="preserve"> </w:t>
      </w:r>
      <w:proofErr w:type="spellStart"/>
      <w:r w:rsidRPr="00416D67">
        <w:rPr>
          <w:lang w:val="en-GB"/>
        </w:rPr>
        <w:t>odlagališta</w:t>
      </w:r>
      <w:proofErr w:type="spellEnd"/>
      <w:r w:rsidRPr="00416D67">
        <w:rPr>
          <w:lang w:val="en-GB"/>
        </w:rPr>
        <w:t xml:space="preserve"> </w:t>
      </w:r>
      <w:proofErr w:type="spellStart"/>
      <w:r w:rsidRPr="00416D67">
        <w:rPr>
          <w:lang w:val="en-GB"/>
        </w:rPr>
        <w:t>i</w:t>
      </w:r>
      <w:proofErr w:type="spellEnd"/>
      <w:r w:rsidRPr="00416D67">
        <w:rPr>
          <w:lang w:val="en-GB"/>
        </w:rPr>
        <w:t xml:space="preserve"> za </w:t>
      </w:r>
      <w:proofErr w:type="spellStart"/>
      <w:r w:rsidRPr="00416D67">
        <w:rPr>
          <w:lang w:val="en-GB"/>
        </w:rPr>
        <w:t>nabavu</w:t>
      </w:r>
      <w:proofErr w:type="spellEnd"/>
      <w:r w:rsidRPr="00416D67">
        <w:rPr>
          <w:lang w:val="en-GB"/>
        </w:rPr>
        <w:t xml:space="preserve"> </w:t>
      </w:r>
      <w:proofErr w:type="spellStart"/>
      <w:r w:rsidRPr="00416D67">
        <w:rPr>
          <w:lang w:val="en-GB"/>
        </w:rPr>
        <w:t>opreme</w:t>
      </w:r>
      <w:proofErr w:type="spellEnd"/>
      <w:r w:rsidRPr="00416D67">
        <w:rPr>
          <w:lang w:val="en-GB"/>
        </w:rPr>
        <w:t xml:space="preserve"> (</w:t>
      </w:r>
      <w:proofErr w:type="spellStart"/>
      <w:proofErr w:type="gramStart"/>
      <w:r w:rsidRPr="00416D67">
        <w:rPr>
          <w:lang w:val="en-GB"/>
        </w:rPr>
        <w:t>rolo</w:t>
      </w:r>
      <w:proofErr w:type="spellEnd"/>
      <w:r w:rsidRPr="00416D67">
        <w:rPr>
          <w:lang w:val="en-GB"/>
        </w:rPr>
        <w:t xml:space="preserve">  </w:t>
      </w:r>
      <w:proofErr w:type="spellStart"/>
      <w:r w:rsidRPr="00416D67">
        <w:rPr>
          <w:lang w:val="en-GB"/>
        </w:rPr>
        <w:t>i</w:t>
      </w:r>
      <w:proofErr w:type="spellEnd"/>
      <w:proofErr w:type="gramEnd"/>
      <w:r w:rsidRPr="00416D67">
        <w:rPr>
          <w:lang w:val="en-GB"/>
        </w:rPr>
        <w:t xml:space="preserve"> </w:t>
      </w:r>
      <w:proofErr w:type="spellStart"/>
      <w:r w:rsidRPr="00416D67">
        <w:rPr>
          <w:lang w:val="en-GB"/>
        </w:rPr>
        <w:t>pres</w:t>
      </w:r>
      <w:proofErr w:type="spellEnd"/>
      <w:r w:rsidRPr="00416D67">
        <w:rPr>
          <w:lang w:val="en-GB"/>
        </w:rPr>
        <w:t xml:space="preserve"> </w:t>
      </w:r>
      <w:proofErr w:type="spellStart"/>
      <w:r w:rsidRPr="00416D67">
        <w:rPr>
          <w:lang w:val="en-GB"/>
        </w:rPr>
        <w:t>kontejneri</w:t>
      </w:r>
      <w:proofErr w:type="spellEnd"/>
      <w:r w:rsidRPr="00416D67">
        <w:rPr>
          <w:lang w:val="en-GB"/>
        </w:rPr>
        <w:t xml:space="preserve">) za </w:t>
      </w:r>
      <w:proofErr w:type="spellStart"/>
      <w:r w:rsidRPr="00416D67">
        <w:rPr>
          <w:lang w:val="en-GB"/>
        </w:rPr>
        <w:t>potrebe</w:t>
      </w:r>
      <w:proofErr w:type="spellEnd"/>
      <w:r w:rsidRPr="00416D67">
        <w:rPr>
          <w:lang w:val="en-GB"/>
        </w:rPr>
        <w:t xml:space="preserve"> </w:t>
      </w:r>
      <w:proofErr w:type="spellStart"/>
      <w:r w:rsidRPr="00416D67">
        <w:rPr>
          <w:lang w:val="en-GB"/>
        </w:rPr>
        <w:t>reciklažnog</w:t>
      </w:r>
      <w:proofErr w:type="spellEnd"/>
      <w:r w:rsidRPr="00416D67">
        <w:rPr>
          <w:lang w:val="en-GB"/>
        </w:rPr>
        <w:t xml:space="preserve"> </w:t>
      </w:r>
      <w:proofErr w:type="spellStart"/>
      <w:r w:rsidRPr="00416D67">
        <w:rPr>
          <w:lang w:val="en-GB"/>
        </w:rPr>
        <w:t>dvorišta</w:t>
      </w:r>
      <w:proofErr w:type="spellEnd"/>
      <w:r w:rsidRPr="00416D67">
        <w:rPr>
          <w:lang w:val="en-GB"/>
        </w:rPr>
        <w:t xml:space="preserve">. </w:t>
      </w:r>
    </w:p>
    <w:p w14:paraId="509E210B" w14:textId="77777777" w:rsidR="00416D67" w:rsidRPr="00416D67" w:rsidRDefault="00416D67" w:rsidP="00416D67">
      <w:pPr>
        <w:overflowPunct w:val="0"/>
        <w:autoSpaceDE w:val="0"/>
        <w:autoSpaceDN w:val="0"/>
        <w:adjustRightInd w:val="0"/>
        <w:rPr>
          <w:lang w:val="en-GB"/>
        </w:rPr>
      </w:pPr>
      <w:r w:rsidRPr="00416D67">
        <w:rPr>
          <w:lang w:val="en-GB"/>
        </w:rPr>
        <w:t xml:space="preserve">  U </w:t>
      </w:r>
      <w:proofErr w:type="spellStart"/>
      <w:r w:rsidRPr="00416D67">
        <w:rPr>
          <w:lang w:val="en-GB"/>
        </w:rPr>
        <w:t>izvještajnom</w:t>
      </w:r>
      <w:proofErr w:type="spellEnd"/>
      <w:r w:rsidRPr="00416D67">
        <w:rPr>
          <w:lang w:val="en-GB"/>
        </w:rPr>
        <w:t xml:space="preserve"> </w:t>
      </w:r>
      <w:proofErr w:type="spellStart"/>
      <w:r w:rsidRPr="00416D67">
        <w:rPr>
          <w:lang w:val="en-GB"/>
        </w:rPr>
        <w:t>razdoblju</w:t>
      </w:r>
      <w:proofErr w:type="spellEnd"/>
      <w:r w:rsidRPr="00416D67">
        <w:rPr>
          <w:lang w:val="en-GB"/>
        </w:rPr>
        <w:t xml:space="preserve"> </w:t>
      </w:r>
      <w:proofErr w:type="spellStart"/>
      <w:r w:rsidRPr="00416D67">
        <w:rPr>
          <w:lang w:val="en-GB"/>
        </w:rPr>
        <w:t>realizirane</w:t>
      </w:r>
      <w:proofErr w:type="spellEnd"/>
      <w:r w:rsidRPr="00416D67">
        <w:rPr>
          <w:lang w:val="en-GB"/>
        </w:rPr>
        <w:t xml:space="preserve"> </w:t>
      </w:r>
      <w:proofErr w:type="spellStart"/>
      <w:r w:rsidRPr="00416D67">
        <w:rPr>
          <w:lang w:val="en-GB"/>
        </w:rPr>
        <w:t>su</w:t>
      </w:r>
      <w:proofErr w:type="spellEnd"/>
      <w:r w:rsidRPr="00416D67">
        <w:rPr>
          <w:lang w:val="en-GB"/>
        </w:rPr>
        <w:t xml:space="preserve"> </w:t>
      </w:r>
      <w:proofErr w:type="spellStart"/>
      <w:r w:rsidRPr="00416D67">
        <w:rPr>
          <w:lang w:val="en-GB"/>
        </w:rPr>
        <w:t>slijedeće</w:t>
      </w:r>
      <w:proofErr w:type="spellEnd"/>
      <w:r w:rsidRPr="00416D67">
        <w:rPr>
          <w:lang w:val="en-GB"/>
        </w:rPr>
        <w:t xml:space="preserve"> </w:t>
      </w:r>
      <w:proofErr w:type="spellStart"/>
      <w:r w:rsidRPr="00416D67">
        <w:rPr>
          <w:lang w:val="en-GB"/>
        </w:rPr>
        <w:t>aktivnosti</w:t>
      </w:r>
      <w:proofErr w:type="spellEnd"/>
      <w:r w:rsidRPr="00416D67">
        <w:rPr>
          <w:lang w:val="en-GB"/>
        </w:rPr>
        <w:t xml:space="preserve">  </w:t>
      </w:r>
    </w:p>
    <w:p w14:paraId="5D669423" w14:textId="77777777" w:rsidR="00416D67" w:rsidRPr="00416D67" w:rsidRDefault="00416D67">
      <w:pPr>
        <w:numPr>
          <w:ilvl w:val="0"/>
          <w:numId w:val="16"/>
        </w:numPr>
        <w:overflowPunct w:val="0"/>
        <w:autoSpaceDE w:val="0"/>
        <w:autoSpaceDN w:val="0"/>
        <w:adjustRightInd w:val="0"/>
        <w:rPr>
          <w:lang w:val="en-GB"/>
        </w:rPr>
      </w:pPr>
      <w:proofErr w:type="spellStart"/>
      <w:r w:rsidRPr="00416D67">
        <w:rPr>
          <w:lang w:val="en-GB"/>
        </w:rPr>
        <w:t>sanacija</w:t>
      </w:r>
      <w:proofErr w:type="spellEnd"/>
      <w:r w:rsidRPr="00416D67">
        <w:rPr>
          <w:lang w:val="en-GB"/>
        </w:rPr>
        <w:t xml:space="preserve"> </w:t>
      </w:r>
      <w:proofErr w:type="spellStart"/>
      <w:r w:rsidRPr="00416D67">
        <w:rPr>
          <w:lang w:val="en-GB"/>
        </w:rPr>
        <w:t>neuređenih</w:t>
      </w:r>
      <w:proofErr w:type="spellEnd"/>
      <w:r w:rsidRPr="00416D67">
        <w:rPr>
          <w:lang w:val="en-GB"/>
        </w:rPr>
        <w:t xml:space="preserve"> </w:t>
      </w:r>
      <w:proofErr w:type="spellStart"/>
      <w:r w:rsidRPr="00416D67">
        <w:rPr>
          <w:lang w:val="en-GB"/>
        </w:rPr>
        <w:t>odlagališta</w:t>
      </w:r>
      <w:proofErr w:type="spellEnd"/>
      <w:r w:rsidRPr="00416D67">
        <w:rPr>
          <w:lang w:val="en-GB"/>
        </w:rPr>
        <w:t xml:space="preserve"> u </w:t>
      </w:r>
      <w:proofErr w:type="spellStart"/>
      <w:r w:rsidRPr="00416D67">
        <w:rPr>
          <w:lang w:val="en-GB"/>
        </w:rPr>
        <w:t>iznosu</w:t>
      </w:r>
      <w:proofErr w:type="spellEnd"/>
      <w:r w:rsidRPr="00416D67">
        <w:rPr>
          <w:lang w:val="en-GB"/>
        </w:rPr>
        <w:t xml:space="preserve"> od 36.966,</w:t>
      </w:r>
      <w:proofErr w:type="gramStart"/>
      <w:r w:rsidRPr="00416D67">
        <w:rPr>
          <w:lang w:val="en-GB"/>
        </w:rPr>
        <w:t>90  EUR</w:t>
      </w:r>
      <w:proofErr w:type="gramEnd"/>
      <w:r w:rsidRPr="00416D67">
        <w:rPr>
          <w:lang w:val="en-GB"/>
        </w:rPr>
        <w:t xml:space="preserve"> (2024. </w:t>
      </w:r>
      <w:proofErr w:type="spellStart"/>
      <w:r w:rsidRPr="00416D67">
        <w:rPr>
          <w:lang w:val="en-GB"/>
        </w:rPr>
        <w:t>godina</w:t>
      </w:r>
      <w:proofErr w:type="spellEnd"/>
      <w:r w:rsidRPr="00416D67">
        <w:rPr>
          <w:lang w:val="en-GB"/>
        </w:rPr>
        <w:t xml:space="preserve"> 64.725,57 EUR),</w:t>
      </w:r>
    </w:p>
    <w:p w14:paraId="434DE732" w14:textId="77777777" w:rsidR="00416D67" w:rsidRPr="00416D67" w:rsidRDefault="00416D67">
      <w:pPr>
        <w:numPr>
          <w:ilvl w:val="0"/>
          <w:numId w:val="16"/>
        </w:numPr>
        <w:overflowPunct w:val="0"/>
        <w:autoSpaceDE w:val="0"/>
        <w:autoSpaceDN w:val="0"/>
        <w:adjustRightInd w:val="0"/>
        <w:rPr>
          <w:lang w:val="en-GB"/>
        </w:rPr>
      </w:pPr>
      <w:proofErr w:type="spellStart"/>
      <w:r w:rsidRPr="00416D67">
        <w:rPr>
          <w:lang w:val="en-GB"/>
        </w:rPr>
        <w:t>veterinarsko</w:t>
      </w:r>
      <w:proofErr w:type="spellEnd"/>
      <w:r w:rsidRPr="00416D67">
        <w:rPr>
          <w:lang w:val="en-GB"/>
        </w:rPr>
        <w:t xml:space="preserve"> </w:t>
      </w:r>
      <w:proofErr w:type="spellStart"/>
      <w:r w:rsidRPr="00416D67">
        <w:rPr>
          <w:lang w:val="en-GB"/>
        </w:rPr>
        <w:t>htigijenski</w:t>
      </w:r>
      <w:proofErr w:type="spellEnd"/>
      <w:r w:rsidRPr="00416D67">
        <w:rPr>
          <w:lang w:val="en-GB"/>
        </w:rPr>
        <w:t xml:space="preserve"> </w:t>
      </w:r>
      <w:proofErr w:type="spellStart"/>
      <w:r w:rsidRPr="00416D67">
        <w:rPr>
          <w:lang w:val="en-GB"/>
        </w:rPr>
        <w:t>poslovi</w:t>
      </w:r>
      <w:proofErr w:type="spellEnd"/>
      <w:r w:rsidRPr="00416D67">
        <w:rPr>
          <w:lang w:val="en-GB"/>
        </w:rPr>
        <w:t xml:space="preserve"> I </w:t>
      </w:r>
      <w:proofErr w:type="spellStart"/>
      <w:r w:rsidRPr="00416D67">
        <w:rPr>
          <w:lang w:val="en-GB"/>
        </w:rPr>
        <w:t>sakupljanje</w:t>
      </w:r>
      <w:proofErr w:type="spellEnd"/>
      <w:r w:rsidRPr="00416D67">
        <w:rPr>
          <w:lang w:val="en-GB"/>
        </w:rPr>
        <w:t xml:space="preserve"> I </w:t>
      </w:r>
      <w:proofErr w:type="spellStart"/>
      <w:r w:rsidRPr="00416D67">
        <w:rPr>
          <w:lang w:val="en-GB"/>
        </w:rPr>
        <w:t>odlaganje</w:t>
      </w:r>
      <w:proofErr w:type="spellEnd"/>
      <w:r w:rsidRPr="00416D67">
        <w:rPr>
          <w:lang w:val="en-GB"/>
        </w:rPr>
        <w:t xml:space="preserve"> </w:t>
      </w:r>
      <w:proofErr w:type="spellStart"/>
      <w:r w:rsidRPr="00416D67">
        <w:rPr>
          <w:lang w:val="en-GB"/>
        </w:rPr>
        <w:t>životinjih</w:t>
      </w:r>
      <w:proofErr w:type="spellEnd"/>
      <w:r w:rsidRPr="00416D67">
        <w:rPr>
          <w:lang w:val="en-GB"/>
        </w:rPr>
        <w:t xml:space="preserve"> </w:t>
      </w:r>
      <w:proofErr w:type="spellStart"/>
      <w:r w:rsidRPr="00416D67">
        <w:rPr>
          <w:lang w:val="en-GB"/>
        </w:rPr>
        <w:t>lešina</w:t>
      </w:r>
      <w:proofErr w:type="spellEnd"/>
      <w:r w:rsidRPr="00416D67">
        <w:rPr>
          <w:lang w:val="en-GB"/>
        </w:rPr>
        <w:t xml:space="preserve"> u </w:t>
      </w:r>
      <w:proofErr w:type="spellStart"/>
      <w:r w:rsidRPr="00416D67">
        <w:rPr>
          <w:lang w:val="en-GB"/>
        </w:rPr>
        <w:t>iznosu</w:t>
      </w:r>
      <w:proofErr w:type="spellEnd"/>
      <w:r w:rsidRPr="00416D67">
        <w:rPr>
          <w:lang w:val="en-GB"/>
        </w:rPr>
        <w:t xml:space="preserve"> od 13.917,38 EUR (</w:t>
      </w:r>
      <w:proofErr w:type="spellStart"/>
      <w:r w:rsidRPr="00416D67">
        <w:rPr>
          <w:lang w:val="en-GB"/>
        </w:rPr>
        <w:t>ostvarenje</w:t>
      </w:r>
      <w:proofErr w:type="spellEnd"/>
      <w:r w:rsidRPr="00416D67">
        <w:rPr>
          <w:lang w:val="en-GB"/>
        </w:rPr>
        <w:t xml:space="preserve"> 2024. </w:t>
      </w:r>
      <w:proofErr w:type="spellStart"/>
      <w:r w:rsidRPr="00416D67">
        <w:rPr>
          <w:lang w:val="en-GB"/>
        </w:rPr>
        <w:t>gdoina</w:t>
      </w:r>
      <w:proofErr w:type="spellEnd"/>
      <w:r w:rsidRPr="00416D67">
        <w:rPr>
          <w:lang w:val="en-GB"/>
        </w:rPr>
        <w:t xml:space="preserve"> 9.190,87 EUR),</w:t>
      </w:r>
    </w:p>
    <w:p w14:paraId="1EAB32E5" w14:textId="77777777" w:rsidR="00416D67" w:rsidRPr="00416D67" w:rsidRDefault="00416D67">
      <w:pPr>
        <w:numPr>
          <w:ilvl w:val="0"/>
          <w:numId w:val="16"/>
        </w:numPr>
        <w:overflowPunct w:val="0"/>
        <w:autoSpaceDE w:val="0"/>
        <w:autoSpaceDN w:val="0"/>
        <w:adjustRightInd w:val="0"/>
        <w:rPr>
          <w:lang w:val="en-GB"/>
        </w:rPr>
      </w:pPr>
      <w:proofErr w:type="spellStart"/>
      <w:r w:rsidRPr="00416D67">
        <w:rPr>
          <w:lang w:val="en-GB"/>
        </w:rPr>
        <w:t>poticajna</w:t>
      </w:r>
      <w:proofErr w:type="spellEnd"/>
      <w:r w:rsidRPr="00416D67">
        <w:rPr>
          <w:lang w:val="en-GB"/>
        </w:rPr>
        <w:t xml:space="preserve"> </w:t>
      </w:r>
      <w:proofErr w:type="spellStart"/>
      <w:r w:rsidRPr="00416D67">
        <w:rPr>
          <w:lang w:val="en-GB"/>
        </w:rPr>
        <w:t>naknada</w:t>
      </w:r>
      <w:proofErr w:type="spellEnd"/>
      <w:r w:rsidRPr="00416D67">
        <w:rPr>
          <w:lang w:val="en-GB"/>
        </w:rPr>
        <w:t xml:space="preserve"> za </w:t>
      </w:r>
      <w:proofErr w:type="spellStart"/>
      <w:r w:rsidRPr="00416D67">
        <w:rPr>
          <w:lang w:val="en-GB"/>
        </w:rPr>
        <w:t>smanjenje</w:t>
      </w:r>
      <w:proofErr w:type="spellEnd"/>
      <w:r w:rsidRPr="00416D67">
        <w:rPr>
          <w:lang w:val="en-GB"/>
        </w:rPr>
        <w:t xml:space="preserve"> </w:t>
      </w:r>
      <w:proofErr w:type="spellStart"/>
      <w:r w:rsidRPr="00416D67">
        <w:rPr>
          <w:lang w:val="en-GB"/>
        </w:rPr>
        <w:t>količine</w:t>
      </w:r>
      <w:proofErr w:type="spellEnd"/>
      <w:r w:rsidRPr="00416D67">
        <w:rPr>
          <w:lang w:val="en-GB"/>
        </w:rPr>
        <w:t xml:space="preserve"> </w:t>
      </w:r>
      <w:proofErr w:type="spellStart"/>
      <w:r w:rsidRPr="00416D67">
        <w:rPr>
          <w:lang w:val="en-GB"/>
        </w:rPr>
        <w:t>mješanog</w:t>
      </w:r>
      <w:proofErr w:type="spellEnd"/>
      <w:r w:rsidRPr="00416D67">
        <w:rPr>
          <w:lang w:val="en-GB"/>
        </w:rPr>
        <w:t xml:space="preserve"> </w:t>
      </w:r>
      <w:proofErr w:type="spellStart"/>
      <w:r w:rsidRPr="00416D67">
        <w:rPr>
          <w:lang w:val="en-GB"/>
        </w:rPr>
        <w:t>komunalnog</w:t>
      </w:r>
      <w:proofErr w:type="spellEnd"/>
      <w:r w:rsidRPr="00416D67">
        <w:rPr>
          <w:lang w:val="en-GB"/>
        </w:rPr>
        <w:t xml:space="preserve"> </w:t>
      </w:r>
      <w:proofErr w:type="spellStart"/>
      <w:r w:rsidRPr="00416D67">
        <w:rPr>
          <w:lang w:val="en-GB"/>
        </w:rPr>
        <w:t>otpada</w:t>
      </w:r>
      <w:proofErr w:type="spellEnd"/>
      <w:r w:rsidRPr="00416D67">
        <w:rPr>
          <w:lang w:val="en-GB"/>
        </w:rPr>
        <w:t xml:space="preserve"> u </w:t>
      </w:r>
      <w:proofErr w:type="spellStart"/>
      <w:r w:rsidRPr="00416D67">
        <w:rPr>
          <w:lang w:val="en-GB"/>
        </w:rPr>
        <w:t>iznosu</w:t>
      </w:r>
      <w:proofErr w:type="spellEnd"/>
      <w:r w:rsidRPr="00416D67">
        <w:rPr>
          <w:lang w:val="en-GB"/>
        </w:rPr>
        <w:t xml:space="preserve"> od 7.097,06 EUR (</w:t>
      </w:r>
      <w:proofErr w:type="spellStart"/>
      <w:r w:rsidRPr="00416D67">
        <w:rPr>
          <w:lang w:val="en-GB"/>
        </w:rPr>
        <w:t>ostvarenje</w:t>
      </w:r>
      <w:proofErr w:type="spellEnd"/>
      <w:r w:rsidRPr="00416D67">
        <w:rPr>
          <w:lang w:val="en-GB"/>
        </w:rPr>
        <w:t xml:space="preserve"> 2024. </w:t>
      </w:r>
      <w:proofErr w:type="spellStart"/>
      <w:r w:rsidRPr="00416D67">
        <w:rPr>
          <w:lang w:val="en-GB"/>
        </w:rPr>
        <w:t>godina</w:t>
      </w:r>
      <w:proofErr w:type="spellEnd"/>
      <w:r w:rsidRPr="00416D67">
        <w:rPr>
          <w:lang w:val="en-GB"/>
        </w:rPr>
        <w:t xml:space="preserve"> 6.885,54 EUR),</w:t>
      </w:r>
    </w:p>
    <w:p w14:paraId="28CC4AD8" w14:textId="77777777" w:rsidR="00416D67" w:rsidRPr="00416D67" w:rsidRDefault="00416D67">
      <w:pPr>
        <w:numPr>
          <w:ilvl w:val="0"/>
          <w:numId w:val="16"/>
        </w:numPr>
        <w:overflowPunct w:val="0"/>
        <w:autoSpaceDE w:val="0"/>
        <w:autoSpaceDN w:val="0"/>
        <w:adjustRightInd w:val="0"/>
        <w:rPr>
          <w:lang w:val="en-GB"/>
        </w:rPr>
      </w:pPr>
      <w:proofErr w:type="spellStart"/>
      <w:r w:rsidRPr="00416D67">
        <w:rPr>
          <w:lang w:val="en-GB"/>
        </w:rPr>
        <w:t>aktivnost</w:t>
      </w:r>
      <w:proofErr w:type="spellEnd"/>
      <w:r w:rsidRPr="00416D67">
        <w:rPr>
          <w:lang w:val="en-GB"/>
        </w:rPr>
        <w:t xml:space="preserve"> </w:t>
      </w:r>
      <w:proofErr w:type="spellStart"/>
      <w:r w:rsidRPr="00416D67">
        <w:rPr>
          <w:lang w:val="en-GB"/>
        </w:rPr>
        <w:t>provođenja</w:t>
      </w:r>
      <w:proofErr w:type="spellEnd"/>
      <w:r w:rsidRPr="00416D67">
        <w:rPr>
          <w:lang w:val="en-GB"/>
        </w:rPr>
        <w:t xml:space="preserve"> </w:t>
      </w:r>
      <w:proofErr w:type="spellStart"/>
      <w:r w:rsidRPr="00416D67">
        <w:rPr>
          <w:lang w:val="en-GB"/>
        </w:rPr>
        <w:t>zaštite</w:t>
      </w:r>
      <w:proofErr w:type="spellEnd"/>
      <w:r w:rsidRPr="00416D67">
        <w:rPr>
          <w:lang w:val="en-GB"/>
        </w:rPr>
        <w:t xml:space="preserve"> </w:t>
      </w:r>
      <w:proofErr w:type="spellStart"/>
      <w:r w:rsidRPr="00416D67">
        <w:rPr>
          <w:lang w:val="en-GB"/>
        </w:rPr>
        <w:t>divljači</w:t>
      </w:r>
      <w:proofErr w:type="spellEnd"/>
      <w:r w:rsidRPr="00416D67">
        <w:rPr>
          <w:lang w:val="en-GB"/>
        </w:rPr>
        <w:t xml:space="preserve"> </w:t>
      </w:r>
      <w:proofErr w:type="spellStart"/>
      <w:r w:rsidRPr="00416D67">
        <w:rPr>
          <w:lang w:val="en-GB"/>
        </w:rPr>
        <w:t>započet</w:t>
      </w:r>
      <w:proofErr w:type="spellEnd"/>
      <w:r w:rsidRPr="00416D67">
        <w:rPr>
          <w:lang w:val="en-GB"/>
        </w:rPr>
        <w:t xml:space="preserve"> je u </w:t>
      </w:r>
      <w:proofErr w:type="spellStart"/>
      <w:r w:rsidRPr="00416D67">
        <w:rPr>
          <w:lang w:val="en-GB"/>
        </w:rPr>
        <w:t>izvještajnom</w:t>
      </w:r>
      <w:proofErr w:type="spellEnd"/>
      <w:r w:rsidRPr="00416D67">
        <w:rPr>
          <w:lang w:val="en-GB"/>
        </w:rPr>
        <w:t xml:space="preserve"> </w:t>
      </w:r>
      <w:proofErr w:type="spellStart"/>
      <w:r w:rsidRPr="00416D67">
        <w:rPr>
          <w:lang w:val="en-GB"/>
        </w:rPr>
        <w:t>razdoblju</w:t>
      </w:r>
      <w:proofErr w:type="spellEnd"/>
      <w:r w:rsidRPr="00416D67">
        <w:rPr>
          <w:lang w:val="en-GB"/>
        </w:rPr>
        <w:t xml:space="preserve"> I </w:t>
      </w:r>
      <w:proofErr w:type="spellStart"/>
      <w:r w:rsidRPr="00416D67">
        <w:rPr>
          <w:lang w:val="en-GB"/>
        </w:rPr>
        <w:t>realiziran</w:t>
      </w:r>
      <w:proofErr w:type="spellEnd"/>
      <w:r w:rsidRPr="00416D67">
        <w:rPr>
          <w:lang w:val="en-GB"/>
        </w:rPr>
        <w:t xml:space="preserve"> je u </w:t>
      </w:r>
      <w:proofErr w:type="spellStart"/>
      <w:r w:rsidRPr="00416D67">
        <w:rPr>
          <w:lang w:val="en-GB"/>
        </w:rPr>
        <w:t>iznosu</w:t>
      </w:r>
      <w:proofErr w:type="spellEnd"/>
      <w:r w:rsidRPr="00416D67">
        <w:rPr>
          <w:lang w:val="en-GB"/>
        </w:rPr>
        <w:t xml:space="preserve"> od 5.505,00 EUR,</w:t>
      </w:r>
    </w:p>
    <w:p w14:paraId="405FF72B" w14:textId="77777777" w:rsidR="00416D67" w:rsidRPr="00416D67" w:rsidRDefault="00416D67">
      <w:pPr>
        <w:numPr>
          <w:ilvl w:val="0"/>
          <w:numId w:val="16"/>
        </w:numPr>
        <w:overflowPunct w:val="0"/>
        <w:autoSpaceDE w:val="0"/>
        <w:autoSpaceDN w:val="0"/>
        <w:adjustRightInd w:val="0"/>
        <w:rPr>
          <w:lang w:val="en-GB"/>
        </w:rPr>
      </w:pPr>
      <w:proofErr w:type="spellStart"/>
      <w:r w:rsidRPr="00416D67">
        <w:rPr>
          <w:lang w:val="en-GB"/>
        </w:rPr>
        <w:t>izrada</w:t>
      </w:r>
      <w:proofErr w:type="spellEnd"/>
      <w:r w:rsidRPr="00416D67">
        <w:rPr>
          <w:lang w:val="en-GB"/>
        </w:rPr>
        <w:t xml:space="preserve"> </w:t>
      </w:r>
      <w:proofErr w:type="spellStart"/>
      <w:r w:rsidRPr="00416D67">
        <w:rPr>
          <w:lang w:val="en-GB"/>
        </w:rPr>
        <w:t>strategije</w:t>
      </w:r>
      <w:proofErr w:type="spellEnd"/>
      <w:r w:rsidRPr="00416D67">
        <w:rPr>
          <w:lang w:val="en-GB"/>
        </w:rPr>
        <w:t xml:space="preserve"> </w:t>
      </w:r>
      <w:proofErr w:type="spellStart"/>
      <w:r w:rsidRPr="00416D67">
        <w:rPr>
          <w:lang w:val="en-GB"/>
        </w:rPr>
        <w:t>zelene</w:t>
      </w:r>
      <w:proofErr w:type="spellEnd"/>
      <w:r w:rsidRPr="00416D67">
        <w:rPr>
          <w:lang w:val="en-GB"/>
        </w:rPr>
        <w:t xml:space="preserve"> urbane </w:t>
      </w:r>
      <w:proofErr w:type="spellStart"/>
      <w:r w:rsidRPr="00416D67">
        <w:rPr>
          <w:lang w:val="en-GB"/>
        </w:rPr>
        <w:t>obnove</w:t>
      </w:r>
      <w:proofErr w:type="spellEnd"/>
      <w:r w:rsidRPr="00416D67">
        <w:rPr>
          <w:lang w:val="en-GB"/>
        </w:rPr>
        <w:t xml:space="preserve"> </w:t>
      </w:r>
      <w:proofErr w:type="spellStart"/>
      <w:r w:rsidRPr="00416D67">
        <w:rPr>
          <w:lang w:val="en-GB"/>
        </w:rPr>
        <w:t>Općine</w:t>
      </w:r>
      <w:proofErr w:type="spellEnd"/>
      <w:r w:rsidRPr="00416D67">
        <w:rPr>
          <w:lang w:val="en-GB"/>
        </w:rPr>
        <w:t xml:space="preserve"> Marčana </w:t>
      </w:r>
      <w:proofErr w:type="spellStart"/>
      <w:r w:rsidRPr="00416D67">
        <w:rPr>
          <w:lang w:val="en-GB"/>
        </w:rPr>
        <w:t>realzirana</w:t>
      </w:r>
      <w:proofErr w:type="spellEnd"/>
      <w:r w:rsidRPr="00416D67">
        <w:rPr>
          <w:lang w:val="en-GB"/>
        </w:rPr>
        <w:t xml:space="preserve"> je u </w:t>
      </w:r>
      <w:proofErr w:type="spellStart"/>
      <w:r w:rsidRPr="00416D67">
        <w:rPr>
          <w:lang w:val="en-GB"/>
        </w:rPr>
        <w:t>iznosu</w:t>
      </w:r>
      <w:proofErr w:type="spellEnd"/>
      <w:r w:rsidRPr="00416D67">
        <w:rPr>
          <w:lang w:val="en-GB"/>
        </w:rPr>
        <w:t xml:space="preserve"> od 30.625,00 EUR I </w:t>
      </w:r>
      <w:proofErr w:type="spellStart"/>
      <w:r w:rsidRPr="00416D67">
        <w:rPr>
          <w:lang w:val="en-GB"/>
        </w:rPr>
        <w:t>financirana</w:t>
      </w:r>
      <w:proofErr w:type="spellEnd"/>
      <w:r w:rsidRPr="00416D67">
        <w:rPr>
          <w:lang w:val="en-GB"/>
        </w:rPr>
        <w:t xml:space="preserve"> je </w:t>
      </w:r>
      <w:proofErr w:type="spellStart"/>
      <w:r w:rsidRPr="00416D67">
        <w:rPr>
          <w:lang w:val="en-GB"/>
        </w:rPr>
        <w:t>sredstvima</w:t>
      </w:r>
      <w:proofErr w:type="spellEnd"/>
      <w:r w:rsidRPr="00416D67">
        <w:rPr>
          <w:lang w:val="en-GB"/>
        </w:rPr>
        <w:t xml:space="preserve"> EU.</w:t>
      </w:r>
    </w:p>
    <w:p w14:paraId="3C99F707" w14:textId="77777777" w:rsidR="00416D67" w:rsidRPr="00416D67" w:rsidRDefault="00416D67" w:rsidP="00416D67">
      <w:pPr>
        <w:overflowPunct w:val="0"/>
        <w:autoSpaceDE w:val="0"/>
        <w:autoSpaceDN w:val="0"/>
        <w:adjustRightInd w:val="0"/>
        <w:rPr>
          <w:lang w:val="en-GB"/>
        </w:rPr>
      </w:pPr>
    </w:p>
    <w:p w14:paraId="79A6892D" w14:textId="77777777" w:rsidR="00416D67" w:rsidRPr="00416D67" w:rsidRDefault="00416D67" w:rsidP="00416D67">
      <w:pPr>
        <w:overflowPunct w:val="0"/>
        <w:autoSpaceDE w:val="0"/>
        <w:autoSpaceDN w:val="0"/>
        <w:adjustRightInd w:val="0"/>
        <w:rPr>
          <w:b/>
          <w:bCs/>
          <w:lang w:val="en-GB"/>
        </w:rPr>
      </w:pPr>
      <w:r w:rsidRPr="00416D67">
        <w:rPr>
          <w:b/>
          <w:bCs/>
          <w:lang w:val="en-GB"/>
        </w:rPr>
        <w:t xml:space="preserve">       Program </w:t>
      </w:r>
      <w:proofErr w:type="spellStart"/>
      <w:r w:rsidRPr="00416D67">
        <w:rPr>
          <w:b/>
          <w:bCs/>
          <w:lang w:val="en-GB"/>
        </w:rPr>
        <w:t>održavanja</w:t>
      </w:r>
      <w:proofErr w:type="spellEnd"/>
      <w:r w:rsidRPr="00416D67">
        <w:rPr>
          <w:b/>
          <w:bCs/>
          <w:lang w:val="en-GB"/>
        </w:rPr>
        <w:t xml:space="preserve"> </w:t>
      </w:r>
      <w:proofErr w:type="spellStart"/>
      <w:r w:rsidRPr="00416D67">
        <w:rPr>
          <w:b/>
          <w:bCs/>
          <w:lang w:val="en-GB"/>
        </w:rPr>
        <w:t>komunalne</w:t>
      </w:r>
      <w:proofErr w:type="spellEnd"/>
      <w:r w:rsidRPr="00416D67">
        <w:rPr>
          <w:b/>
          <w:bCs/>
          <w:lang w:val="en-GB"/>
        </w:rPr>
        <w:t xml:space="preserve"> </w:t>
      </w:r>
      <w:proofErr w:type="spellStart"/>
      <w:r w:rsidRPr="00416D67">
        <w:rPr>
          <w:b/>
          <w:bCs/>
          <w:lang w:val="en-GB"/>
        </w:rPr>
        <w:t>infrastrukture</w:t>
      </w:r>
      <w:proofErr w:type="spellEnd"/>
      <w:r w:rsidRPr="00416D67">
        <w:rPr>
          <w:b/>
          <w:bCs/>
          <w:lang w:val="en-GB"/>
        </w:rPr>
        <w:t xml:space="preserve"> </w:t>
      </w:r>
      <w:proofErr w:type="spellStart"/>
      <w:r w:rsidRPr="00416D67">
        <w:rPr>
          <w:b/>
          <w:bCs/>
          <w:lang w:val="en-GB"/>
        </w:rPr>
        <w:t>i</w:t>
      </w:r>
      <w:proofErr w:type="spellEnd"/>
      <w:r w:rsidRPr="00416D67">
        <w:rPr>
          <w:b/>
          <w:bCs/>
          <w:lang w:val="en-GB"/>
        </w:rPr>
        <w:t xml:space="preserve"> </w:t>
      </w:r>
      <w:proofErr w:type="spellStart"/>
      <w:r w:rsidRPr="00416D67">
        <w:rPr>
          <w:b/>
          <w:bCs/>
          <w:lang w:val="en-GB"/>
        </w:rPr>
        <w:t>komunalnih</w:t>
      </w:r>
      <w:proofErr w:type="spellEnd"/>
      <w:r w:rsidRPr="00416D67">
        <w:rPr>
          <w:b/>
          <w:bCs/>
          <w:lang w:val="en-GB"/>
        </w:rPr>
        <w:t xml:space="preserve"> </w:t>
      </w:r>
      <w:proofErr w:type="spellStart"/>
      <w:r w:rsidRPr="00416D67">
        <w:rPr>
          <w:b/>
          <w:bCs/>
          <w:lang w:val="en-GB"/>
        </w:rPr>
        <w:t>djelatnosti</w:t>
      </w:r>
      <w:proofErr w:type="spellEnd"/>
    </w:p>
    <w:p w14:paraId="04E9880D" w14:textId="77777777" w:rsidR="00416D67" w:rsidRPr="00416D67" w:rsidRDefault="00416D67" w:rsidP="00416D67">
      <w:pPr>
        <w:overflowPunct w:val="0"/>
        <w:autoSpaceDE w:val="0"/>
        <w:autoSpaceDN w:val="0"/>
        <w:adjustRightInd w:val="0"/>
        <w:jc w:val="both"/>
        <w:rPr>
          <w:lang w:val="en-GB"/>
        </w:rPr>
      </w:pPr>
      <w:r w:rsidRPr="00416D67">
        <w:rPr>
          <w:lang w:val="en-GB"/>
        </w:rPr>
        <w:t xml:space="preserve">Program </w:t>
      </w:r>
      <w:proofErr w:type="spellStart"/>
      <w:r w:rsidRPr="00416D67">
        <w:rPr>
          <w:lang w:val="en-GB"/>
        </w:rPr>
        <w:t>održavanja</w:t>
      </w:r>
      <w:proofErr w:type="spellEnd"/>
      <w:r w:rsidRPr="00416D67">
        <w:rPr>
          <w:lang w:val="en-GB"/>
        </w:rPr>
        <w:t xml:space="preserve"> </w:t>
      </w:r>
      <w:proofErr w:type="spellStart"/>
      <w:r w:rsidRPr="00416D67">
        <w:rPr>
          <w:lang w:val="en-GB"/>
        </w:rPr>
        <w:t>komunalne</w:t>
      </w:r>
      <w:proofErr w:type="spellEnd"/>
      <w:r w:rsidRPr="00416D67">
        <w:rPr>
          <w:lang w:val="en-GB"/>
        </w:rPr>
        <w:t xml:space="preserve"> </w:t>
      </w:r>
      <w:proofErr w:type="spellStart"/>
      <w:proofErr w:type="gramStart"/>
      <w:r w:rsidRPr="00416D67">
        <w:rPr>
          <w:lang w:val="en-GB"/>
        </w:rPr>
        <w:t>infrastrukture</w:t>
      </w:r>
      <w:proofErr w:type="spellEnd"/>
      <w:r w:rsidRPr="00416D67">
        <w:rPr>
          <w:lang w:val="en-GB"/>
        </w:rPr>
        <w:t xml:space="preserve">,  </w:t>
      </w:r>
      <w:proofErr w:type="spellStart"/>
      <w:r w:rsidRPr="00416D67">
        <w:rPr>
          <w:lang w:val="en-GB"/>
        </w:rPr>
        <w:t>ostvaren</w:t>
      </w:r>
      <w:proofErr w:type="spellEnd"/>
      <w:proofErr w:type="gramEnd"/>
      <w:r w:rsidRPr="00416D67">
        <w:rPr>
          <w:lang w:val="en-GB"/>
        </w:rPr>
        <w:t xml:space="preserve"> je </w:t>
      </w:r>
      <w:proofErr w:type="spellStart"/>
      <w:r w:rsidRPr="00416D67">
        <w:rPr>
          <w:lang w:val="en-GB"/>
        </w:rPr>
        <w:t>blizu</w:t>
      </w:r>
      <w:proofErr w:type="spellEnd"/>
      <w:r w:rsidRPr="00416D67">
        <w:rPr>
          <w:lang w:val="en-GB"/>
        </w:rPr>
        <w:t xml:space="preserve"> </w:t>
      </w:r>
      <w:proofErr w:type="spellStart"/>
      <w:r w:rsidRPr="00416D67">
        <w:rPr>
          <w:lang w:val="en-GB"/>
        </w:rPr>
        <w:t>planiranih</w:t>
      </w:r>
      <w:proofErr w:type="spellEnd"/>
      <w:r w:rsidRPr="00416D67">
        <w:rPr>
          <w:lang w:val="en-GB"/>
        </w:rPr>
        <w:t xml:space="preserve"> </w:t>
      </w:r>
      <w:proofErr w:type="spellStart"/>
      <w:r w:rsidRPr="00416D67">
        <w:rPr>
          <w:lang w:val="en-GB"/>
        </w:rPr>
        <w:t>veličina</w:t>
      </w:r>
      <w:proofErr w:type="spellEnd"/>
      <w:r w:rsidRPr="00416D67">
        <w:rPr>
          <w:lang w:val="en-GB"/>
        </w:rPr>
        <w:t xml:space="preserve"> (</w:t>
      </w:r>
      <w:proofErr w:type="spellStart"/>
      <w:r w:rsidRPr="00416D67">
        <w:rPr>
          <w:lang w:val="en-GB"/>
        </w:rPr>
        <w:t>indeks</w:t>
      </w:r>
      <w:proofErr w:type="spellEnd"/>
      <w:r w:rsidRPr="00416D67">
        <w:rPr>
          <w:lang w:val="en-GB"/>
        </w:rPr>
        <w:t xml:space="preserve"> </w:t>
      </w:r>
      <w:proofErr w:type="spellStart"/>
      <w:r w:rsidRPr="00416D67">
        <w:rPr>
          <w:lang w:val="en-GB"/>
        </w:rPr>
        <w:t>ostvarenja</w:t>
      </w:r>
      <w:proofErr w:type="spellEnd"/>
      <w:r w:rsidRPr="00416D67">
        <w:rPr>
          <w:lang w:val="en-GB"/>
        </w:rPr>
        <w:t xml:space="preserve"> 93,90%), u </w:t>
      </w:r>
      <w:proofErr w:type="spellStart"/>
      <w:r w:rsidRPr="00416D67">
        <w:rPr>
          <w:lang w:val="en-GB"/>
        </w:rPr>
        <w:t>iznosu</w:t>
      </w:r>
      <w:proofErr w:type="spellEnd"/>
      <w:r w:rsidRPr="00416D67">
        <w:rPr>
          <w:lang w:val="en-GB"/>
        </w:rPr>
        <w:t xml:space="preserve"> </w:t>
      </w:r>
      <w:proofErr w:type="gramStart"/>
      <w:r w:rsidRPr="00416D67">
        <w:rPr>
          <w:lang w:val="en-GB"/>
        </w:rPr>
        <w:t>od  459</w:t>
      </w:r>
      <w:proofErr w:type="gramEnd"/>
      <w:r w:rsidRPr="00416D67">
        <w:rPr>
          <w:lang w:val="en-GB"/>
        </w:rPr>
        <w:t>.005,</w:t>
      </w:r>
      <w:proofErr w:type="gramStart"/>
      <w:r w:rsidRPr="00416D67">
        <w:rPr>
          <w:lang w:val="en-GB"/>
        </w:rPr>
        <w:t>67  EUR</w:t>
      </w:r>
      <w:proofErr w:type="gramEnd"/>
      <w:r w:rsidRPr="00416D67">
        <w:rPr>
          <w:lang w:val="en-GB"/>
        </w:rPr>
        <w:t xml:space="preserve"> (</w:t>
      </w:r>
      <w:proofErr w:type="spellStart"/>
      <w:r w:rsidRPr="00416D67">
        <w:rPr>
          <w:lang w:val="en-GB"/>
        </w:rPr>
        <w:t>ostvarenje</w:t>
      </w:r>
      <w:proofErr w:type="spellEnd"/>
      <w:r w:rsidRPr="00416D67">
        <w:rPr>
          <w:lang w:val="en-GB"/>
        </w:rPr>
        <w:t xml:space="preserve"> 2024.godina 366.381,07 EUR) </w:t>
      </w:r>
      <w:proofErr w:type="spellStart"/>
      <w:r w:rsidRPr="00416D67">
        <w:rPr>
          <w:lang w:val="en-GB"/>
        </w:rPr>
        <w:t>bilježi</w:t>
      </w:r>
      <w:proofErr w:type="spellEnd"/>
      <w:r w:rsidRPr="00416D67">
        <w:rPr>
          <w:lang w:val="en-GB"/>
        </w:rPr>
        <w:t xml:space="preserve"> </w:t>
      </w:r>
      <w:proofErr w:type="spellStart"/>
      <w:proofErr w:type="gramStart"/>
      <w:r w:rsidRPr="00416D67">
        <w:rPr>
          <w:lang w:val="en-GB"/>
        </w:rPr>
        <w:t>povećanje</w:t>
      </w:r>
      <w:proofErr w:type="spellEnd"/>
      <w:r w:rsidRPr="00416D67">
        <w:rPr>
          <w:lang w:val="en-GB"/>
        </w:rPr>
        <w:t xml:space="preserve">  </w:t>
      </w:r>
      <w:proofErr w:type="spellStart"/>
      <w:r w:rsidRPr="00416D67">
        <w:rPr>
          <w:lang w:val="en-GB"/>
        </w:rPr>
        <w:t>ostvarenja</w:t>
      </w:r>
      <w:proofErr w:type="spellEnd"/>
      <w:proofErr w:type="gramEnd"/>
      <w:r w:rsidRPr="00416D67">
        <w:rPr>
          <w:lang w:val="en-GB"/>
        </w:rPr>
        <w:t xml:space="preserve"> </w:t>
      </w:r>
      <w:proofErr w:type="spellStart"/>
      <w:r w:rsidRPr="00416D67">
        <w:rPr>
          <w:lang w:val="en-GB"/>
        </w:rPr>
        <w:t>prethodne</w:t>
      </w:r>
      <w:proofErr w:type="spellEnd"/>
      <w:r w:rsidRPr="00416D67">
        <w:rPr>
          <w:lang w:val="en-GB"/>
        </w:rPr>
        <w:t xml:space="preserve"> </w:t>
      </w:r>
      <w:proofErr w:type="spellStart"/>
      <w:r w:rsidRPr="00416D67">
        <w:rPr>
          <w:lang w:val="en-GB"/>
        </w:rPr>
        <w:t>godine</w:t>
      </w:r>
      <w:proofErr w:type="spellEnd"/>
      <w:r w:rsidRPr="00416D67">
        <w:rPr>
          <w:lang w:val="en-GB"/>
        </w:rPr>
        <w:t xml:space="preserve">.  </w:t>
      </w:r>
    </w:p>
    <w:p w14:paraId="0E150237" w14:textId="77777777" w:rsidR="00416D67" w:rsidRPr="00416D67" w:rsidRDefault="00416D67" w:rsidP="00416D67">
      <w:pPr>
        <w:jc w:val="both"/>
        <w:rPr>
          <w:color w:val="000000"/>
        </w:rPr>
      </w:pPr>
      <w:r w:rsidRPr="00416D67">
        <w:rPr>
          <w:color w:val="000000"/>
        </w:rPr>
        <w:t xml:space="preserve">U 2025. godini sa realizacijom od </w:t>
      </w:r>
      <w:r w:rsidRPr="00416D67">
        <w:rPr>
          <w:rFonts w:eastAsia="Calibri"/>
          <w:b/>
          <w:bCs/>
          <w:color w:val="000000"/>
        </w:rPr>
        <w:t>459.005,67 EUR-a</w:t>
      </w:r>
      <w:r w:rsidRPr="00416D67">
        <w:rPr>
          <w:color w:val="000000"/>
        </w:rPr>
        <w:t xml:space="preserve"> predstavlja vidljivo povećanje troškova održavanja komunalne infrastrukture u odnosu na 2024. godinu u kojoj su izdaci iznosili </w:t>
      </w:r>
      <w:r w:rsidRPr="00416D67">
        <w:rPr>
          <w:rFonts w:eastAsia="Calibri"/>
          <w:b/>
          <w:bCs/>
          <w:color w:val="000000"/>
        </w:rPr>
        <w:t xml:space="preserve">366.381,07 </w:t>
      </w:r>
      <w:r w:rsidRPr="00416D67">
        <w:rPr>
          <w:b/>
          <w:color w:val="000000"/>
        </w:rPr>
        <w:t>EUR-a.</w:t>
      </w:r>
      <w:r w:rsidRPr="00416D67">
        <w:rPr>
          <w:color w:val="000000"/>
        </w:rPr>
        <w:t xml:space="preserve"> Navedeno povećanje iznosi 20,18%. </w:t>
      </w:r>
    </w:p>
    <w:p w14:paraId="5702A0E4" w14:textId="77777777" w:rsidR="00416D67" w:rsidRPr="00416D67" w:rsidRDefault="00416D67" w:rsidP="00416D67">
      <w:pPr>
        <w:jc w:val="both"/>
      </w:pPr>
      <w:r w:rsidRPr="00416D67">
        <w:tab/>
        <w:t>Struktura rashoda Programa održavanja po pojedinim komunalnim djelatnostima u 2025. godini bila je slijedeća:</w:t>
      </w:r>
    </w:p>
    <w:p w14:paraId="1AE32B6A" w14:textId="77777777" w:rsidR="00416D67" w:rsidRPr="00416D67" w:rsidRDefault="00416D67" w:rsidP="00416D6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4511"/>
        <w:gridCol w:w="2082"/>
        <w:gridCol w:w="1827"/>
      </w:tblGrid>
      <w:tr w:rsidR="00416D67" w:rsidRPr="00416D67" w14:paraId="6FEF1AD8" w14:textId="77777777" w:rsidTr="00BB1392">
        <w:trPr>
          <w:trHeight w:val="121"/>
        </w:trPr>
        <w:tc>
          <w:tcPr>
            <w:tcW w:w="643" w:type="dxa"/>
            <w:tcBorders>
              <w:top w:val="single" w:sz="4" w:space="0" w:color="auto"/>
              <w:left w:val="single" w:sz="4" w:space="0" w:color="auto"/>
              <w:bottom w:val="single" w:sz="4" w:space="0" w:color="auto"/>
              <w:right w:val="single" w:sz="4" w:space="0" w:color="auto"/>
            </w:tcBorders>
            <w:hideMark/>
          </w:tcPr>
          <w:p w14:paraId="18053A28" w14:textId="77777777" w:rsidR="00416D67" w:rsidRPr="00416D67" w:rsidRDefault="00416D67" w:rsidP="00416D67">
            <w:pPr>
              <w:rPr>
                <w:rFonts w:eastAsia="Calibri"/>
                <w:noProof/>
                <w:lang w:eastAsia="en-US"/>
              </w:rPr>
            </w:pPr>
            <w:proofErr w:type="spellStart"/>
            <w:r w:rsidRPr="00416D67">
              <w:rPr>
                <w:rFonts w:eastAsia="Calibri"/>
                <w:lang w:eastAsia="en-US"/>
              </w:rPr>
              <w:t>R.b</w:t>
            </w:r>
            <w:proofErr w:type="spellEnd"/>
            <w:r w:rsidRPr="00416D67">
              <w:rPr>
                <w:rFonts w:eastAsia="Calibri"/>
                <w:lang w:eastAsia="en-US"/>
              </w:rPr>
              <w:t>.</w:t>
            </w:r>
          </w:p>
        </w:tc>
        <w:tc>
          <w:tcPr>
            <w:tcW w:w="4591" w:type="dxa"/>
            <w:tcBorders>
              <w:top w:val="single" w:sz="4" w:space="0" w:color="auto"/>
              <w:left w:val="single" w:sz="4" w:space="0" w:color="auto"/>
              <w:bottom w:val="single" w:sz="4" w:space="0" w:color="auto"/>
              <w:right w:val="single" w:sz="4" w:space="0" w:color="auto"/>
            </w:tcBorders>
          </w:tcPr>
          <w:p w14:paraId="1B94D04C" w14:textId="77777777" w:rsidR="00416D67" w:rsidRPr="00416D67" w:rsidRDefault="00416D67" w:rsidP="00416D67">
            <w:pPr>
              <w:rPr>
                <w:rFonts w:eastAsia="Calibri"/>
                <w:noProof/>
                <w:lang w:eastAsia="en-US"/>
              </w:rPr>
            </w:pPr>
            <w:r w:rsidRPr="00416D67">
              <w:rPr>
                <w:rFonts w:eastAsia="Calibri"/>
                <w:lang w:eastAsia="en-US"/>
              </w:rPr>
              <w:t>Naziv komunalne djelatnosti</w:t>
            </w:r>
          </w:p>
          <w:p w14:paraId="3707BD31" w14:textId="77777777" w:rsidR="00416D67" w:rsidRPr="00416D67" w:rsidRDefault="00416D67" w:rsidP="00416D67">
            <w:pPr>
              <w:rPr>
                <w:rFonts w:eastAsia="Calibri"/>
                <w:noProof/>
                <w:lang w:eastAsia="en-US"/>
              </w:rPr>
            </w:pPr>
          </w:p>
        </w:tc>
        <w:tc>
          <w:tcPr>
            <w:tcW w:w="2104" w:type="dxa"/>
            <w:tcBorders>
              <w:top w:val="single" w:sz="4" w:space="0" w:color="auto"/>
              <w:left w:val="single" w:sz="4" w:space="0" w:color="auto"/>
              <w:bottom w:val="single" w:sz="4" w:space="0" w:color="auto"/>
              <w:right w:val="single" w:sz="4" w:space="0" w:color="auto"/>
            </w:tcBorders>
            <w:hideMark/>
          </w:tcPr>
          <w:p w14:paraId="3EF1C283" w14:textId="77777777" w:rsidR="00416D67" w:rsidRPr="00416D67" w:rsidRDefault="00416D67" w:rsidP="00416D67">
            <w:pPr>
              <w:rPr>
                <w:rFonts w:eastAsia="Calibri"/>
                <w:noProof/>
                <w:lang w:eastAsia="en-US"/>
              </w:rPr>
            </w:pPr>
            <w:r w:rsidRPr="00416D67">
              <w:rPr>
                <w:rFonts w:eastAsia="Calibri"/>
                <w:lang w:eastAsia="en-US"/>
              </w:rPr>
              <w:t>Planirano  2025.</w:t>
            </w:r>
          </w:p>
        </w:tc>
        <w:tc>
          <w:tcPr>
            <w:tcW w:w="1842" w:type="dxa"/>
            <w:tcBorders>
              <w:top w:val="single" w:sz="4" w:space="0" w:color="auto"/>
              <w:left w:val="single" w:sz="4" w:space="0" w:color="auto"/>
              <w:bottom w:val="single" w:sz="4" w:space="0" w:color="auto"/>
              <w:right w:val="single" w:sz="4" w:space="0" w:color="auto"/>
            </w:tcBorders>
            <w:hideMark/>
          </w:tcPr>
          <w:p w14:paraId="5BC000E4" w14:textId="77777777" w:rsidR="00416D67" w:rsidRPr="00416D67" w:rsidRDefault="00416D67" w:rsidP="00416D67">
            <w:pPr>
              <w:rPr>
                <w:rFonts w:eastAsia="Calibri"/>
                <w:noProof/>
                <w:lang w:eastAsia="en-US"/>
              </w:rPr>
            </w:pPr>
            <w:r w:rsidRPr="00416D67">
              <w:rPr>
                <w:rFonts w:eastAsia="Calibri"/>
                <w:lang w:eastAsia="en-US"/>
              </w:rPr>
              <w:t xml:space="preserve">Izvršenje 2025. </w:t>
            </w:r>
          </w:p>
        </w:tc>
      </w:tr>
      <w:tr w:rsidR="00416D67" w:rsidRPr="00416D67" w14:paraId="5920EF07" w14:textId="77777777" w:rsidTr="00BB1392">
        <w:trPr>
          <w:trHeight w:val="257"/>
        </w:trPr>
        <w:tc>
          <w:tcPr>
            <w:tcW w:w="643" w:type="dxa"/>
            <w:tcBorders>
              <w:top w:val="single" w:sz="4" w:space="0" w:color="auto"/>
              <w:left w:val="single" w:sz="4" w:space="0" w:color="auto"/>
              <w:bottom w:val="single" w:sz="4" w:space="0" w:color="auto"/>
              <w:right w:val="single" w:sz="4" w:space="0" w:color="auto"/>
            </w:tcBorders>
            <w:hideMark/>
          </w:tcPr>
          <w:p w14:paraId="42E5BF83" w14:textId="77777777" w:rsidR="00416D67" w:rsidRPr="00416D67" w:rsidRDefault="00416D67" w:rsidP="00416D67">
            <w:pPr>
              <w:rPr>
                <w:rFonts w:eastAsia="Calibri"/>
                <w:noProof/>
                <w:sz w:val="22"/>
                <w:szCs w:val="22"/>
                <w:lang w:eastAsia="en-US"/>
              </w:rPr>
            </w:pPr>
            <w:r w:rsidRPr="00416D67">
              <w:rPr>
                <w:rFonts w:eastAsia="Calibri"/>
                <w:sz w:val="22"/>
                <w:szCs w:val="22"/>
                <w:lang w:eastAsia="en-US"/>
              </w:rPr>
              <w:t>1.</w:t>
            </w:r>
          </w:p>
        </w:tc>
        <w:tc>
          <w:tcPr>
            <w:tcW w:w="4591" w:type="dxa"/>
            <w:tcBorders>
              <w:top w:val="single" w:sz="4" w:space="0" w:color="auto"/>
              <w:left w:val="single" w:sz="4" w:space="0" w:color="auto"/>
              <w:bottom w:val="single" w:sz="4" w:space="0" w:color="auto"/>
              <w:right w:val="single" w:sz="4" w:space="0" w:color="auto"/>
            </w:tcBorders>
            <w:hideMark/>
          </w:tcPr>
          <w:p w14:paraId="02F0E5ED" w14:textId="77777777" w:rsidR="00416D67" w:rsidRPr="00416D67" w:rsidRDefault="00416D67" w:rsidP="00416D67">
            <w:pPr>
              <w:rPr>
                <w:rFonts w:eastAsia="Calibri"/>
                <w:noProof/>
                <w:sz w:val="22"/>
                <w:szCs w:val="22"/>
                <w:lang w:eastAsia="en-US"/>
              </w:rPr>
            </w:pPr>
            <w:r w:rsidRPr="00416D67">
              <w:rPr>
                <w:rFonts w:eastAsia="Calibri"/>
                <w:sz w:val="22"/>
                <w:szCs w:val="22"/>
                <w:lang w:eastAsia="en-US"/>
              </w:rPr>
              <w:t>Održavanje nerazvrstanih cesta</w:t>
            </w:r>
          </w:p>
        </w:tc>
        <w:tc>
          <w:tcPr>
            <w:tcW w:w="2104" w:type="dxa"/>
            <w:tcBorders>
              <w:top w:val="single" w:sz="4" w:space="0" w:color="auto"/>
              <w:left w:val="single" w:sz="4" w:space="0" w:color="auto"/>
              <w:bottom w:val="single" w:sz="4" w:space="0" w:color="auto"/>
              <w:right w:val="single" w:sz="4" w:space="0" w:color="auto"/>
            </w:tcBorders>
            <w:hideMark/>
          </w:tcPr>
          <w:p w14:paraId="6EB166B3" w14:textId="77777777" w:rsidR="00416D67" w:rsidRPr="00416D67" w:rsidRDefault="00416D67" w:rsidP="00416D67">
            <w:pPr>
              <w:jc w:val="right"/>
              <w:rPr>
                <w:rFonts w:eastAsia="Calibri"/>
                <w:bCs/>
                <w:noProof/>
                <w:lang w:val="en-GB" w:eastAsia="en-US"/>
              </w:rPr>
            </w:pPr>
            <w:r w:rsidRPr="00416D67">
              <w:rPr>
                <w:rFonts w:eastAsia="Calibri"/>
                <w:bCs/>
                <w:lang w:val="en-GB" w:eastAsia="en-US"/>
              </w:rPr>
              <w:t>204.125</w:t>
            </w:r>
          </w:p>
        </w:tc>
        <w:tc>
          <w:tcPr>
            <w:tcW w:w="1842" w:type="dxa"/>
            <w:tcBorders>
              <w:top w:val="single" w:sz="4" w:space="0" w:color="auto"/>
              <w:left w:val="single" w:sz="4" w:space="0" w:color="auto"/>
              <w:bottom w:val="single" w:sz="4" w:space="0" w:color="auto"/>
              <w:right w:val="single" w:sz="4" w:space="0" w:color="auto"/>
            </w:tcBorders>
            <w:hideMark/>
          </w:tcPr>
          <w:p w14:paraId="26BDC450" w14:textId="77777777" w:rsidR="00416D67" w:rsidRPr="00416D67" w:rsidRDefault="00416D67" w:rsidP="00416D67">
            <w:pPr>
              <w:jc w:val="right"/>
              <w:rPr>
                <w:rFonts w:eastAsia="Calibri"/>
                <w:b/>
                <w:bCs/>
                <w:noProof/>
                <w:color w:val="000000"/>
                <w:sz w:val="22"/>
                <w:szCs w:val="22"/>
                <w:lang w:eastAsia="en-US"/>
              </w:rPr>
            </w:pPr>
            <w:r w:rsidRPr="00416D67">
              <w:rPr>
                <w:rFonts w:eastAsia="Calibri"/>
                <w:b/>
                <w:color w:val="000000"/>
                <w:lang w:eastAsia="en-US"/>
              </w:rPr>
              <w:t>201.399,17</w:t>
            </w:r>
          </w:p>
        </w:tc>
      </w:tr>
      <w:tr w:rsidR="00416D67" w:rsidRPr="00416D67" w14:paraId="005D77AB" w14:textId="77777777" w:rsidTr="00BB1392">
        <w:trPr>
          <w:trHeight w:val="525"/>
        </w:trPr>
        <w:tc>
          <w:tcPr>
            <w:tcW w:w="643" w:type="dxa"/>
            <w:tcBorders>
              <w:top w:val="single" w:sz="4" w:space="0" w:color="auto"/>
              <w:left w:val="single" w:sz="4" w:space="0" w:color="auto"/>
              <w:bottom w:val="single" w:sz="4" w:space="0" w:color="auto"/>
              <w:right w:val="single" w:sz="4" w:space="0" w:color="auto"/>
            </w:tcBorders>
            <w:hideMark/>
          </w:tcPr>
          <w:p w14:paraId="5F7EC1B3" w14:textId="77777777" w:rsidR="00416D67" w:rsidRPr="00416D67" w:rsidRDefault="00416D67" w:rsidP="00416D67">
            <w:pPr>
              <w:rPr>
                <w:rFonts w:eastAsia="Calibri"/>
                <w:noProof/>
                <w:sz w:val="22"/>
                <w:szCs w:val="22"/>
                <w:lang w:eastAsia="en-US"/>
              </w:rPr>
            </w:pPr>
            <w:r w:rsidRPr="00416D67">
              <w:rPr>
                <w:rFonts w:eastAsia="Calibri"/>
                <w:sz w:val="22"/>
                <w:szCs w:val="22"/>
                <w:lang w:eastAsia="en-US"/>
              </w:rPr>
              <w:t>2.</w:t>
            </w:r>
          </w:p>
        </w:tc>
        <w:tc>
          <w:tcPr>
            <w:tcW w:w="4591" w:type="dxa"/>
            <w:tcBorders>
              <w:top w:val="single" w:sz="4" w:space="0" w:color="auto"/>
              <w:left w:val="single" w:sz="4" w:space="0" w:color="auto"/>
              <w:bottom w:val="single" w:sz="4" w:space="0" w:color="auto"/>
              <w:right w:val="single" w:sz="4" w:space="0" w:color="auto"/>
            </w:tcBorders>
            <w:hideMark/>
          </w:tcPr>
          <w:p w14:paraId="1CD9C7EC" w14:textId="77777777" w:rsidR="00416D67" w:rsidRPr="00416D67" w:rsidRDefault="00416D67" w:rsidP="00416D67">
            <w:pPr>
              <w:rPr>
                <w:rFonts w:eastAsia="Calibri"/>
                <w:noProof/>
                <w:sz w:val="22"/>
                <w:szCs w:val="22"/>
                <w:lang w:eastAsia="en-US"/>
              </w:rPr>
            </w:pPr>
            <w:r w:rsidRPr="00416D67">
              <w:rPr>
                <w:color w:val="231F20"/>
                <w:sz w:val="22"/>
                <w:szCs w:val="22"/>
                <w:lang w:eastAsia="en-US"/>
              </w:rPr>
              <w:t>Održavanje javnih površina na kojima nije dopušten promet motornim vozilima</w:t>
            </w:r>
          </w:p>
        </w:tc>
        <w:tc>
          <w:tcPr>
            <w:tcW w:w="2104" w:type="dxa"/>
            <w:tcBorders>
              <w:top w:val="single" w:sz="4" w:space="0" w:color="auto"/>
              <w:left w:val="single" w:sz="4" w:space="0" w:color="auto"/>
              <w:bottom w:val="single" w:sz="4" w:space="0" w:color="auto"/>
              <w:right w:val="single" w:sz="4" w:space="0" w:color="auto"/>
            </w:tcBorders>
            <w:hideMark/>
          </w:tcPr>
          <w:p w14:paraId="69D75EAE" w14:textId="77777777" w:rsidR="00416D67" w:rsidRPr="00416D67" w:rsidRDefault="00416D67" w:rsidP="00416D67">
            <w:pPr>
              <w:jc w:val="right"/>
              <w:rPr>
                <w:rFonts w:eastAsia="Calibri"/>
                <w:noProof/>
                <w:lang w:val="en-GB" w:eastAsia="en-US"/>
              </w:rPr>
            </w:pPr>
            <w:r w:rsidRPr="00416D67">
              <w:rPr>
                <w:rFonts w:eastAsia="Calibri"/>
                <w:lang w:val="en-GB" w:eastAsia="en-US"/>
              </w:rPr>
              <w:t>6.500</w:t>
            </w:r>
          </w:p>
        </w:tc>
        <w:tc>
          <w:tcPr>
            <w:tcW w:w="1842" w:type="dxa"/>
            <w:tcBorders>
              <w:top w:val="single" w:sz="4" w:space="0" w:color="auto"/>
              <w:left w:val="single" w:sz="4" w:space="0" w:color="auto"/>
              <w:bottom w:val="single" w:sz="4" w:space="0" w:color="auto"/>
              <w:right w:val="single" w:sz="4" w:space="0" w:color="auto"/>
            </w:tcBorders>
            <w:hideMark/>
          </w:tcPr>
          <w:p w14:paraId="06583106" w14:textId="77777777" w:rsidR="00416D67" w:rsidRPr="00416D67" w:rsidRDefault="00416D67" w:rsidP="00416D67">
            <w:pPr>
              <w:jc w:val="right"/>
              <w:rPr>
                <w:rFonts w:eastAsia="Calibri"/>
                <w:b/>
                <w:bCs/>
                <w:noProof/>
                <w:color w:val="000000"/>
                <w:sz w:val="22"/>
                <w:szCs w:val="22"/>
                <w:lang w:eastAsia="en-US"/>
              </w:rPr>
            </w:pPr>
            <w:r w:rsidRPr="00416D67">
              <w:rPr>
                <w:rFonts w:eastAsia="Calibri"/>
                <w:b/>
                <w:color w:val="000000"/>
                <w:lang w:eastAsia="en-US"/>
              </w:rPr>
              <w:t>6.992,63</w:t>
            </w:r>
          </w:p>
        </w:tc>
      </w:tr>
      <w:tr w:rsidR="00416D67" w:rsidRPr="00416D67" w14:paraId="20E41D4F" w14:textId="77777777" w:rsidTr="00BB1392">
        <w:trPr>
          <w:trHeight w:val="525"/>
        </w:trPr>
        <w:tc>
          <w:tcPr>
            <w:tcW w:w="643" w:type="dxa"/>
            <w:tcBorders>
              <w:top w:val="single" w:sz="4" w:space="0" w:color="auto"/>
              <w:left w:val="single" w:sz="4" w:space="0" w:color="auto"/>
              <w:bottom w:val="single" w:sz="4" w:space="0" w:color="auto"/>
              <w:right w:val="single" w:sz="4" w:space="0" w:color="auto"/>
            </w:tcBorders>
            <w:hideMark/>
          </w:tcPr>
          <w:p w14:paraId="1CC48F59" w14:textId="77777777" w:rsidR="00416D67" w:rsidRPr="00416D67" w:rsidRDefault="00416D67" w:rsidP="00416D67">
            <w:pPr>
              <w:rPr>
                <w:rFonts w:eastAsia="Calibri"/>
                <w:noProof/>
                <w:sz w:val="22"/>
                <w:szCs w:val="22"/>
                <w:lang w:eastAsia="en-US"/>
              </w:rPr>
            </w:pPr>
            <w:r w:rsidRPr="00416D67">
              <w:rPr>
                <w:rFonts w:eastAsia="Calibri"/>
                <w:sz w:val="22"/>
                <w:szCs w:val="22"/>
                <w:lang w:eastAsia="en-US"/>
              </w:rPr>
              <w:t>3.</w:t>
            </w:r>
          </w:p>
        </w:tc>
        <w:tc>
          <w:tcPr>
            <w:tcW w:w="4591" w:type="dxa"/>
            <w:tcBorders>
              <w:top w:val="single" w:sz="4" w:space="0" w:color="auto"/>
              <w:left w:val="single" w:sz="4" w:space="0" w:color="auto"/>
              <w:bottom w:val="single" w:sz="4" w:space="0" w:color="auto"/>
              <w:right w:val="single" w:sz="4" w:space="0" w:color="auto"/>
            </w:tcBorders>
            <w:hideMark/>
          </w:tcPr>
          <w:p w14:paraId="3BBC13F6" w14:textId="77777777" w:rsidR="00416D67" w:rsidRPr="00416D67" w:rsidRDefault="00416D67" w:rsidP="00416D67">
            <w:pPr>
              <w:rPr>
                <w:noProof/>
                <w:color w:val="231F20"/>
                <w:sz w:val="22"/>
                <w:szCs w:val="22"/>
                <w:lang w:eastAsia="en-US"/>
              </w:rPr>
            </w:pPr>
            <w:r w:rsidRPr="00416D67">
              <w:rPr>
                <w:color w:val="231F20"/>
                <w:sz w:val="22"/>
                <w:szCs w:val="22"/>
                <w:lang w:eastAsia="en-US"/>
              </w:rPr>
              <w:t>Održavanje građevina javne odvodnje oborinskih voda</w:t>
            </w:r>
          </w:p>
        </w:tc>
        <w:tc>
          <w:tcPr>
            <w:tcW w:w="2104" w:type="dxa"/>
            <w:tcBorders>
              <w:top w:val="single" w:sz="4" w:space="0" w:color="auto"/>
              <w:left w:val="single" w:sz="4" w:space="0" w:color="auto"/>
              <w:bottom w:val="single" w:sz="4" w:space="0" w:color="auto"/>
              <w:right w:val="single" w:sz="4" w:space="0" w:color="auto"/>
            </w:tcBorders>
            <w:hideMark/>
          </w:tcPr>
          <w:p w14:paraId="3956A94C" w14:textId="77777777" w:rsidR="00416D67" w:rsidRPr="00416D67" w:rsidRDefault="00416D67" w:rsidP="00416D67">
            <w:pPr>
              <w:jc w:val="right"/>
              <w:rPr>
                <w:rFonts w:eastAsia="Calibri"/>
                <w:noProof/>
                <w:lang w:val="en-GB" w:eastAsia="en-US"/>
              </w:rPr>
            </w:pPr>
            <w:r w:rsidRPr="00416D67">
              <w:rPr>
                <w:rFonts w:eastAsia="Calibri"/>
                <w:lang w:val="en-GB" w:eastAsia="en-US"/>
              </w:rPr>
              <w:t>4.200</w:t>
            </w:r>
          </w:p>
        </w:tc>
        <w:tc>
          <w:tcPr>
            <w:tcW w:w="1842" w:type="dxa"/>
            <w:tcBorders>
              <w:top w:val="single" w:sz="4" w:space="0" w:color="auto"/>
              <w:left w:val="single" w:sz="4" w:space="0" w:color="auto"/>
              <w:bottom w:val="single" w:sz="4" w:space="0" w:color="auto"/>
              <w:right w:val="single" w:sz="4" w:space="0" w:color="auto"/>
            </w:tcBorders>
            <w:hideMark/>
          </w:tcPr>
          <w:p w14:paraId="4CA995C9" w14:textId="77777777" w:rsidR="00416D67" w:rsidRPr="00416D67" w:rsidRDefault="00416D67" w:rsidP="00416D67">
            <w:pPr>
              <w:jc w:val="right"/>
              <w:rPr>
                <w:rFonts w:eastAsia="Calibri"/>
                <w:b/>
                <w:bCs/>
                <w:noProof/>
                <w:color w:val="000000"/>
                <w:sz w:val="22"/>
                <w:szCs w:val="22"/>
                <w:lang w:eastAsia="en-US"/>
              </w:rPr>
            </w:pPr>
            <w:r w:rsidRPr="00416D67">
              <w:rPr>
                <w:rFonts w:eastAsia="Calibri"/>
                <w:b/>
                <w:color w:val="000000"/>
                <w:lang w:eastAsia="en-US"/>
              </w:rPr>
              <w:t>2.265,63</w:t>
            </w:r>
          </w:p>
        </w:tc>
      </w:tr>
      <w:tr w:rsidR="00416D67" w:rsidRPr="00416D67" w14:paraId="45733B1D" w14:textId="77777777" w:rsidTr="00BB1392">
        <w:trPr>
          <w:trHeight w:val="191"/>
        </w:trPr>
        <w:tc>
          <w:tcPr>
            <w:tcW w:w="643" w:type="dxa"/>
            <w:tcBorders>
              <w:top w:val="single" w:sz="4" w:space="0" w:color="auto"/>
              <w:left w:val="single" w:sz="4" w:space="0" w:color="auto"/>
              <w:bottom w:val="single" w:sz="4" w:space="0" w:color="auto"/>
              <w:right w:val="single" w:sz="4" w:space="0" w:color="auto"/>
            </w:tcBorders>
            <w:hideMark/>
          </w:tcPr>
          <w:p w14:paraId="6A4518A4" w14:textId="77777777" w:rsidR="00416D67" w:rsidRPr="00416D67" w:rsidRDefault="00416D67" w:rsidP="00416D67">
            <w:pPr>
              <w:rPr>
                <w:rFonts w:eastAsia="Calibri"/>
                <w:noProof/>
                <w:sz w:val="22"/>
                <w:szCs w:val="22"/>
                <w:lang w:eastAsia="en-US"/>
              </w:rPr>
            </w:pPr>
            <w:r w:rsidRPr="00416D67">
              <w:rPr>
                <w:rFonts w:eastAsia="Calibri"/>
                <w:sz w:val="22"/>
                <w:szCs w:val="22"/>
                <w:lang w:eastAsia="en-US"/>
              </w:rPr>
              <w:t>4.</w:t>
            </w:r>
          </w:p>
        </w:tc>
        <w:tc>
          <w:tcPr>
            <w:tcW w:w="4591" w:type="dxa"/>
            <w:tcBorders>
              <w:top w:val="single" w:sz="4" w:space="0" w:color="auto"/>
              <w:left w:val="single" w:sz="4" w:space="0" w:color="auto"/>
              <w:bottom w:val="single" w:sz="4" w:space="0" w:color="auto"/>
              <w:right w:val="single" w:sz="4" w:space="0" w:color="auto"/>
            </w:tcBorders>
            <w:hideMark/>
          </w:tcPr>
          <w:p w14:paraId="77CF4D93" w14:textId="77777777" w:rsidR="00416D67" w:rsidRPr="00416D67" w:rsidRDefault="00416D67" w:rsidP="00416D67">
            <w:pPr>
              <w:rPr>
                <w:rFonts w:eastAsia="Calibri"/>
                <w:noProof/>
                <w:sz w:val="22"/>
                <w:szCs w:val="22"/>
                <w:lang w:eastAsia="en-US"/>
              </w:rPr>
            </w:pPr>
            <w:r w:rsidRPr="00416D67">
              <w:rPr>
                <w:color w:val="231F20"/>
                <w:sz w:val="22"/>
                <w:szCs w:val="22"/>
                <w:lang w:eastAsia="en-US"/>
              </w:rPr>
              <w:t>Održavanje javnih zelenih površina</w:t>
            </w:r>
          </w:p>
        </w:tc>
        <w:tc>
          <w:tcPr>
            <w:tcW w:w="2104" w:type="dxa"/>
            <w:tcBorders>
              <w:top w:val="single" w:sz="4" w:space="0" w:color="auto"/>
              <w:left w:val="single" w:sz="4" w:space="0" w:color="auto"/>
              <w:bottom w:val="single" w:sz="4" w:space="0" w:color="auto"/>
              <w:right w:val="single" w:sz="4" w:space="0" w:color="auto"/>
            </w:tcBorders>
            <w:hideMark/>
          </w:tcPr>
          <w:p w14:paraId="66E00639" w14:textId="77777777" w:rsidR="00416D67" w:rsidRPr="00416D67" w:rsidRDefault="00416D67" w:rsidP="00416D67">
            <w:pPr>
              <w:jc w:val="right"/>
              <w:rPr>
                <w:rFonts w:eastAsia="Calibri"/>
                <w:noProof/>
                <w:lang w:val="en-GB" w:eastAsia="en-US"/>
              </w:rPr>
            </w:pPr>
            <w:r w:rsidRPr="00416D67">
              <w:rPr>
                <w:rFonts w:eastAsia="Calibri"/>
                <w:lang w:val="en-GB" w:eastAsia="en-US"/>
              </w:rPr>
              <w:t>73.310</w:t>
            </w:r>
          </w:p>
        </w:tc>
        <w:tc>
          <w:tcPr>
            <w:tcW w:w="1842" w:type="dxa"/>
            <w:tcBorders>
              <w:top w:val="single" w:sz="4" w:space="0" w:color="auto"/>
              <w:left w:val="single" w:sz="4" w:space="0" w:color="auto"/>
              <w:bottom w:val="single" w:sz="4" w:space="0" w:color="auto"/>
              <w:right w:val="single" w:sz="4" w:space="0" w:color="auto"/>
            </w:tcBorders>
            <w:hideMark/>
          </w:tcPr>
          <w:p w14:paraId="3B5BA26E" w14:textId="77777777" w:rsidR="00416D67" w:rsidRPr="00416D67" w:rsidRDefault="00416D67" w:rsidP="00416D67">
            <w:pPr>
              <w:jc w:val="right"/>
              <w:rPr>
                <w:rFonts w:eastAsia="Calibri"/>
                <w:b/>
                <w:bCs/>
                <w:noProof/>
                <w:color w:val="000000"/>
                <w:sz w:val="22"/>
                <w:szCs w:val="22"/>
                <w:lang w:eastAsia="en-US"/>
              </w:rPr>
            </w:pPr>
            <w:r w:rsidRPr="00416D67">
              <w:rPr>
                <w:rFonts w:eastAsia="Calibri"/>
                <w:b/>
                <w:color w:val="000000"/>
                <w:lang w:eastAsia="en-US"/>
              </w:rPr>
              <w:t>64.490,57</w:t>
            </w:r>
          </w:p>
        </w:tc>
      </w:tr>
      <w:tr w:rsidR="00416D67" w:rsidRPr="00416D67" w14:paraId="7EC138A9" w14:textId="77777777" w:rsidTr="00BB1392">
        <w:trPr>
          <w:trHeight w:val="525"/>
        </w:trPr>
        <w:tc>
          <w:tcPr>
            <w:tcW w:w="643" w:type="dxa"/>
            <w:tcBorders>
              <w:top w:val="single" w:sz="4" w:space="0" w:color="auto"/>
              <w:left w:val="single" w:sz="4" w:space="0" w:color="auto"/>
              <w:bottom w:val="single" w:sz="4" w:space="0" w:color="auto"/>
              <w:right w:val="single" w:sz="4" w:space="0" w:color="auto"/>
            </w:tcBorders>
            <w:hideMark/>
          </w:tcPr>
          <w:p w14:paraId="70AFA99D" w14:textId="77777777" w:rsidR="00416D67" w:rsidRPr="00416D67" w:rsidRDefault="00416D67" w:rsidP="00416D67">
            <w:pPr>
              <w:rPr>
                <w:rFonts w:eastAsia="Calibri"/>
                <w:noProof/>
                <w:sz w:val="22"/>
                <w:szCs w:val="22"/>
                <w:lang w:eastAsia="en-US"/>
              </w:rPr>
            </w:pPr>
            <w:r w:rsidRPr="00416D67">
              <w:rPr>
                <w:rFonts w:eastAsia="Calibri"/>
                <w:sz w:val="22"/>
                <w:szCs w:val="22"/>
                <w:lang w:eastAsia="en-US"/>
              </w:rPr>
              <w:t>5.</w:t>
            </w:r>
          </w:p>
        </w:tc>
        <w:tc>
          <w:tcPr>
            <w:tcW w:w="4591" w:type="dxa"/>
            <w:tcBorders>
              <w:top w:val="single" w:sz="4" w:space="0" w:color="auto"/>
              <w:left w:val="single" w:sz="4" w:space="0" w:color="auto"/>
              <w:bottom w:val="single" w:sz="4" w:space="0" w:color="auto"/>
              <w:right w:val="single" w:sz="4" w:space="0" w:color="auto"/>
            </w:tcBorders>
            <w:hideMark/>
          </w:tcPr>
          <w:p w14:paraId="1E0AE353" w14:textId="77777777" w:rsidR="00416D67" w:rsidRPr="00416D67" w:rsidRDefault="00416D67" w:rsidP="00416D67">
            <w:pPr>
              <w:rPr>
                <w:rFonts w:eastAsia="Calibri"/>
                <w:noProof/>
                <w:sz w:val="22"/>
                <w:szCs w:val="22"/>
                <w:lang w:eastAsia="en-US"/>
              </w:rPr>
            </w:pPr>
            <w:r w:rsidRPr="00416D67">
              <w:rPr>
                <w:color w:val="231F20"/>
                <w:sz w:val="22"/>
                <w:szCs w:val="22"/>
                <w:lang w:eastAsia="en-US"/>
              </w:rPr>
              <w:t>Održavanje građevina, uređaja i predmeta javne namjene</w:t>
            </w:r>
          </w:p>
        </w:tc>
        <w:tc>
          <w:tcPr>
            <w:tcW w:w="2104" w:type="dxa"/>
            <w:tcBorders>
              <w:top w:val="single" w:sz="4" w:space="0" w:color="auto"/>
              <w:left w:val="single" w:sz="4" w:space="0" w:color="auto"/>
              <w:bottom w:val="single" w:sz="4" w:space="0" w:color="auto"/>
              <w:right w:val="single" w:sz="4" w:space="0" w:color="auto"/>
            </w:tcBorders>
            <w:hideMark/>
          </w:tcPr>
          <w:p w14:paraId="22BFA139" w14:textId="77777777" w:rsidR="00416D67" w:rsidRPr="00416D67" w:rsidRDefault="00416D67" w:rsidP="00416D67">
            <w:pPr>
              <w:jc w:val="right"/>
              <w:rPr>
                <w:rFonts w:eastAsia="Calibri"/>
                <w:noProof/>
                <w:lang w:val="en-GB" w:eastAsia="en-US"/>
              </w:rPr>
            </w:pPr>
            <w:r w:rsidRPr="00416D67">
              <w:rPr>
                <w:rFonts w:eastAsia="Calibri"/>
                <w:lang w:val="en-GB" w:eastAsia="en-US"/>
              </w:rPr>
              <w:t>15.000</w:t>
            </w:r>
          </w:p>
        </w:tc>
        <w:tc>
          <w:tcPr>
            <w:tcW w:w="1842" w:type="dxa"/>
            <w:tcBorders>
              <w:top w:val="single" w:sz="4" w:space="0" w:color="auto"/>
              <w:left w:val="single" w:sz="4" w:space="0" w:color="auto"/>
              <w:bottom w:val="single" w:sz="4" w:space="0" w:color="auto"/>
              <w:right w:val="single" w:sz="4" w:space="0" w:color="auto"/>
            </w:tcBorders>
            <w:hideMark/>
          </w:tcPr>
          <w:p w14:paraId="2C98D8C8" w14:textId="77777777" w:rsidR="00416D67" w:rsidRPr="00416D67" w:rsidRDefault="00416D67" w:rsidP="00416D67">
            <w:pPr>
              <w:jc w:val="right"/>
              <w:rPr>
                <w:rFonts w:eastAsia="Calibri"/>
                <w:b/>
                <w:bCs/>
                <w:noProof/>
                <w:color w:val="000000"/>
                <w:sz w:val="22"/>
                <w:szCs w:val="22"/>
                <w:lang w:eastAsia="en-US"/>
              </w:rPr>
            </w:pPr>
            <w:r w:rsidRPr="00416D67">
              <w:rPr>
                <w:rFonts w:eastAsia="Calibri"/>
                <w:b/>
                <w:color w:val="000000"/>
                <w:lang w:eastAsia="en-US"/>
              </w:rPr>
              <w:t>11.719,40</w:t>
            </w:r>
          </w:p>
        </w:tc>
      </w:tr>
      <w:tr w:rsidR="00416D67" w:rsidRPr="00416D67" w14:paraId="3B42FCD9" w14:textId="77777777" w:rsidTr="00BB1392">
        <w:trPr>
          <w:trHeight w:val="61"/>
        </w:trPr>
        <w:tc>
          <w:tcPr>
            <w:tcW w:w="643" w:type="dxa"/>
            <w:tcBorders>
              <w:top w:val="single" w:sz="4" w:space="0" w:color="auto"/>
              <w:left w:val="single" w:sz="4" w:space="0" w:color="auto"/>
              <w:bottom w:val="single" w:sz="4" w:space="0" w:color="auto"/>
              <w:right w:val="single" w:sz="4" w:space="0" w:color="auto"/>
            </w:tcBorders>
            <w:hideMark/>
          </w:tcPr>
          <w:p w14:paraId="55A79A96" w14:textId="77777777" w:rsidR="00416D67" w:rsidRPr="00416D67" w:rsidRDefault="00416D67" w:rsidP="00416D67">
            <w:pPr>
              <w:rPr>
                <w:rFonts w:eastAsia="Calibri"/>
                <w:noProof/>
                <w:sz w:val="22"/>
                <w:szCs w:val="22"/>
                <w:lang w:eastAsia="en-US"/>
              </w:rPr>
            </w:pPr>
            <w:r w:rsidRPr="00416D67">
              <w:rPr>
                <w:rFonts w:eastAsia="Calibri"/>
                <w:sz w:val="22"/>
                <w:szCs w:val="22"/>
                <w:lang w:eastAsia="en-US"/>
              </w:rPr>
              <w:t>6.</w:t>
            </w:r>
          </w:p>
        </w:tc>
        <w:tc>
          <w:tcPr>
            <w:tcW w:w="4591" w:type="dxa"/>
            <w:tcBorders>
              <w:top w:val="single" w:sz="4" w:space="0" w:color="auto"/>
              <w:left w:val="single" w:sz="4" w:space="0" w:color="auto"/>
              <w:bottom w:val="single" w:sz="4" w:space="0" w:color="auto"/>
              <w:right w:val="single" w:sz="4" w:space="0" w:color="auto"/>
            </w:tcBorders>
            <w:hideMark/>
          </w:tcPr>
          <w:p w14:paraId="19E25B9D" w14:textId="77777777" w:rsidR="00416D67" w:rsidRPr="00416D67" w:rsidRDefault="00416D67" w:rsidP="00416D67">
            <w:pPr>
              <w:rPr>
                <w:rFonts w:eastAsia="Calibri"/>
                <w:noProof/>
                <w:sz w:val="22"/>
                <w:szCs w:val="22"/>
                <w:lang w:eastAsia="en-US"/>
              </w:rPr>
            </w:pPr>
            <w:r w:rsidRPr="00416D67">
              <w:rPr>
                <w:color w:val="231F20"/>
                <w:sz w:val="22"/>
                <w:szCs w:val="22"/>
                <w:lang w:eastAsia="en-US"/>
              </w:rPr>
              <w:t>Održavanje groblja</w:t>
            </w:r>
          </w:p>
        </w:tc>
        <w:tc>
          <w:tcPr>
            <w:tcW w:w="2104" w:type="dxa"/>
            <w:tcBorders>
              <w:top w:val="single" w:sz="4" w:space="0" w:color="auto"/>
              <w:left w:val="single" w:sz="4" w:space="0" w:color="auto"/>
              <w:bottom w:val="single" w:sz="4" w:space="0" w:color="auto"/>
              <w:right w:val="single" w:sz="4" w:space="0" w:color="auto"/>
            </w:tcBorders>
            <w:hideMark/>
          </w:tcPr>
          <w:p w14:paraId="1BE157D3" w14:textId="77777777" w:rsidR="00416D67" w:rsidRPr="00416D67" w:rsidRDefault="00416D67" w:rsidP="00416D67">
            <w:pPr>
              <w:jc w:val="right"/>
              <w:rPr>
                <w:rFonts w:eastAsia="Calibri"/>
                <w:noProof/>
                <w:lang w:val="en-GB" w:eastAsia="en-US"/>
              </w:rPr>
            </w:pPr>
            <w:r w:rsidRPr="00416D67">
              <w:rPr>
                <w:rFonts w:eastAsia="Calibri"/>
                <w:lang w:val="en-GB" w:eastAsia="en-US"/>
              </w:rPr>
              <w:t>8.000</w:t>
            </w:r>
          </w:p>
        </w:tc>
        <w:tc>
          <w:tcPr>
            <w:tcW w:w="1842" w:type="dxa"/>
            <w:tcBorders>
              <w:top w:val="single" w:sz="4" w:space="0" w:color="auto"/>
              <w:left w:val="single" w:sz="4" w:space="0" w:color="auto"/>
              <w:bottom w:val="single" w:sz="4" w:space="0" w:color="auto"/>
              <w:right w:val="single" w:sz="4" w:space="0" w:color="auto"/>
            </w:tcBorders>
            <w:hideMark/>
          </w:tcPr>
          <w:p w14:paraId="2EF2FF90" w14:textId="77777777" w:rsidR="00416D67" w:rsidRPr="00416D67" w:rsidRDefault="00416D67" w:rsidP="00416D67">
            <w:pPr>
              <w:jc w:val="right"/>
              <w:rPr>
                <w:rFonts w:eastAsia="Calibri"/>
                <w:b/>
                <w:bCs/>
                <w:noProof/>
                <w:color w:val="000000"/>
                <w:sz w:val="22"/>
                <w:szCs w:val="22"/>
                <w:lang w:eastAsia="en-US"/>
              </w:rPr>
            </w:pPr>
            <w:r w:rsidRPr="00416D67">
              <w:rPr>
                <w:rFonts w:eastAsia="Calibri"/>
                <w:b/>
                <w:color w:val="000000"/>
                <w:lang w:eastAsia="en-US"/>
              </w:rPr>
              <w:t>8.461,69</w:t>
            </w:r>
          </w:p>
        </w:tc>
      </w:tr>
      <w:tr w:rsidR="00416D67" w:rsidRPr="00416D67" w14:paraId="664CA676" w14:textId="77777777" w:rsidTr="00BB1392">
        <w:trPr>
          <w:trHeight w:val="222"/>
        </w:trPr>
        <w:tc>
          <w:tcPr>
            <w:tcW w:w="643" w:type="dxa"/>
            <w:tcBorders>
              <w:top w:val="single" w:sz="4" w:space="0" w:color="auto"/>
              <w:left w:val="single" w:sz="4" w:space="0" w:color="auto"/>
              <w:bottom w:val="single" w:sz="4" w:space="0" w:color="auto"/>
              <w:right w:val="single" w:sz="4" w:space="0" w:color="auto"/>
            </w:tcBorders>
            <w:hideMark/>
          </w:tcPr>
          <w:p w14:paraId="13EAD9E4" w14:textId="77777777" w:rsidR="00416D67" w:rsidRPr="00416D67" w:rsidRDefault="00416D67" w:rsidP="00416D67">
            <w:pPr>
              <w:rPr>
                <w:rFonts w:eastAsia="Calibri"/>
                <w:noProof/>
                <w:sz w:val="22"/>
                <w:szCs w:val="22"/>
                <w:lang w:eastAsia="en-US"/>
              </w:rPr>
            </w:pPr>
            <w:r w:rsidRPr="00416D67">
              <w:rPr>
                <w:rFonts w:eastAsia="Calibri"/>
                <w:sz w:val="22"/>
                <w:szCs w:val="22"/>
                <w:lang w:eastAsia="en-US"/>
              </w:rPr>
              <w:t>7.</w:t>
            </w:r>
          </w:p>
        </w:tc>
        <w:tc>
          <w:tcPr>
            <w:tcW w:w="4591" w:type="dxa"/>
            <w:tcBorders>
              <w:top w:val="single" w:sz="4" w:space="0" w:color="auto"/>
              <w:left w:val="single" w:sz="4" w:space="0" w:color="auto"/>
              <w:bottom w:val="single" w:sz="4" w:space="0" w:color="auto"/>
              <w:right w:val="single" w:sz="4" w:space="0" w:color="auto"/>
            </w:tcBorders>
            <w:hideMark/>
          </w:tcPr>
          <w:p w14:paraId="33B5B720" w14:textId="77777777" w:rsidR="00416D67" w:rsidRPr="00416D67" w:rsidRDefault="00416D67" w:rsidP="00416D67">
            <w:pPr>
              <w:rPr>
                <w:rFonts w:eastAsia="Calibri"/>
                <w:noProof/>
                <w:sz w:val="22"/>
                <w:szCs w:val="22"/>
                <w:lang w:eastAsia="en-US"/>
              </w:rPr>
            </w:pPr>
            <w:r w:rsidRPr="00416D67">
              <w:rPr>
                <w:color w:val="231F20"/>
                <w:sz w:val="22"/>
                <w:szCs w:val="22"/>
                <w:lang w:eastAsia="en-US"/>
              </w:rPr>
              <w:t>Održavanje čistoće javnih površina</w:t>
            </w:r>
            <w:r w:rsidRPr="00416D67">
              <w:rPr>
                <w:rFonts w:eastAsia="Calibri"/>
                <w:sz w:val="22"/>
                <w:szCs w:val="22"/>
                <w:lang w:eastAsia="en-US"/>
              </w:rPr>
              <w:t xml:space="preserve"> </w:t>
            </w:r>
          </w:p>
        </w:tc>
        <w:tc>
          <w:tcPr>
            <w:tcW w:w="2104" w:type="dxa"/>
            <w:tcBorders>
              <w:top w:val="single" w:sz="4" w:space="0" w:color="auto"/>
              <w:left w:val="single" w:sz="4" w:space="0" w:color="auto"/>
              <w:bottom w:val="single" w:sz="4" w:space="0" w:color="auto"/>
              <w:right w:val="single" w:sz="4" w:space="0" w:color="auto"/>
            </w:tcBorders>
            <w:hideMark/>
          </w:tcPr>
          <w:p w14:paraId="5D3F2269" w14:textId="77777777" w:rsidR="00416D67" w:rsidRPr="00416D67" w:rsidRDefault="00416D67" w:rsidP="00416D67">
            <w:pPr>
              <w:jc w:val="right"/>
              <w:rPr>
                <w:rFonts w:eastAsia="Calibri"/>
                <w:noProof/>
                <w:lang w:val="en-GB" w:eastAsia="en-US"/>
              </w:rPr>
            </w:pPr>
            <w:r w:rsidRPr="00416D67">
              <w:rPr>
                <w:rFonts w:eastAsia="Calibri"/>
                <w:lang w:val="en-GB" w:eastAsia="en-US"/>
              </w:rPr>
              <w:t>65.100</w:t>
            </w:r>
          </w:p>
        </w:tc>
        <w:tc>
          <w:tcPr>
            <w:tcW w:w="1842" w:type="dxa"/>
            <w:tcBorders>
              <w:top w:val="single" w:sz="4" w:space="0" w:color="auto"/>
              <w:left w:val="single" w:sz="4" w:space="0" w:color="auto"/>
              <w:bottom w:val="single" w:sz="4" w:space="0" w:color="auto"/>
              <w:right w:val="single" w:sz="4" w:space="0" w:color="auto"/>
            </w:tcBorders>
            <w:hideMark/>
          </w:tcPr>
          <w:p w14:paraId="5A18038A" w14:textId="77777777" w:rsidR="00416D67" w:rsidRPr="00416D67" w:rsidRDefault="00416D67" w:rsidP="00416D67">
            <w:pPr>
              <w:jc w:val="right"/>
              <w:rPr>
                <w:rFonts w:eastAsia="Calibri"/>
                <w:b/>
                <w:bCs/>
                <w:noProof/>
                <w:color w:val="000000"/>
                <w:sz w:val="22"/>
                <w:szCs w:val="22"/>
                <w:lang w:eastAsia="en-US"/>
              </w:rPr>
            </w:pPr>
            <w:r w:rsidRPr="00416D67">
              <w:rPr>
                <w:rFonts w:eastAsia="Calibri"/>
                <w:b/>
                <w:color w:val="000000"/>
                <w:lang w:eastAsia="en-US"/>
              </w:rPr>
              <w:t>51.975,74</w:t>
            </w:r>
          </w:p>
        </w:tc>
      </w:tr>
      <w:tr w:rsidR="00416D67" w:rsidRPr="00416D67" w14:paraId="653A202B" w14:textId="77777777" w:rsidTr="00BB1392">
        <w:trPr>
          <w:trHeight w:val="211"/>
        </w:trPr>
        <w:tc>
          <w:tcPr>
            <w:tcW w:w="643" w:type="dxa"/>
            <w:tcBorders>
              <w:top w:val="single" w:sz="4" w:space="0" w:color="auto"/>
              <w:left w:val="single" w:sz="4" w:space="0" w:color="auto"/>
              <w:bottom w:val="single" w:sz="4" w:space="0" w:color="auto"/>
              <w:right w:val="single" w:sz="4" w:space="0" w:color="auto"/>
            </w:tcBorders>
            <w:hideMark/>
          </w:tcPr>
          <w:p w14:paraId="259AFB33" w14:textId="77777777" w:rsidR="00416D67" w:rsidRPr="00416D67" w:rsidRDefault="00416D67" w:rsidP="00416D67">
            <w:pPr>
              <w:rPr>
                <w:rFonts w:eastAsia="Calibri"/>
                <w:noProof/>
                <w:sz w:val="22"/>
                <w:szCs w:val="22"/>
                <w:lang w:eastAsia="en-US"/>
              </w:rPr>
            </w:pPr>
            <w:r w:rsidRPr="00416D67">
              <w:rPr>
                <w:rFonts w:eastAsia="Calibri"/>
                <w:sz w:val="22"/>
                <w:szCs w:val="22"/>
                <w:lang w:eastAsia="en-US"/>
              </w:rPr>
              <w:t>8.</w:t>
            </w:r>
          </w:p>
        </w:tc>
        <w:tc>
          <w:tcPr>
            <w:tcW w:w="4591" w:type="dxa"/>
            <w:tcBorders>
              <w:top w:val="single" w:sz="4" w:space="0" w:color="auto"/>
              <w:left w:val="single" w:sz="4" w:space="0" w:color="auto"/>
              <w:bottom w:val="single" w:sz="4" w:space="0" w:color="auto"/>
              <w:right w:val="single" w:sz="4" w:space="0" w:color="auto"/>
            </w:tcBorders>
          </w:tcPr>
          <w:p w14:paraId="45A39072" w14:textId="77777777" w:rsidR="00416D67" w:rsidRPr="00416D67" w:rsidRDefault="00416D67" w:rsidP="00416D67">
            <w:pPr>
              <w:shd w:val="clear" w:color="auto" w:fill="FFFFFF"/>
              <w:spacing w:after="48"/>
              <w:ind w:left="-77" w:firstLine="77"/>
              <w:textAlignment w:val="baseline"/>
              <w:rPr>
                <w:rFonts w:eastAsia="Calibri"/>
                <w:noProof/>
                <w:color w:val="231F20"/>
                <w:sz w:val="22"/>
                <w:szCs w:val="22"/>
                <w:lang w:eastAsia="en-US"/>
              </w:rPr>
            </w:pPr>
            <w:r w:rsidRPr="00416D67">
              <w:rPr>
                <w:color w:val="231F20"/>
                <w:sz w:val="22"/>
                <w:szCs w:val="22"/>
                <w:lang w:eastAsia="en-US"/>
              </w:rPr>
              <w:t>Održavanje javne rasvjete</w:t>
            </w:r>
          </w:p>
        </w:tc>
        <w:tc>
          <w:tcPr>
            <w:tcW w:w="2104" w:type="dxa"/>
            <w:tcBorders>
              <w:top w:val="single" w:sz="4" w:space="0" w:color="auto"/>
              <w:left w:val="single" w:sz="4" w:space="0" w:color="auto"/>
              <w:bottom w:val="single" w:sz="4" w:space="0" w:color="auto"/>
              <w:right w:val="single" w:sz="4" w:space="0" w:color="auto"/>
            </w:tcBorders>
            <w:hideMark/>
          </w:tcPr>
          <w:p w14:paraId="2EE932BE" w14:textId="77777777" w:rsidR="00416D67" w:rsidRPr="00416D67" w:rsidRDefault="00416D67" w:rsidP="00416D67">
            <w:pPr>
              <w:jc w:val="right"/>
              <w:rPr>
                <w:rFonts w:eastAsia="Calibri"/>
                <w:noProof/>
                <w:lang w:val="en-GB" w:eastAsia="en-US"/>
              </w:rPr>
            </w:pPr>
            <w:r w:rsidRPr="00416D67">
              <w:rPr>
                <w:rFonts w:eastAsia="Calibri"/>
                <w:lang w:val="en-GB" w:eastAsia="en-US"/>
              </w:rPr>
              <w:t>63.000</w:t>
            </w:r>
          </w:p>
        </w:tc>
        <w:tc>
          <w:tcPr>
            <w:tcW w:w="1842" w:type="dxa"/>
            <w:tcBorders>
              <w:top w:val="single" w:sz="4" w:space="0" w:color="auto"/>
              <w:left w:val="single" w:sz="4" w:space="0" w:color="auto"/>
              <w:bottom w:val="single" w:sz="4" w:space="0" w:color="auto"/>
              <w:right w:val="single" w:sz="4" w:space="0" w:color="auto"/>
            </w:tcBorders>
            <w:hideMark/>
          </w:tcPr>
          <w:p w14:paraId="434C67E2" w14:textId="77777777" w:rsidR="00416D67" w:rsidRPr="00416D67" w:rsidRDefault="00416D67" w:rsidP="00416D67">
            <w:pPr>
              <w:jc w:val="right"/>
              <w:rPr>
                <w:rFonts w:eastAsia="Calibri"/>
                <w:b/>
                <w:bCs/>
                <w:noProof/>
                <w:color w:val="000000"/>
                <w:sz w:val="22"/>
                <w:szCs w:val="22"/>
                <w:lang w:eastAsia="en-US"/>
              </w:rPr>
            </w:pPr>
            <w:r w:rsidRPr="00416D67">
              <w:rPr>
                <w:rFonts w:eastAsia="Calibri"/>
                <w:b/>
                <w:color w:val="000000"/>
                <w:lang w:eastAsia="en-US"/>
              </w:rPr>
              <w:t>65.491,14</w:t>
            </w:r>
          </w:p>
        </w:tc>
      </w:tr>
      <w:tr w:rsidR="00416D67" w:rsidRPr="00416D67" w14:paraId="435016E0" w14:textId="77777777" w:rsidTr="00BB1392">
        <w:trPr>
          <w:trHeight w:val="219"/>
        </w:trPr>
        <w:tc>
          <w:tcPr>
            <w:tcW w:w="643" w:type="dxa"/>
            <w:tcBorders>
              <w:top w:val="single" w:sz="4" w:space="0" w:color="auto"/>
              <w:left w:val="single" w:sz="4" w:space="0" w:color="auto"/>
              <w:bottom w:val="single" w:sz="4" w:space="0" w:color="auto"/>
              <w:right w:val="single" w:sz="4" w:space="0" w:color="auto"/>
            </w:tcBorders>
            <w:hideMark/>
          </w:tcPr>
          <w:p w14:paraId="01F0EE03" w14:textId="77777777" w:rsidR="00416D67" w:rsidRPr="00416D67" w:rsidRDefault="00416D67" w:rsidP="00416D67">
            <w:pPr>
              <w:rPr>
                <w:rFonts w:eastAsia="Calibri"/>
                <w:noProof/>
                <w:sz w:val="22"/>
                <w:szCs w:val="22"/>
                <w:lang w:eastAsia="en-US"/>
              </w:rPr>
            </w:pPr>
            <w:r w:rsidRPr="00416D67">
              <w:rPr>
                <w:rFonts w:eastAsia="Calibri"/>
                <w:sz w:val="22"/>
                <w:szCs w:val="22"/>
                <w:lang w:eastAsia="en-US"/>
              </w:rPr>
              <w:t>9.</w:t>
            </w:r>
          </w:p>
        </w:tc>
        <w:tc>
          <w:tcPr>
            <w:tcW w:w="4591" w:type="dxa"/>
            <w:tcBorders>
              <w:top w:val="single" w:sz="4" w:space="0" w:color="auto"/>
              <w:left w:val="single" w:sz="4" w:space="0" w:color="auto"/>
              <w:bottom w:val="single" w:sz="4" w:space="0" w:color="auto"/>
              <w:right w:val="single" w:sz="4" w:space="0" w:color="auto"/>
            </w:tcBorders>
            <w:hideMark/>
          </w:tcPr>
          <w:p w14:paraId="12E79B25" w14:textId="77777777" w:rsidR="00416D67" w:rsidRPr="00416D67" w:rsidRDefault="00416D67" w:rsidP="00416D67">
            <w:pPr>
              <w:rPr>
                <w:rFonts w:eastAsia="Calibri"/>
                <w:noProof/>
                <w:sz w:val="22"/>
                <w:szCs w:val="22"/>
                <w:lang w:eastAsia="en-US"/>
              </w:rPr>
            </w:pPr>
            <w:r w:rsidRPr="00416D67">
              <w:rPr>
                <w:rFonts w:eastAsia="Calibri"/>
                <w:color w:val="231F20"/>
                <w:sz w:val="22"/>
                <w:szCs w:val="22"/>
                <w:lang w:eastAsia="en-US"/>
              </w:rPr>
              <w:t>Održavanje javnih parkirališta</w:t>
            </w:r>
          </w:p>
        </w:tc>
        <w:tc>
          <w:tcPr>
            <w:tcW w:w="2104" w:type="dxa"/>
            <w:tcBorders>
              <w:top w:val="single" w:sz="4" w:space="0" w:color="auto"/>
              <w:left w:val="single" w:sz="4" w:space="0" w:color="auto"/>
              <w:bottom w:val="single" w:sz="4" w:space="0" w:color="auto"/>
              <w:right w:val="single" w:sz="4" w:space="0" w:color="auto"/>
            </w:tcBorders>
            <w:hideMark/>
          </w:tcPr>
          <w:p w14:paraId="5A379ACE" w14:textId="77777777" w:rsidR="00416D67" w:rsidRPr="00416D67" w:rsidRDefault="00416D67" w:rsidP="00416D67">
            <w:pPr>
              <w:jc w:val="right"/>
              <w:rPr>
                <w:rFonts w:eastAsia="Calibri"/>
                <w:noProof/>
                <w:lang w:val="en-GB" w:eastAsia="en-US"/>
              </w:rPr>
            </w:pPr>
            <w:r w:rsidRPr="00416D67">
              <w:rPr>
                <w:rFonts w:eastAsia="Calibri"/>
                <w:lang w:val="en-GB" w:eastAsia="en-US"/>
              </w:rPr>
              <w:t>2.700</w:t>
            </w:r>
          </w:p>
        </w:tc>
        <w:tc>
          <w:tcPr>
            <w:tcW w:w="1842" w:type="dxa"/>
            <w:tcBorders>
              <w:top w:val="single" w:sz="4" w:space="0" w:color="auto"/>
              <w:left w:val="single" w:sz="4" w:space="0" w:color="auto"/>
              <w:bottom w:val="single" w:sz="4" w:space="0" w:color="auto"/>
              <w:right w:val="single" w:sz="4" w:space="0" w:color="auto"/>
            </w:tcBorders>
            <w:hideMark/>
          </w:tcPr>
          <w:p w14:paraId="223AC2CE" w14:textId="77777777" w:rsidR="00416D67" w:rsidRPr="00416D67" w:rsidRDefault="00416D67" w:rsidP="00416D67">
            <w:pPr>
              <w:jc w:val="right"/>
              <w:rPr>
                <w:rFonts w:eastAsia="Calibri"/>
                <w:b/>
                <w:bCs/>
                <w:noProof/>
                <w:color w:val="000000"/>
                <w:sz w:val="22"/>
                <w:szCs w:val="22"/>
                <w:lang w:eastAsia="en-US"/>
              </w:rPr>
            </w:pPr>
            <w:r w:rsidRPr="00416D67">
              <w:rPr>
                <w:rFonts w:eastAsia="Calibri"/>
                <w:b/>
                <w:color w:val="000000"/>
                <w:lang w:eastAsia="en-US"/>
              </w:rPr>
              <w:t>2.566,26</w:t>
            </w:r>
          </w:p>
        </w:tc>
      </w:tr>
      <w:tr w:rsidR="00416D67" w:rsidRPr="00416D67" w14:paraId="62C1C8A8" w14:textId="77777777" w:rsidTr="00BB1392">
        <w:trPr>
          <w:trHeight w:val="319"/>
        </w:trPr>
        <w:tc>
          <w:tcPr>
            <w:tcW w:w="643" w:type="dxa"/>
            <w:tcBorders>
              <w:top w:val="single" w:sz="4" w:space="0" w:color="auto"/>
              <w:left w:val="single" w:sz="4" w:space="0" w:color="auto"/>
              <w:bottom w:val="single" w:sz="4" w:space="0" w:color="auto"/>
              <w:right w:val="single" w:sz="4" w:space="0" w:color="auto"/>
            </w:tcBorders>
            <w:hideMark/>
          </w:tcPr>
          <w:p w14:paraId="728A787F" w14:textId="77777777" w:rsidR="00416D67" w:rsidRPr="00416D67" w:rsidRDefault="00416D67" w:rsidP="00416D67">
            <w:pPr>
              <w:rPr>
                <w:rFonts w:eastAsia="Calibri"/>
                <w:noProof/>
                <w:sz w:val="22"/>
                <w:szCs w:val="22"/>
                <w:lang w:eastAsia="en-US"/>
              </w:rPr>
            </w:pPr>
            <w:r w:rsidRPr="00416D67">
              <w:rPr>
                <w:rFonts w:eastAsia="Calibri"/>
                <w:sz w:val="22"/>
                <w:szCs w:val="22"/>
                <w:lang w:eastAsia="en-US"/>
              </w:rPr>
              <w:t>10.</w:t>
            </w:r>
          </w:p>
        </w:tc>
        <w:tc>
          <w:tcPr>
            <w:tcW w:w="4591" w:type="dxa"/>
            <w:tcBorders>
              <w:top w:val="single" w:sz="4" w:space="0" w:color="auto"/>
              <w:left w:val="single" w:sz="4" w:space="0" w:color="auto"/>
              <w:bottom w:val="single" w:sz="4" w:space="0" w:color="auto"/>
              <w:right w:val="single" w:sz="4" w:space="0" w:color="auto"/>
            </w:tcBorders>
            <w:hideMark/>
          </w:tcPr>
          <w:p w14:paraId="453D9A45" w14:textId="77777777" w:rsidR="00416D67" w:rsidRPr="00416D67" w:rsidRDefault="00416D67" w:rsidP="00416D67">
            <w:pPr>
              <w:rPr>
                <w:rFonts w:eastAsia="Calibri"/>
                <w:noProof/>
                <w:color w:val="231F20"/>
                <w:sz w:val="22"/>
                <w:szCs w:val="22"/>
                <w:lang w:eastAsia="en-US"/>
              </w:rPr>
            </w:pPr>
            <w:r w:rsidRPr="00416D67">
              <w:rPr>
                <w:rFonts w:eastAsia="Calibri"/>
                <w:color w:val="231F20"/>
                <w:sz w:val="22"/>
                <w:szCs w:val="22"/>
                <w:lang w:eastAsia="en-US"/>
              </w:rPr>
              <w:t>Održavanje javnih nekomercijalnih plaža</w:t>
            </w:r>
          </w:p>
        </w:tc>
        <w:tc>
          <w:tcPr>
            <w:tcW w:w="2104" w:type="dxa"/>
            <w:tcBorders>
              <w:top w:val="single" w:sz="4" w:space="0" w:color="auto"/>
              <w:left w:val="single" w:sz="4" w:space="0" w:color="auto"/>
              <w:bottom w:val="single" w:sz="4" w:space="0" w:color="auto"/>
              <w:right w:val="single" w:sz="4" w:space="0" w:color="auto"/>
            </w:tcBorders>
            <w:hideMark/>
          </w:tcPr>
          <w:p w14:paraId="675425E7" w14:textId="77777777" w:rsidR="00416D67" w:rsidRPr="00416D67" w:rsidRDefault="00416D67" w:rsidP="00416D67">
            <w:pPr>
              <w:jc w:val="right"/>
              <w:rPr>
                <w:rFonts w:eastAsia="Calibri"/>
                <w:noProof/>
                <w:lang w:val="en-GB" w:eastAsia="en-US"/>
              </w:rPr>
            </w:pPr>
            <w:r w:rsidRPr="00416D67">
              <w:rPr>
                <w:rFonts w:eastAsia="Calibri"/>
                <w:lang w:val="en-GB" w:eastAsia="en-US"/>
              </w:rPr>
              <w:t>39.500</w:t>
            </w:r>
          </w:p>
        </w:tc>
        <w:tc>
          <w:tcPr>
            <w:tcW w:w="1842" w:type="dxa"/>
            <w:tcBorders>
              <w:top w:val="single" w:sz="4" w:space="0" w:color="auto"/>
              <w:left w:val="single" w:sz="4" w:space="0" w:color="auto"/>
              <w:bottom w:val="single" w:sz="4" w:space="0" w:color="auto"/>
              <w:right w:val="single" w:sz="4" w:space="0" w:color="auto"/>
            </w:tcBorders>
            <w:hideMark/>
          </w:tcPr>
          <w:p w14:paraId="223EEAC8" w14:textId="77777777" w:rsidR="00416D67" w:rsidRPr="00416D67" w:rsidRDefault="00416D67" w:rsidP="00416D67">
            <w:pPr>
              <w:jc w:val="right"/>
              <w:rPr>
                <w:rFonts w:eastAsia="Calibri"/>
                <w:b/>
                <w:bCs/>
                <w:noProof/>
                <w:color w:val="000000"/>
                <w:sz w:val="22"/>
                <w:szCs w:val="22"/>
                <w:lang w:eastAsia="en-US"/>
              </w:rPr>
            </w:pPr>
            <w:r w:rsidRPr="00416D67">
              <w:rPr>
                <w:rFonts w:eastAsia="Calibri"/>
                <w:b/>
                <w:color w:val="000000"/>
                <w:lang w:eastAsia="en-US"/>
              </w:rPr>
              <w:t>38.319,38</w:t>
            </w:r>
          </w:p>
        </w:tc>
      </w:tr>
      <w:tr w:rsidR="00416D67" w:rsidRPr="00416D67" w14:paraId="2115671B" w14:textId="77777777" w:rsidTr="00BB1392">
        <w:trPr>
          <w:trHeight w:val="281"/>
        </w:trPr>
        <w:tc>
          <w:tcPr>
            <w:tcW w:w="643" w:type="dxa"/>
            <w:tcBorders>
              <w:top w:val="single" w:sz="4" w:space="0" w:color="auto"/>
              <w:left w:val="single" w:sz="4" w:space="0" w:color="auto"/>
              <w:bottom w:val="single" w:sz="4" w:space="0" w:color="auto"/>
              <w:right w:val="single" w:sz="4" w:space="0" w:color="auto"/>
            </w:tcBorders>
            <w:hideMark/>
          </w:tcPr>
          <w:p w14:paraId="3F3BB23E" w14:textId="77777777" w:rsidR="00416D67" w:rsidRPr="00416D67" w:rsidRDefault="00416D67" w:rsidP="00416D67">
            <w:pPr>
              <w:rPr>
                <w:rFonts w:eastAsia="Calibri"/>
                <w:noProof/>
                <w:sz w:val="22"/>
                <w:szCs w:val="22"/>
                <w:lang w:eastAsia="en-US"/>
              </w:rPr>
            </w:pPr>
            <w:r w:rsidRPr="00416D67">
              <w:rPr>
                <w:rFonts w:eastAsia="Calibri"/>
                <w:sz w:val="22"/>
                <w:szCs w:val="22"/>
                <w:lang w:eastAsia="en-US"/>
              </w:rPr>
              <w:t>11.</w:t>
            </w:r>
          </w:p>
        </w:tc>
        <w:tc>
          <w:tcPr>
            <w:tcW w:w="4591" w:type="dxa"/>
            <w:tcBorders>
              <w:top w:val="single" w:sz="4" w:space="0" w:color="auto"/>
              <w:left w:val="single" w:sz="4" w:space="0" w:color="auto"/>
              <w:bottom w:val="single" w:sz="4" w:space="0" w:color="auto"/>
              <w:right w:val="single" w:sz="4" w:space="0" w:color="auto"/>
            </w:tcBorders>
            <w:hideMark/>
          </w:tcPr>
          <w:p w14:paraId="7031CCDC" w14:textId="77777777" w:rsidR="00416D67" w:rsidRPr="00416D67" w:rsidRDefault="00416D67" w:rsidP="00416D67">
            <w:pPr>
              <w:rPr>
                <w:rFonts w:eastAsia="Calibri"/>
                <w:noProof/>
                <w:color w:val="231F20"/>
                <w:sz w:val="22"/>
                <w:szCs w:val="22"/>
                <w:lang w:eastAsia="en-US"/>
              </w:rPr>
            </w:pPr>
            <w:r w:rsidRPr="00416D67">
              <w:rPr>
                <w:rFonts w:eastAsia="Calibri"/>
                <w:color w:val="231F20"/>
                <w:sz w:val="22"/>
                <w:szCs w:val="22"/>
                <w:lang w:eastAsia="en-US"/>
              </w:rPr>
              <w:t>Dekoracija i iluminacija</w:t>
            </w:r>
          </w:p>
        </w:tc>
        <w:tc>
          <w:tcPr>
            <w:tcW w:w="2104" w:type="dxa"/>
            <w:tcBorders>
              <w:top w:val="single" w:sz="4" w:space="0" w:color="auto"/>
              <w:left w:val="single" w:sz="4" w:space="0" w:color="auto"/>
              <w:bottom w:val="single" w:sz="4" w:space="0" w:color="auto"/>
              <w:right w:val="single" w:sz="4" w:space="0" w:color="auto"/>
            </w:tcBorders>
            <w:hideMark/>
          </w:tcPr>
          <w:p w14:paraId="418D1A0B" w14:textId="77777777" w:rsidR="00416D67" w:rsidRPr="00416D67" w:rsidRDefault="00416D67" w:rsidP="00416D67">
            <w:pPr>
              <w:jc w:val="right"/>
              <w:rPr>
                <w:rFonts w:eastAsia="Calibri"/>
                <w:noProof/>
                <w:lang w:val="en-GB" w:eastAsia="en-US"/>
              </w:rPr>
            </w:pPr>
            <w:r w:rsidRPr="00416D67">
              <w:rPr>
                <w:rFonts w:eastAsia="Calibri"/>
                <w:lang w:val="en-GB" w:eastAsia="en-US"/>
              </w:rPr>
              <w:t>4.000</w:t>
            </w:r>
          </w:p>
        </w:tc>
        <w:tc>
          <w:tcPr>
            <w:tcW w:w="1842" w:type="dxa"/>
            <w:tcBorders>
              <w:top w:val="single" w:sz="4" w:space="0" w:color="auto"/>
              <w:left w:val="single" w:sz="4" w:space="0" w:color="auto"/>
              <w:bottom w:val="single" w:sz="4" w:space="0" w:color="auto"/>
              <w:right w:val="single" w:sz="4" w:space="0" w:color="auto"/>
            </w:tcBorders>
            <w:hideMark/>
          </w:tcPr>
          <w:p w14:paraId="5D2CF73A" w14:textId="77777777" w:rsidR="00416D67" w:rsidRPr="00416D67" w:rsidRDefault="00416D67" w:rsidP="00416D67">
            <w:pPr>
              <w:jc w:val="right"/>
              <w:rPr>
                <w:rFonts w:eastAsia="Calibri"/>
                <w:b/>
                <w:bCs/>
                <w:noProof/>
                <w:color w:val="000000"/>
                <w:sz w:val="22"/>
                <w:szCs w:val="22"/>
                <w:lang w:eastAsia="en-US"/>
              </w:rPr>
            </w:pPr>
            <w:r w:rsidRPr="00416D67">
              <w:rPr>
                <w:rFonts w:eastAsia="Calibri"/>
                <w:b/>
                <w:color w:val="000000"/>
                <w:lang w:eastAsia="en-US"/>
              </w:rPr>
              <w:t>5.324,06</w:t>
            </w:r>
          </w:p>
        </w:tc>
      </w:tr>
      <w:tr w:rsidR="00416D67" w:rsidRPr="00416D67" w14:paraId="33C7D163" w14:textId="77777777" w:rsidTr="00BB1392">
        <w:trPr>
          <w:trHeight w:val="191"/>
        </w:trPr>
        <w:tc>
          <w:tcPr>
            <w:tcW w:w="5234" w:type="dxa"/>
            <w:gridSpan w:val="2"/>
            <w:tcBorders>
              <w:top w:val="single" w:sz="4" w:space="0" w:color="auto"/>
              <w:left w:val="single" w:sz="4" w:space="0" w:color="auto"/>
              <w:bottom w:val="single" w:sz="4" w:space="0" w:color="auto"/>
              <w:right w:val="single" w:sz="4" w:space="0" w:color="auto"/>
            </w:tcBorders>
            <w:hideMark/>
          </w:tcPr>
          <w:p w14:paraId="4D213406" w14:textId="77777777" w:rsidR="00416D67" w:rsidRPr="00416D67" w:rsidRDefault="00416D67" w:rsidP="00416D67">
            <w:pPr>
              <w:jc w:val="right"/>
              <w:rPr>
                <w:rFonts w:eastAsia="Calibri"/>
                <w:b/>
                <w:bCs/>
                <w:noProof/>
                <w:color w:val="231F20"/>
                <w:lang w:eastAsia="en-US"/>
              </w:rPr>
            </w:pPr>
            <w:r w:rsidRPr="00416D67">
              <w:rPr>
                <w:rFonts w:eastAsia="Calibri"/>
                <w:b/>
                <w:bCs/>
                <w:color w:val="231F20"/>
                <w:lang w:eastAsia="en-US"/>
              </w:rPr>
              <w:t>SVEUKUPNO 1-11:</w:t>
            </w:r>
          </w:p>
        </w:tc>
        <w:tc>
          <w:tcPr>
            <w:tcW w:w="2104" w:type="dxa"/>
            <w:tcBorders>
              <w:top w:val="single" w:sz="4" w:space="0" w:color="auto"/>
              <w:left w:val="single" w:sz="4" w:space="0" w:color="auto"/>
              <w:bottom w:val="single" w:sz="4" w:space="0" w:color="auto"/>
              <w:right w:val="single" w:sz="4" w:space="0" w:color="auto"/>
            </w:tcBorders>
            <w:hideMark/>
          </w:tcPr>
          <w:p w14:paraId="0DD5B362" w14:textId="77777777" w:rsidR="00416D67" w:rsidRPr="00416D67" w:rsidRDefault="00416D67" w:rsidP="00416D67">
            <w:pPr>
              <w:jc w:val="right"/>
              <w:rPr>
                <w:rFonts w:eastAsia="Calibri"/>
                <w:b/>
                <w:bCs/>
                <w:noProof/>
                <w:lang w:eastAsia="en-US"/>
              </w:rPr>
            </w:pPr>
            <w:r w:rsidRPr="00416D67">
              <w:rPr>
                <w:rFonts w:eastAsia="Calibri"/>
                <w:b/>
                <w:bCs/>
                <w:lang w:eastAsia="en-US"/>
              </w:rPr>
              <w:t>485.435,00</w:t>
            </w:r>
          </w:p>
        </w:tc>
        <w:tc>
          <w:tcPr>
            <w:tcW w:w="1842" w:type="dxa"/>
            <w:tcBorders>
              <w:top w:val="single" w:sz="4" w:space="0" w:color="auto"/>
              <w:left w:val="single" w:sz="4" w:space="0" w:color="auto"/>
              <w:bottom w:val="single" w:sz="4" w:space="0" w:color="auto"/>
              <w:right w:val="single" w:sz="4" w:space="0" w:color="auto"/>
            </w:tcBorders>
            <w:hideMark/>
          </w:tcPr>
          <w:p w14:paraId="5A4F6AFA" w14:textId="77777777" w:rsidR="00416D67" w:rsidRPr="00416D67" w:rsidRDefault="00416D67" w:rsidP="00416D67">
            <w:pPr>
              <w:rPr>
                <w:rFonts w:eastAsia="Calibri"/>
                <w:b/>
                <w:bCs/>
                <w:noProof/>
                <w:color w:val="000000"/>
                <w:lang w:eastAsia="en-US"/>
              </w:rPr>
            </w:pPr>
            <w:r w:rsidRPr="00416D67">
              <w:rPr>
                <w:rFonts w:eastAsia="Calibri"/>
                <w:b/>
                <w:bCs/>
                <w:color w:val="000000"/>
                <w:lang w:eastAsia="en-US"/>
              </w:rPr>
              <w:t xml:space="preserve">    459.005,67</w:t>
            </w:r>
          </w:p>
        </w:tc>
      </w:tr>
    </w:tbl>
    <w:p w14:paraId="13B89145" w14:textId="77777777" w:rsidR="00416D67" w:rsidRPr="00416D67" w:rsidRDefault="00416D67" w:rsidP="00416D67">
      <w:pPr>
        <w:ind w:firstLine="709"/>
        <w:jc w:val="both"/>
        <w:rPr>
          <w:noProof/>
          <w:highlight w:val="yellow"/>
        </w:rPr>
      </w:pPr>
    </w:p>
    <w:p w14:paraId="2AA9B06D" w14:textId="77777777" w:rsidR="00416D67" w:rsidRPr="00416D67" w:rsidRDefault="00416D67" w:rsidP="00416D67">
      <w:pPr>
        <w:ind w:firstLine="709"/>
        <w:jc w:val="both"/>
        <w:rPr>
          <w:color w:val="000000"/>
        </w:rPr>
      </w:pPr>
      <w:r w:rsidRPr="00416D67">
        <w:rPr>
          <w:color w:val="000000"/>
        </w:rPr>
        <w:t>Iz iznijetih podataka vidljivo je da su izdaci za većinu komunalnih djelatnosti u okviru planiranog ili da minimalno odstupaju.</w:t>
      </w:r>
    </w:p>
    <w:p w14:paraId="4AE20D74" w14:textId="77777777" w:rsidR="00416D67" w:rsidRPr="00416D67" w:rsidRDefault="00416D67" w:rsidP="00416D67">
      <w:pPr>
        <w:ind w:firstLine="709"/>
        <w:jc w:val="both"/>
        <w:rPr>
          <w:color w:val="000000"/>
        </w:rPr>
      </w:pPr>
      <w:r w:rsidRPr="00416D67">
        <w:rPr>
          <w:color w:val="000000"/>
        </w:rPr>
        <w:t xml:space="preserve">Održavanje komunalne infrastrukture tijekom 2025. godine kao i ranijih godina provodilo se prema prioritetima i u granicama raspoloživih sredstava i raspoloživih resursa </w:t>
      </w:r>
      <w:r w:rsidRPr="00416D67">
        <w:rPr>
          <w:color w:val="000000"/>
        </w:rPr>
        <w:lastRenderedPageBreak/>
        <w:t>komunalnog društva Mandalena d.o.o. s naglaskom na glavne prometne pravce i omogućavanja funkcija stanovanja, te pojačanog održavanja tijekom turističke sezone.</w:t>
      </w:r>
    </w:p>
    <w:p w14:paraId="5D2AFC65" w14:textId="77777777" w:rsidR="00416D67" w:rsidRPr="00416D67" w:rsidRDefault="00416D67" w:rsidP="00416D67">
      <w:pPr>
        <w:ind w:firstLine="709"/>
        <w:jc w:val="both"/>
      </w:pPr>
    </w:p>
    <w:p w14:paraId="5521A60D" w14:textId="77777777" w:rsidR="00416D67" w:rsidRPr="00416D67" w:rsidRDefault="00416D67" w:rsidP="00416D67">
      <w:pPr>
        <w:ind w:firstLine="709"/>
        <w:jc w:val="both"/>
      </w:pPr>
      <w:r w:rsidRPr="00416D67">
        <w:t xml:space="preserve">Obzirom na ostvarenje pojedinih namjenskih i drugih prihoda iz kojih se planirao financirati Program održavanja, te potrebnu ukupnu visinu sredstava za financiranje realizacije Programa održavanja za 2025. godinu, on je financiran  iz slijedećih prihoda:  </w:t>
      </w:r>
    </w:p>
    <w:p w14:paraId="06EC2821" w14:textId="77777777" w:rsidR="00416D67" w:rsidRPr="00416D67" w:rsidRDefault="00416D67" w:rsidP="00416D67">
      <w:pPr>
        <w:ind w:firstLine="709"/>
        <w:jc w:val="both"/>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4623"/>
        <w:gridCol w:w="1831"/>
        <w:gridCol w:w="1966"/>
      </w:tblGrid>
      <w:tr w:rsidR="00416D67" w:rsidRPr="00416D67" w14:paraId="779F9A61" w14:textId="77777777" w:rsidTr="00BB1392">
        <w:trPr>
          <w:trHeight w:val="170"/>
        </w:trPr>
        <w:tc>
          <w:tcPr>
            <w:tcW w:w="643" w:type="dxa"/>
            <w:tcBorders>
              <w:top w:val="single" w:sz="4" w:space="0" w:color="auto"/>
              <w:left w:val="single" w:sz="4" w:space="0" w:color="auto"/>
              <w:bottom w:val="single" w:sz="4" w:space="0" w:color="auto"/>
              <w:right w:val="single" w:sz="4" w:space="0" w:color="auto"/>
            </w:tcBorders>
            <w:hideMark/>
          </w:tcPr>
          <w:p w14:paraId="2CCC2094" w14:textId="77777777" w:rsidR="00416D67" w:rsidRPr="00416D67" w:rsidRDefault="00416D67" w:rsidP="00416D67">
            <w:pPr>
              <w:rPr>
                <w:rFonts w:eastAsia="Calibri"/>
                <w:noProof/>
                <w:lang w:eastAsia="en-US"/>
              </w:rPr>
            </w:pPr>
            <w:proofErr w:type="spellStart"/>
            <w:r w:rsidRPr="00416D67">
              <w:rPr>
                <w:rFonts w:eastAsia="Calibri"/>
                <w:lang w:eastAsia="en-US"/>
              </w:rPr>
              <w:t>R.b</w:t>
            </w:r>
            <w:proofErr w:type="spellEnd"/>
            <w:r w:rsidRPr="00416D67">
              <w:rPr>
                <w:rFonts w:eastAsia="Calibri"/>
                <w:lang w:eastAsia="en-US"/>
              </w:rPr>
              <w:t>.</w:t>
            </w:r>
          </w:p>
        </w:tc>
        <w:tc>
          <w:tcPr>
            <w:tcW w:w="4707" w:type="dxa"/>
            <w:tcBorders>
              <w:top w:val="single" w:sz="4" w:space="0" w:color="auto"/>
              <w:left w:val="single" w:sz="4" w:space="0" w:color="auto"/>
              <w:bottom w:val="single" w:sz="4" w:space="0" w:color="auto"/>
              <w:right w:val="single" w:sz="4" w:space="0" w:color="auto"/>
            </w:tcBorders>
          </w:tcPr>
          <w:p w14:paraId="2E0A9626" w14:textId="77777777" w:rsidR="00416D67" w:rsidRPr="00416D67" w:rsidRDefault="00416D67" w:rsidP="00416D67">
            <w:pPr>
              <w:rPr>
                <w:rFonts w:eastAsia="Calibri"/>
                <w:noProof/>
                <w:lang w:eastAsia="en-US"/>
              </w:rPr>
            </w:pPr>
            <w:r w:rsidRPr="00416D67">
              <w:rPr>
                <w:rFonts w:eastAsia="Calibri"/>
                <w:lang w:eastAsia="en-US"/>
              </w:rPr>
              <w:t>Naziv proračunskog prihoda</w:t>
            </w:r>
          </w:p>
        </w:tc>
        <w:tc>
          <w:tcPr>
            <w:tcW w:w="1846" w:type="dxa"/>
            <w:tcBorders>
              <w:top w:val="single" w:sz="4" w:space="0" w:color="auto"/>
              <w:left w:val="single" w:sz="4" w:space="0" w:color="auto"/>
              <w:bottom w:val="single" w:sz="4" w:space="0" w:color="auto"/>
              <w:right w:val="single" w:sz="4" w:space="0" w:color="auto"/>
            </w:tcBorders>
            <w:hideMark/>
          </w:tcPr>
          <w:p w14:paraId="672EF51C" w14:textId="77777777" w:rsidR="00416D67" w:rsidRPr="00416D67" w:rsidRDefault="00416D67" w:rsidP="00416D67">
            <w:pPr>
              <w:rPr>
                <w:rFonts w:eastAsia="Calibri"/>
                <w:noProof/>
                <w:lang w:eastAsia="en-US"/>
              </w:rPr>
            </w:pPr>
            <w:r w:rsidRPr="00416D67">
              <w:rPr>
                <w:rFonts w:eastAsia="Calibri"/>
                <w:lang w:eastAsia="en-US"/>
              </w:rPr>
              <w:t>Planirano  2025.</w:t>
            </w:r>
          </w:p>
        </w:tc>
        <w:tc>
          <w:tcPr>
            <w:tcW w:w="1984" w:type="dxa"/>
            <w:tcBorders>
              <w:top w:val="single" w:sz="4" w:space="0" w:color="auto"/>
              <w:left w:val="single" w:sz="4" w:space="0" w:color="auto"/>
              <w:bottom w:val="single" w:sz="4" w:space="0" w:color="auto"/>
              <w:right w:val="single" w:sz="4" w:space="0" w:color="auto"/>
            </w:tcBorders>
            <w:hideMark/>
          </w:tcPr>
          <w:p w14:paraId="0F7E340D" w14:textId="77777777" w:rsidR="00416D67" w:rsidRPr="00416D67" w:rsidRDefault="00416D67" w:rsidP="00416D67">
            <w:pPr>
              <w:rPr>
                <w:rFonts w:eastAsia="Calibri"/>
                <w:noProof/>
                <w:lang w:eastAsia="en-US"/>
              </w:rPr>
            </w:pPr>
            <w:r w:rsidRPr="00416D67">
              <w:rPr>
                <w:rFonts w:eastAsia="Calibri"/>
                <w:lang w:eastAsia="en-US"/>
              </w:rPr>
              <w:t xml:space="preserve">Izvršenje 2025. </w:t>
            </w:r>
          </w:p>
        </w:tc>
      </w:tr>
      <w:tr w:rsidR="00416D67" w:rsidRPr="00416D67" w14:paraId="44176E6B" w14:textId="77777777" w:rsidTr="00BB1392">
        <w:trPr>
          <w:trHeight w:val="60"/>
        </w:trPr>
        <w:tc>
          <w:tcPr>
            <w:tcW w:w="643" w:type="dxa"/>
            <w:tcBorders>
              <w:top w:val="single" w:sz="4" w:space="0" w:color="auto"/>
              <w:left w:val="single" w:sz="4" w:space="0" w:color="auto"/>
              <w:bottom w:val="single" w:sz="4" w:space="0" w:color="auto"/>
              <w:right w:val="single" w:sz="4" w:space="0" w:color="auto"/>
            </w:tcBorders>
            <w:hideMark/>
          </w:tcPr>
          <w:p w14:paraId="40F27C44" w14:textId="77777777" w:rsidR="00416D67" w:rsidRPr="00416D67" w:rsidRDefault="00416D67" w:rsidP="00416D67">
            <w:pPr>
              <w:rPr>
                <w:rFonts w:eastAsia="Calibri"/>
                <w:noProof/>
                <w:lang w:eastAsia="en-US"/>
              </w:rPr>
            </w:pPr>
            <w:r w:rsidRPr="00416D67">
              <w:rPr>
                <w:rFonts w:eastAsia="Calibri"/>
                <w:lang w:eastAsia="en-US"/>
              </w:rPr>
              <w:t>1.</w:t>
            </w:r>
          </w:p>
        </w:tc>
        <w:tc>
          <w:tcPr>
            <w:tcW w:w="4707" w:type="dxa"/>
            <w:tcBorders>
              <w:top w:val="single" w:sz="4" w:space="0" w:color="auto"/>
              <w:left w:val="single" w:sz="4" w:space="0" w:color="auto"/>
              <w:bottom w:val="single" w:sz="4" w:space="0" w:color="auto"/>
              <w:right w:val="single" w:sz="4" w:space="0" w:color="auto"/>
            </w:tcBorders>
            <w:hideMark/>
          </w:tcPr>
          <w:p w14:paraId="31960E73" w14:textId="77777777" w:rsidR="00416D67" w:rsidRPr="00416D67" w:rsidRDefault="00416D67" w:rsidP="00416D67">
            <w:pPr>
              <w:rPr>
                <w:noProof/>
                <w:sz w:val="22"/>
                <w:szCs w:val="22"/>
                <w:lang w:eastAsia="en-US"/>
              </w:rPr>
            </w:pPr>
            <w:r w:rsidRPr="00416D67">
              <w:rPr>
                <w:sz w:val="22"/>
                <w:szCs w:val="22"/>
                <w:lang w:eastAsia="en-US"/>
              </w:rPr>
              <w:t xml:space="preserve">Komunalna naknada         </w:t>
            </w:r>
          </w:p>
        </w:tc>
        <w:tc>
          <w:tcPr>
            <w:tcW w:w="1846" w:type="dxa"/>
            <w:tcBorders>
              <w:top w:val="single" w:sz="4" w:space="0" w:color="auto"/>
              <w:left w:val="single" w:sz="4" w:space="0" w:color="auto"/>
              <w:bottom w:val="single" w:sz="4" w:space="0" w:color="auto"/>
              <w:right w:val="single" w:sz="4" w:space="0" w:color="auto"/>
            </w:tcBorders>
            <w:hideMark/>
          </w:tcPr>
          <w:p w14:paraId="64B53222" w14:textId="77777777" w:rsidR="00416D67" w:rsidRPr="00416D67" w:rsidRDefault="00416D67" w:rsidP="00416D67">
            <w:pPr>
              <w:jc w:val="right"/>
              <w:rPr>
                <w:rFonts w:eastAsia="Calibri"/>
                <w:noProof/>
                <w:sz w:val="22"/>
                <w:szCs w:val="22"/>
                <w:lang w:eastAsia="en-US"/>
              </w:rPr>
            </w:pPr>
            <w:r w:rsidRPr="00416D67">
              <w:rPr>
                <w:kern w:val="2"/>
                <w:lang w:eastAsia="en-US"/>
              </w:rPr>
              <w:t>210.000,00</w:t>
            </w:r>
          </w:p>
        </w:tc>
        <w:tc>
          <w:tcPr>
            <w:tcW w:w="1984" w:type="dxa"/>
            <w:tcBorders>
              <w:top w:val="single" w:sz="4" w:space="0" w:color="auto"/>
              <w:left w:val="single" w:sz="4" w:space="0" w:color="auto"/>
              <w:bottom w:val="single" w:sz="4" w:space="0" w:color="auto"/>
              <w:right w:val="single" w:sz="4" w:space="0" w:color="auto"/>
            </w:tcBorders>
            <w:hideMark/>
          </w:tcPr>
          <w:p w14:paraId="165132D2" w14:textId="77777777" w:rsidR="00416D67" w:rsidRPr="00416D67" w:rsidRDefault="00416D67" w:rsidP="00416D67">
            <w:pPr>
              <w:jc w:val="right"/>
              <w:rPr>
                <w:rFonts w:eastAsia="Calibri"/>
                <w:noProof/>
                <w:color w:val="000000"/>
                <w:lang w:eastAsia="en-US"/>
              </w:rPr>
            </w:pPr>
            <w:r w:rsidRPr="00416D67">
              <w:rPr>
                <w:rFonts w:eastAsia="Calibri"/>
                <w:color w:val="000000"/>
                <w:lang w:eastAsia="en-US"/>
              </w:rPr>
              <w:t>195.690,03</w:t>
            </w:r>
          </w:p>
        </w:tc>
      </w:tr>
      <w:tr w:rsidR="00416D67" w:rsidRPr="00416D67" w14:paraId="249647AE" w14:textId="77777777" w:rsidTr="00BB1392">
        <w:trPr>
          <w:trHeight w:val="281"/>
        </w:trPr>
        <w:tc>
          <w:tcPr>
            <w:tcW w:w="643" w:type="dxa"/>
            <w:tcBorders>
              <w:top w:val="single" w:sz="4" w:space="0" w:color="auto"/>
              <w:left w:val="single" w:sz="4" w:space="0" w:color="auto"/>
              <w:bottom w:val="single" w:sz="4" w:space="0" w:color="auto"/>
              <w:right w:val="single" w:sz="4" w:space="0" w:color="auto"/>
            </w:tcBorders>
            <w:hideMark/>
          </w:tcPr>
          <w:p w14:paraId="51F3C753" w14:textId="77777777" w:rsidR="00416D67" w:rsidRPr="00416D67" w:rsidRDefault="00416D67" w:rsidP="00416D67">
            <w:pPr>
              <w:rPr>
                <w:rFonts w:eastAsia="Calibri"/>
                <w:noProof/>
                <w:lang w:eastAsia="en-US"/>
              </w:rPr>
            </w:pPr>
            <w:r w:rsidRPr="00416D67">
              <w:rPr>
                <w:rFonts w:eastAsia="Calibri"/>
                <w:lang w:eastAsia="en-US"/>
              </w:rPr>
              <w:t>2.</w:t>
            </w:r>
          </w:p>
        </w:tc>
        <w:tc>
          <w:tcPr>
            <w:tcW w:w="4707" w:type="dxa"/>
            <w:tcBorders>
              <w:top w:val="single" w:sz="4" w:space="0" w:color="auto"/>
              <w:left w:val="single" w:sz="4" w:space="0" w:color="auto"/>
              <w:bottom w:val="single" w:sz="4" w:space="0" w:color="auto"/>
              <w:right w:val="single" w:sz="4" w:space="0" w:color="auto"/>
            </w:tcBorders>
            <w:hideMark/>
          </w:tcPr>
          <w:p w14:paraId="1032ADCC" w14:textId="77777777" w:rsidR="00416D67" w:rsidRPr="00416D67" w:rsidRDefault="00416D67" w:rsidP="00416D67">
            <w:pPr>
              <w:rPr>
                <w:noProof/>
                <w:sz w:val="22"/>
                <w:szCs w:val="22"/>
                <w:lang w:eastAsia="en-US"/>
              </w:rPr>
            </w:pPr>
            <w:r w:rsidRPr="00416D67">
              <w:rPr>
                <w:sz w:val="22"/>
                <w:szCs w:val="22"/>
                <w:lang w:eastAsia="en-US"/>
              </w:rPr>
              <w:t xml:space="preserve">Turistička pristojba            </w:t>
            </w:r>
          </w:p>
        </w:tc>
        <w:tc>
          <w:tcPr>
            <w:tcW w:w="1846" w:type="dxa"/>
            <w:tcBorders>
              <w:top w:val="single" w:sz="4" w:space="0" w:color="auto"/>
              <w:left w:val="single" w:sz="4" w:space="0" w:color="auto"/>
              <w:bottom w:val="single" w:sz="4" w:space="0" w:color="auto"/>
              <w:right w:val="single" w:sz="4" w:space="0" w:color="auto"/>
            </w:tcBorders>
            <w:hideMark/>
          </w:tcPr>
          <w:p w14:paraId="03421B24" w14:textId="77777777" w:rsidR="00416D67" w:rsidRPr="00416D67" w:rsidRDefault="00416D67" w:rsidP="00416D67">
            <w:pPr>
              <w:jc w:val="right"/>
              <w:rPr>
                <w:rFonts w:eastAsia="Calibri"/>
                <w:noProof/>
                <w:sz w:val="22"/>
                <w:szCs w:val="22"/>
                <w:lang w:eastAsia="en-US"/>
              </w:rPr>
            </w:pPr>
            <w:r w:rsidRPr="00416D67">
              <w:rPr>
                <w:kern w:val="2"/>
                <w:lang w:eastAsia="en-US"/>
              </w:rPr>
              <w:t>36.300,00</w:t>
            </w:r>
          </w:p>
        </w:tc>
        <w:tc>
          <w:tcPr>
            <w:tcW w:w="1984" w:type="dxa"/>
            <w:tcBorders>
              <w:top w:val="single" w:sz="4" w:space="0" w:color="auto"/>
              <w:left w:val="single" w:sz="4" w:space="0" w:color="auto"/>
              <w:bottom w:val="single" w:sz="4" w:space="0" w:color="auto"/>
              <w:right w:val="single" w:sz="4" w:space="0" w:color="auto"/>
            </w:tcBorders>
            <w:hideMark/>
          </w:tcPr>
          <w:p w14:paraId="1A17F81E" w14:textId="77777777" w:rsidR="00416D67" w:rsidRPr="00416D67" w:rsidRDefault="00416D67" w:rsidP="00416D67">
            <w:pPr>
              <w:jc w:val="right"/>
              <w:rPr>
                <w:rFonts w:eastAsia="Calibri"/>
                <w:noProof/>
                <w:color w:val="000000"/>
                <w:lang w:eastAsia="en-US"/>
              </w:rPr>
            </w:pPr>
            <w:r w:rsidRPr="00416D67">
              <w:rPr>
                <w:rFonts w:eastAsia="Calibri"/>
                <w:color w:val="000000"/>
                <w:lang w:eastAsia="en-US"/>
              </w:rPr>
              <w:t>22.319,02</w:t>
            </w:r>
          </w:p>
        </w:tc>
      </w:tr>
      <w:tr w:rsidR="00416D67" w:rsidRPr="00416D67" w14:paraId="0285826B" w14:textId="77777777" w:rsidTr="00BB1392">
        <w:trPr>
          <w:trHeight w:val="525"/>
        </w:trPr>
        <w:tc>
          <w:tcPr>
            <w:tcW w:w="643" w:type="dxa"/>
            <w:tcBorders>
              <w:top w:val="single" w:sz="4" w:space="0" w:color="auto"/>
              <w:left w:val="single" w:sz="4" w:space="0" w:color="auto"/>
              <w:bottom w:val="single" w:sz="4" w:space="0" w:color="auto"/>
              <w:right w:val="single" w:sz="4" w:space="0" w:color="auto"/>
            </w:tcBorders>
            <w:hideMark/>
          </w:tcPr>
          <w:p w14:paraId="3448B235" w14:textId="77777777" w:rsidR="00416D67" w:rsidRPr="00416D67" w:rsidRDefault="00416D67" w:rsidP="00416D67">
            <w:pPr>
              <w:rPr>
                <w:rFonts w:eastAsia="Calibri"/>
                <w:noProof/>
                <w:lang w:eastAsia="en-US"/>
              </w:rPr>
            </w:pPr>
            <w:r w:rsidRPr="00416D67">
              <w:rPr>
                <w:rFonts w:eastAsia="Calibri"/>
                <w:lang w:eastAsia="en-US"/>
              </w:rPr>
              <w:t>3.</w:t>
            </w:r>
          </w:p>
        </w:tc>
        <w:tc>
          <w:tcPr>
            <w:tcW w:w="4707" w:type="dxa"/>
            <w:tcBorders>
              <w:top w:val="single" w:sz="4" w:space="0" w:color="auto"/>
              <w:left w:val="single" w:sz="4" w:space="0" w:color="auto"/>
              <w:bottom w:val="single" w:sz="4" w:space="0" w:color="auto"/>
              <w:right w:val="single" w:sz="4" w:space="0" w:color="auto"/>
            </w:tcBorders>
            <w:hideMark/>
          </w:tcPr>
          <w:p w14:paraId="63E9667B" w14:textId="77777777" w:rsidR="00416D67" w:rsidRPr="00416D67" w:rsidRDefault="00416D67" w:rsidP="00416D67">
            <w:pPr>
              <w:rPr>
                <w:noProof/>
                <w:color w:val="FF0000"/>
                <w:lang w:eastAsia="en-US"/>
              </w:rPr>
            </w:pPr>
            <w:r w:rsidRPr="00416D67">
              <w:rPr>
                <w:sz w:val="22"/>
                <w:szCs w:val="22"/>
                <w:lang w:eastAsia="en-US"/>
              </w:rPr>
              <w:t xml:space="preserve">Koncesije i koncesijska odobrenja na pomorskom dobru    </w:t>
            </w:r>
          </w:p>
        </w:tc>
        <w:tc>
          <w:tcPr>
            <w:tcW w:w="1846" w:type="dxa"/>
            <w:tcBorders>
              <w:top w:val="single" w:sz="4" w:space="0" w:color="auto"/>
              <w:left w:val="single" w:sz="4" w:space="0" w:color="auto"/>
              <w:bottom w:val="single" w:sz="4" w:space="0" w:color="auto"/>
              <w:right w:val="single" w:sz="4" w:space="0" w:color="auto"/>
            </w:tcBorders>
          </w:tcPr>
          <w:p w14:paraId="0C0D649D" w14:textId="77777777" w:rsidR="00416D67" w:rsidRPr="00416D67" w:rsidRDefault="00416D67" w:rsidP="00416D67">
            <w:pPr>
              <w:spacing w:line="254" w:lineRule="auto"/>
              <w:ind w:left="-186"/>
              <w:jc w:val="right"/>
              <w:rPr>
                <w:rFonts w:eastAsia="Calibri"/>
                <w:noProof/>
                <w:sz w:val="22"/>
                <w:szCs w:val="22"/>
                <w:lang w:eastAsia="en-US"/>
              </w:rPr>
            </w:pPr>
            <w:r w:rsidRPr="00416D67">
              <w:rPr>
                <w:kern w:val="2"/>
                <w:lang w:eastAsia="en-US"/>
              </w:rPr>
              <w:t xml:space="preserve">28.000,00 </w:t>
            </w:r>
          </w:p>
          <w:p w14:paraId="78D98C09" w14:textId="77777777" w:rsidR="00416D67" w:rsidRPr="00416D67" w:rsidRDefault="00416D67" w:rsidP="00416D67">
            <w:pPr>
              <w:jc w:val="right"/>
              <w:rPr>
                <w:rFonts w:eastAsia="Calibri"/>
                <w:noProof/>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hideMark/>
          </w:tcPr>
          <w:p w14:paraId="4CDE2D87" w14:textId="77777777" w:rsidR="00416D67" w:rsidRPr="00416D67" w:rsidRDefault="00416D67" w:rsidP="00416D67">
            <w:pPr>
              <w:jc w:val="right"/>
              <w:rPr>
                <w:rFonts w:eastAsia="Calibri"/>
                <w:noProof/>
                <w:color w:val="000000"/>
                <w:lang w:eastAsia="en-US"/>
              </w:rPr>
            </w:pPr>
            <w:r w:rsidRPr="00416D67">
              <w:rPr>
                <w:rFonts w:eastAsia="Calibri"/>
                <w:color w:val="000000"/>
                <w:lang w:eastAsia="en-US"/>
              </w:rPr>
              <w:t>27.529,49</w:t>
            </w:r>
          </w:p>
        </w:tc>
      </w:tr>
      <w:tr w:rsidR="00416D67" w:rsidRPr="00416D67" w14:paraId="7D154007" w14:textId="77777777" w:rsidTr="00BB1392">
        <w:trPr>
          <w:trHeight w:val="192"/>
        </w:trPr>
        <w:tc>
          <w:tcPr>
            <w:tcW w:w="643" w:type="dxa"/>
            <w:tcBorders>
              <w:top w:val="single" w:sz="4" w:space="0" w:color="auto"/>
              <w:left w:val="single" w:sz="4" w:space="0" w:color="auto"/>
              <w:bottom w:val="single" w:sz="4" w:space="0" w:color="auto"/>
              <w:right w:val="single" w:sz="4" w:space="0" w:color="auto"/>
            </w:tcBorders>
            <w:hideMark/>
          </w:tcPr>
          <w:p w14:paraId="56E8E556" w14:textId="77777777" w:rsidR="00416D67" w:rsidRPr="00416D67" w:rsidRDefault="00416D67" w:rsidP="00416D67">
            <w:pPr>
              <w:rPr>
                <w:rFonts w:eastAsia="Calibri"/>
                <w:noProof/>
                <w:lang w:eastAsia="en-US"/>
              </w:rPr>
            </w:pPr>
            <w:r w:rsidRPr="00416D67">
              <w:rPr>
                <w:rFonts w:eastAsia="Calibri"/>
                <w:lang w:eastAsia="en-US"/>
              </w:rPr>
              <w:t>4.</w:t>
            </w:r>
          </w:p>
        </w:tc>
        <w:tc>
          <w:tcPr>
            <w:tcW w:w="4707" w:type="dxa"/>
            <w:tcBorders>
              <w:top w:val="single" w:sz="4" w:space="0" w:color="auto"/>
              <w:left w:val="single" w:sz="4" w:space="0" w:color="auto"/>
              <w:bottom w:val="single" w:sz="4" w:space="0" w:color="auto"/>
              <w:right w:val="single" w:sz="4" w:space="0" w:color="auto"/>
            </w:tcBorders>
            <w:hideMark/>
          </w:tcPr>
          <w:p w14:paraId="3FB3035D" w14:textId="77777777" w:rsidR="00416D67" w:rsidRPr="00416D67" w:rsidRDefault="00416D67" w:rsidP="00416D67">
            <w:pPr>
              <w:rPr>
                <w:noProof/>
                <w:sz w:val="22"/>
                <w:szCs w:val="22"/>
                <w:lang w:eastAsia="en-US"/>
              </w:rPr>
            </w:pPr>
            <w:r w:rsidRPr="00416D67">
              <w:rPr>
                <w:lang w:eastAsia="en-US"/>
              </w:rPr>
              <w:t>Prihodi od naplaćenih kazni</w:t>
            </w:r>
          </w:p>
        </w:tc>
        <w:tc>
          <w:tcPr>
            <w:tcW w:w="1846" w:type="dxa"/>
            <w:tcBorders>
              <w:top w:val="single" w:sz="4" w:space="0" w:color="auto"/>
              <w:left w:val="single" w:sz="4" w:space="0" w:color="auto"/>
              <w:bottom w:val="single" w:sz="4" w:space="0" w:color="auto"/>
              <w:right w:val="single" w:sz="4" w:space="0" w:color="auto"/>
            </w:tcBorders>
            <w:hideMark/>
          </w:tcPr>
          <w:p w14:paraId="5194DF93" w14:textId="77777777" w:rsidR="00416D67" w:rsidRPr="00416D67" w:rsidRDefault="00416D67" w:rsidP="00416D67">
            <w:pPr>
              <w:spacing w:line="254" w:lineRule="auto"/>
              <w:ind w:left="-186"/>
              <w:jc w:val="right"/>
              <w:rPr>
                <w:noProof/>
                <w:kern w:val="2"/>
                <w:lang w:eastAsia="en-US"/>
              </w:rPr>
            </w:pPr>
            <w:r w:rsidRPr="00416D67">
              <w:rPr>
                <w:lang w:eastAsia="en-US"/>
              </w:rPr>
              <w:t>1.230,00</w:t>
            </w:r>
          </w:p>
        </w:tc>
        <w:tc>
          <w:tcPr>
            <w:tcW w:w="1984" w:type="dxa"/>
            <w:tcBorders>
              <w:top w:val="single" w:sz="4" w:space="0" w:color="auto"/>
              <w:left w:val="single" w:sz="4" w:space="0" w:color="auto"/>
              <w:bottom w:val="single" w:sz="4" w:space="0" w:color="auto"/>
              <w:right w:val="single" w:sz="4" w:space="0" w:color="auto"/>
            </w:tcBorders>
            <w:hideMark/>
          </w:tcPr>
          <w:p w14:paraId="5751ED9B" w14:textId="77777777" w:rsidR="00416D67" w:rsidRPr="00416D67" w:rsidRDefault="00416D67" w:rsidP="00416D67">
            <w:pPr>
              <w:jc w:val="right"/>
              <w:rPr>
                <w:rFonts w:eastAsia="Calibri"/>
                <w:noProof/>
                <w:lang w:eastAsia="en-US"/>
              </w:rPr>
            </w:pPr>
            <w:r w:rsidRPr="00416D67">
              <w:rPr>
                <w:rFonts w:eastAsia="Calibri"/>
                <w:lang w:eastAsia="en-US"/>
              </w:rPr>
              <w:t>1.260,00</w:t>
            </w:r>
          </w:p>
        </w:tc>
      </w:tr>
      <w:tr w:rsidR="00416D67" w:rsidRPr="00416D67" w14:paraId="58352603" w14:textId="77777777" w:rsidTr="00BB1392">
        <w:trPr>
          <w:trHeight w:val="361"/>
        </w:trPr>
        <w:tc>
          <w:tcPr>
            <w:tcW w:w="643" w:type="dxa"/>
            <w:tcBorders>
              <w:top w:val="single" w:sz="4" w:space="0" w:color="auto"/>
              <w:left w:val="single" w:sz="4" w:space="0" w:color="auto"/>
              <w:bottom w:val="single" w:sz="4" w:space="0" w:color="auto"/>
              <w:right w:val="single" w:sz="4" w:space="0" w:color="auto"/>
            </w:tcBorders>
            <w:hideMark/>
          </w:tcPr>
          <w:p w14:paraId="33463BE3" w14:textId="77777777" w:rsidR="00416D67" w:rsidRPr="00416D67" w:rsidRDefault="00416D67" w:rsidP="00416D67">
            <w:pPr>
              <w:rPr>
                <w:rFonts w:eastAsia="Calibri"/>
                <w:noProof/>
                <w:lang w:eastAsia="en-US"/>
              </w:rPr>
            </w:pPr>
            <w:r w:rsidRPr="00416D67">
              <w:rPr>
                <w:rFonts w:eastAsia="Calibri"/>
                <w:lang w:eastAsia="en-US"/>
              </w:rPr>
              <w:t>5.</w:t>
            </w:r>
          </w:p>
        </w:tc>
        <w:tc>
          <w:tcPr>
            <w:tcW w:w="4707" w:type="dxa"/>
            <w:tcBorders>
              <w:top w:val="single" w:sz="4" w:space="0" w:color="auto"/>
              <w:left w:val="single" w:sz="4" w:space="0" w:color="auto"/>
              <w:bottom w:val="single" w:sz="4" w:space="0" w:color="auto"/>
              <w:right w:val="single" w:sz="4" w:space="0" w:color="auto"/>
            </w:tcBorders>
            <w:hideMark/>
          </w:tcPr>
          <w:p w14:paraId="28744A4F" w14:textId="77777777" w:rsidR="00416D67" w:rsidRPr="00416D67" w:rsidRDefault="00416D67" w:rsidP="00416D67">
            <w:pPr>
              <w:rPr>
                <w:noProof/>
                <w:sz w:val="22"/>
                <w:szCs w:val="22"/>
                <w:lang w:eastAsia="en-US"/>
              </w:rPr>
            </w:pPr>
            <w:r w:rsidRPr="00416D67">
              <w:rPr>
                <w:sz w:val="22"/>
                <w:szCs w:val="22"/>
                <w:lang w:eastAsia="en-US"/>
              </w:rPr>
              <w:t>Opći prihodi i primici  Proračuna Općine Marčana</w:t>
            </w:r>
          </w:p>
        </w:tc>
        <w:tc>
          <w:tcPr>
            <w:tcW w:w="1846" w:type="dxa"/>
            <w:tcBorders>
              <w:top w:val="single" w:sz="4" w:space="0" w:color="auto"/>
              <w:left w:val="single" w:sz="4" w:space="0" w:color="auto"/>
              <w:bottom w:val="single" w:sz="4" w:space="0" w:color="auto"/>
              <w:right w:val="single" w:sz="4" w:space="0" w:color="auto"/>
            </w:tcBorders>
            <w:hideMark/>
          </w:tcPr>
          <w:p w14:paraId="1053802F" w14:textId="77777777" w:rsidR="00416D67" w:rsidRPr="00416D67" w:rsidRDefault="00416D67" w:rsidP="00416D67">
            <w:pPr>
              <w:jc w:val="right"/>
              <w:rPr>
                <w:rFonts w:eastAsia="Calibri"/>
                <w:noProof/>
                <w:sz w:val="22"/>
                <w:szCs w:val="22"/>
                <w:lang w:eastAsia="en-US"/>
              </w:rPr>
            </w:pPr>
            <w:r w:rsidRPr="00416D67">
              <w:rPr>
                <w:kern w:val="2"/>
                <w:lang w:eastAsia="en-US"/>
              </w:rPr>
              <w:t>209.905,00</w:t>
            </w:r>
          </w:p>
        </w:tc>
        <w:tc>
          <w:tcPr>
            <w:tcW w:w="1984" w:type="dxa"/>
            <w:tcBorders>
              <w:top w:val="single" w:sz="4" w:space="0" w:color="auto"/>
              <w:left w:val="single" w:sz="4" w:space="0" w:color="auto"/>
              <w:bottom w:val="single" w:sz="4" w:space="0" w:color="auto"/>
              <w:right w:val="single" w:sz="4" w:space="0" w:color="auto"/>
            </w:tcBorders>
            <w:hideMark/>
          </w:tcPr>
          <w:p w14:paraId="6E69497D" w14:textId="77777777" w:rsidR="00416D67" w:rsidRPr="00416D67" w:rsidRDefault="00416D67" w:rsidP="00416D67">
            <w:pPr>
              <w:jc w:val="right"/>
              <w:rPr>
                <w:rFonts w:eastAsia="Calibri"/>
                <w:noProof/>
                <w:color w:val="000000"/>
                <w:lang w:eastAsia="en-US"/>
              </w:rPr>
            </w:pPr>
            <w:r w:rsidRPr="00416D67">
              <w:rPr>
                <w:rFonts w:eastAsia="Calibri"/>
                <w:color w:val="000000"/>
                <w:lang w:eastAsia="en-US"/>
              </w:rPr>
              <w:t>212.207,13</w:t>
            </w:r>
          </w:p>
        </w:tc>
      </w:tr>
      <w:tr w:rsidR="00416D67" w:rsidRPr="00416D67" w14:paraId="79E291E0" w14:textId="77777777" w:rsidTr="00BB1392">
        <w:trPr>
          <w:trHeight w:val="362"/>
        </w:trPr>
        <w:tc>
          <w:tcPr>
            <w:tcW w:w="5350" w:type="dxa"/>
            <w:gridSpan w:val="2"/>
            <w:tcBorders>
              <w:top w:val="single" w:sz="4" w:space="0" w:color="auto"/>
              <w:left w:val="single" w:sz="4" w:space="0" w:color="auto"/>
              <w:bottom w:val="single" w:sz="4" w:space="0" w:color="auto"/>
              <w:right w:val="single" w:sz="4" w:space="0" w:color="auto"/>
            </w:tcBorders>
            <w:hideMark/>
          </w:tcPr>
          <w:p w14:paraId="0A00269F" w14:textId="77777777" w:rsidR="00416D67" w:rsidRPr="00416D67" w:rsidRDefault="00416D67" w:rsidP="00416D67">
            <w:pPr>
              <w:jc w:val="right"/>
              <w:rPr>
                <w:rFonts w:eastAsia="Calibri"/>
                <w:b/>
                <w:bCs/>
                <w:noProof/>
                <w:color w:val="231F20"/>
                <w:lang w:eastAsia="en-US"/>
              </w:rPr>
            </w:pPr>
            <w:r w:rsidRPr="00416D67">
              <w:rPr>
                <w:rFonts w:eastAsia="Calibri"/>
                <w:b/>
                <w:bCs/>
                <w:color w:val="231F20"/>
                <w:lang w:eastAsia="en-US"/>
              </w:rPr>
              <w:t>SVEUKUPNO 1-4:</w:t>
            </w:r>
          </w:p>
        </w:tc>
        <w:tc>
          <w:tcPr>
            <w:tcW w:w="1846" w:type="dxa"/>
            <w:tcBorders>
              <w:top w:val="single" w:sz="4" w:space="0" w:color="auto"/>
              <w:left w:val="single" w:sz="4" w:space="0" w:color="auto"/>
              <w:bottom w:val="single" w:sz="4" w:space="0" w:color="auto"/>
              <w:right w:val="single" w:sz="4" w:space="0" w:color="auto"/>
            </w:tcBorders>
            <w:hideMark/>
          </w:tcPr>
          <w:p w14:paraId="42D659F5" w14:textId="77777777" w:rsidR="00416D67" w:rsidRPr="00416D67" w:rsidRDefault="00416D67" w:rsidP="00416D67">
            <w:pPr>
              <w:jc w:val="right"/>
              <w:rPr>
                <w:b/>
                <w:bCs/>
                <w:noProof/>
                <w:color w:val="000000"/>
                <w:lang w:eastAsia="en-US"/>
              </w:rPr>
            </w:pPr>
            <w:r w:rsidRPr="00416D67">
              <w:rPr>
                <w:b/>
                <w:lang w:eastAsia="en-US"/>
              </w:rPr>
              <w:t>485.435</w:t>
            </w:r>
            <w:r w:rsidRPr="00416D67">
              <w:rPr>
                <w:rFonts w:eastAsia="Calibri"/>
                <w:b/>
                <w:bCs/>
                <w:lang w:eastAsia="en-US"/>
              </w:rPr>
              <w:t>,00</w:t>
            </w:r>
          </w:p>
        </w:tc>
        <w:tc>
          <w:tcPr>
            <w:tcW w:w="1984" w:type="dxa"/>
            <w:tcBorders>
              <w:top w:val="single" w:sz="4" w:space="0" w:color="auto"/>
              <w:left w:val="single" w:sz="4" w:space="0" w:color="auto"/>
              <w:bottom w:val="single" w:sz="4" w:space="0" w:color="auto"/>
              <w:right w:val="single" w:sz="4" w:space="0" w:color="auto"/>
            </w:tcBorders>
            <w:hideMark/>
          </w:tcPr>
          <w:p w14:paraId="3445EEAF" w14:textId="77777777" w:rsidR="00416D67" w:rsidRPr="00416D67" w:rsidRDefault="00416D67" w:rsidP="00416D67">
            <w:pPr>
              <w:jc w:val="right"/>
              <w:rPr>
                <w:rFonts w:eastAsia="Calibri"/>
                <w:b/>
                <w:bCs/>
                <w:noProof/>
                <w:color w:val="000000"/>
                <w:lang w:eastAsia="en-US"/>
              </w:rPr>
            </w:pPr>
            <w:r w:rsidRPr="00416D67">
              <w:rPr>
                <w:rFonts w:eastAsia="Calibri"/>
                <w:b/>
                <w:bCs/>
                <w:color w:val="000000"/>
                <w:lang w:eastAsia="en-US"/>
              </w:rPr>
              <w:t>459.005,67</w:t>
            </w:r>
          </w:p>
        </w:tc>
      </w:tr>
    </w:tbl>
    <w:p w14:paraId="04034A92" w14:textId="77777777" w:rsidR="00416D67" w:rsidRPr="00416D67" w:rsidRDefault="00416D67" w:rsidP="00416D67">
      <w:pPr>
        <w:jc w:val="both"/>
        <w:rPr>
          <w:noProof/>
          <w:color w:val="FF0000"/>
        </w:rPr>
      </w:pPr>
    </w:p>
    <w:p w14:paraId="0D5070D3" w14:textId="77777777" w:rsidR="00416D67" w:rsidRPr="00416D67" w:rsidRDefault="00416D67" w:rsidP="00416D67">
      <w:pPr>
        <w:ind w:firstLine="709"/>
        <w:jc w:val="both"/>
        <w:rPr>
          <w:color w:val="000000"/>
        </w:rPr>
      </w:pPr>
      <w:r w:rsidRPr="00416D67">
        <w:rPr>
          <w:color w:val="000000"/>
        </w:rPr>
        <w:t>Vidljivo je da su prihodi od komunalne naknade, boravišne pristojbe, te naknada za koncesije na pomorskom dobru namjenski utrošeni. Po prvi puta ostvaren je i prihod od naplaćenih kazni, dok su opći prihodi i primici Proračuna Općine Marčana korišteni za pokriće ostalih troškova i izdataka Programa održavanja komunalne infrastrukture za 2025. godinu.</w:t>
      </w:r>
    </w:p>
    <w:p w14:paraId="62050174" w14:textId="77777777" w:rsidR="00416D67" w:rsidRPr="00416D67" w:rsidRDefault="00416D67" w:rsidP="00416D67">
      <w:pPr>
        <w:ind w:firstLine="709"/>
        <w:jc w:val="both"/>
        <w:rPr>
          <w:color w:val="000000"/>
        </w:rPr>
      </w:pPr>
      <w:r w:rsidRPr="00416D67">
        <w:rPr>
          <w:color w:val="000000"/>
        </w:rPr>
        <w:t xml:space="preserve">Iz svega iznijetog može se zaključiti da je Program održavanja komunalne infrastrukture za 2025. godinu uspješno ostvaren, iako je zabilježeno smanjenje utrošenih sredstava od planiranih Programom, tako da realizacija Programa iznosi 94,56%.                   </w:t>
      </w:r>
    </w:p>
    <w:p w14:paraId="75159ED2" w14:textId="77777777" w:rsidR="00416D67" w:rsidRPr="00416D67" w:rsidRDefault="00416D67" w:rsidP="00416D67">
      <w:pPr>
        <w:ind w:firstLine="709"/>
        <w:jc w:val="both"/>
        <w:rPr>
          <w:color w:val="000000"/>
        </w:rPr>
      </w:pPr>
      <w:r w:rsidRPr="00416D67">
        <w:rPr>
          <w:color w:val="000000"/>
        </w:rPr>
        <w:t xml:space="preserve"> Detaljan prikaz ostvarenja programa prezentiran je u Izvješću o </w:t>
      </w:r>
      <w:proofErr w:type="spellStart"/>
      <w:r w:rsidRPr="00416D67">
        <w:rPr>
          <w:color w:val="000000"/>
        </w:rPr>
        <w:t>o</w:t>
      </w:r>
      <w:proofErr w:type="spellEnd"/>
      <w:r w:rsidRPr="00416D67">
        <w:rPr>
          <w:color w:val="000000"/>
        </w:rPr>
        <w:t xml:space="preserve"> izvršenju Programa održavanja komunalne infrastrukture za 2025. godinu.</w:t>
      </w:r>
    </w:p>
    <w:p w14:paraId="597ADCC4" w14:textId="77777777" w:rsidR="00416D67" w:rsidRPr="00416D67" w:rsidRDefault="00416D67" w:rsidP="00416D67">
      <w:pPr>
        <w:overflowPunct w:val="0"/>
        <w:autoSpaceDE w:val="0"/>
        <w:autoSpaceDN w:val="0"/>
        <w:adjustRightInd w:val="0"/>
        <w:rPr>
          <w:lang w:val="en-GB"/>
        </w:rPr>
      </w:pPr>
    </w:p>
    <w:p w14:paraId="59743C6B" w14:textId="77777777" w:rsidR="00416D67" w:rsidRPr="00416D67" w:rsidRDefault="00416D67" w:rsidP="00416D67">
      <w:pPr>
        <w:spacing w:after="120"/>
        <w:ind w:firstLine="720"/>
        <w:jc w:val="both"/>
      </w:pPr>
      <w:r w:rsidRPr="00416D67">
        <w:rPr>
          <w:b/>
        </w:rPr>
        <w:t xml:space="preserve">      Program korištenje sredstava naknade za zadržavanje nezakonito izgrađenih zgrada na </w:t>
      </w:r>
      <w:r w:rsidRPr="00416D67">
        <w:t xml:space="preserve">području Općine u izvještajnom razdoblju realiziran je u iznosu od 4.312,50 EUR  (ostvarenje 2024. godine 13.237,64 EUR). </w:t>
      </w:r>
    </w:p>
    <w:p w14:paraId="5B3EC051" w14:textId="77777777" w:rsidR="00416D67" w:rsidRPr="00416D67" w:rsidRDefault="00416D67" w:rsidP="00416D67">
      <w:pPr>
        <w:spacing w:after="120"/>
        <w:ind w:firstLine="720"/>
        <w:jc w:val="both"/>
        <w:rPr>
          <w:color w:val="000000"/>
        </w:rPr>
      </w:pPr>
      <w:r w:rsidRPr="00416D67">
        <w:rPr>
          <w:color w:val="000000"/>
        </w:rPr>
        <w:t>U 2025. godini ostvareni su prihodi od naknade za zadržavanje</w:t>
      </w:r>
      <w:r w:rsidRPr="00416D67">
        <w:rPr>
          <w:bCs/>
          <w:color w:val="000000"/>
        </w:rPr>
        <w:t xml:space="preserve"> nezakonito izgrađenih zgrada</w:t>
      </w:r>
      <w:r w:rsidRPr="00416D67">
        <w:rPr>
          <w:color w:val="000000"/>
        </w:rPr>
        <w:t xml:space="preserve"> u iznosu od 5.696,66 EUR, a </w:t>
      </w:r>
      <w:r w:rsidRPr="00416D67">
        <w:t xml:space="preserve">realizirano je </w:t>
      </w:r>
      <w:proofErr w:type="spellStart"/>
      <w:r w:rsidRPr="00416D67">
        <w:rPr>
          <w:color w:val="000000"/>
          <w:lang w:val="en-GB" w:eastAsia="en-US"/>
        </w:rPr>
        <w:t>uređenje</w:t>
      </w:r>
      <w:proofErr w:type="spellEnd"/>
      <w:r w:rsidRPr="00416D67">
        <w:rPr>
          <w:color w:val="000000"/>
          <w:lang w:val="en-GB" w:eastAsia="en-US"/>
        </w:rPr>
        <w:t xml:space="preserve"> </w:t>
      </w:r>
      <w:proofErr w:type="spellStart"/>
      <w:r w:rsidRPr="00416D67">
        <w:rPr>
          <w:color w:val="000000"/>
          <w:lang w:val="en-GB" w:eastAsia="en-US"/>
        </w:rPr>
        <w:t>parkirališta</w:t>
      </w:r>
      <w:proofErr w:type="spellEnd"/>
      <w:r w:rsidRPr="00416D67">
        <w:rPr>
          <w:color w:val="000000"/>
          <w:lang w:val="en-GB" w:eastAsia="en-US"/>
        </w:rPr>
        <w:t xml:space="preserve"> </w:t>
      </w:r>
      <w:proofErr w:type="spellStart"/>
      <w:r w:rsidRPr="00416D67">
        <w:rPr>
          <w:color w:val="000000"/>
          <w:lang w:val="en-GB" w:eastAsia="en-US"/>
        </w:rPr>
        <w:t>na</w:t>
      </w:r>
      <w:proofErr w:type="spellEnd"/>
      <w:r w:rsidRPr="00416D67">
        <w:rPr>
          <w:color w:val="000000"/>
          <w:lang w:val="en-GB" w:eastAsia="en-US"/>
        </w:rPr>
        <w:t xml:space="preserve"> k.č.br. 458/25 </w:t>
      </w:r>
      <w:proofErr w:type="spellStart"/>
      <w:r w:rsidRPr="00416D67">
        <w:rPr>
          <w:color w:val="000000"/>
          <w:lang w:val="en-GB" w:eastAsia="en-US"/>
        </w:rPr>
        <w:t>k.o.</w:t>
      </w:r>
      <w:proofErr w:type="spellEnd"/>
      <w:r w:rsidRPr="00416D67">
        <w:rPr>
          <w:color w:val="000000"/>
          <w:lang w:val="en-GB" w:eastAsia="en-US"/>
        </w:rPr>
        <w:t xml:space="preserve"> </w:t>
      </w:r>
      <w:proofErr w:type="spellStart"/>
      <w:r w:rsidRPr="00416D67">
        <w:rPr>
          <w:color w:val="000000"/>
          <w:lang w:val="en-GB" w:eastAsia="en-US"/>
        </w:rPr>
        <w:t>Loborika</w:t>
      </w:r>
      <w:proofErr w:type="spellEnd"/>
      <w:r w:rsidRPr="00416D67">
        <w:rPr>
          <w:color w:val="000000"/>
          <w:lang w:val="en-GB" w:eastAsia="en-US"/>
        </w:rPr>
        <w:t xml:space="preserve"> </w:t>
      </w:r>
      <w:proofErr w:type="spellStart"/>
      <w:r w:rsidRPr="00416D67">
        <w:rPr>
          <w:color w:val="000000"/>
          <w:lang w:val="en-GB" w:eastAsia="en-US"/>
        </w:rPr>
        <w:t>na</w:t>
      </w:r>
      <w:proofErr w:type="spellEnd"/>
      <w:r w:rsidRPr="00416D67">
        <w:rPr>
          <w:color w:val="000000"/>
          <w:lang w:val="en-GB" w:eastAsia="en-US"/>
        </w:rPr>
        <w:t xml:space="preserve"> </w:t>
      </w:r>
      <w:proofErr w:type="spellStart"/>
      <w:r w:rsidRPr="00416D67">
        <w:rPr>
          <w:color w:val="000000"/>
          <w:lang w:val="en-GB" w:eastAsia="en-US"/>
        </w:rPr>
        <w:t>području</w:t>
      </w:r>
      <w:proofErr w:type="spellEnd"/>
      <w:r w:rsidRPr="00416D67">
        <w:rPr>
          <w:color w:val="000000"/>
          <w:lang w:val="en-GB" w:eastAsia="en-US"/>
        </w:rPr>
        <w:t xml:space="preserve"> </w:t>
      </w:r>
      <w:proofErr w:type="spellStart"/>
      <w:r w:rsidRPr="00416D67">
        <w:rPr>
          <w:color w:val="000000"/>
          <w:lang w:val="en-GB" w:eastAsia="en-US"/>
        </w:rPr>
        <w:t>Radeki</w:t>
      </w:r>
      <w:proofErr w:type="spellEnd"/>
      <w:r w:rsidRPr="00416D67">
        <w:rPr>
          <w:color w:val="000000"/>
          <w:lang w:val="en-GB" w:eastAsia="en-US"/>
        </w:rPr>
        <w:t xml:space="preserve"> polje – </w:t>
      </w:r>
      <w:proofErr w:type="spellStart"/>
      <w:r w:rsidRPr="00416D67">
        <w:rPr>
          <w:color w:val="000000"/>
          <w:lang w:val="en-GB" w:eastAsia="en-US"/>
        </w:rPr>
        <w:t>Busuja</w:t>
      </w:r>
      <w:proofErr w:type="spellEnd"/>
      <w:r w:rsidRPr="00416D67">
        <w:rPr>
          <w:color w:val="000000"/>
          <w:lang w:val="en-GB" w:eastAsia="en-US"/>
        </w:rPr>
        <w:t xml:space="preserve"> </w:t>
      </w:r>
      <w:proofErr w:type="spellStart"/>
      <w:r w:rsidRPr="00416D67">
        <w:rPr>
          <w:color w:val="000000"/>
          <w:lang w:val="en-GB" w:eastAsia="en-US"/>
        </w:rPr>
        <w:t>uz</w:t>
      </w:r>
      <w:proofErr w:type="spellEnd"/>
      <w:r w:rsidRPr="00416D67">
        <w:rPr>
          <w:color w:val="000000"/>
          <w:lang w:val="en-GB" w:eastAsia="en-US"/>
        </w:rPr>
        <w:t xml:space="preserve"> </w:t>
      </w:r>
      <w:proofErr w:type="spellStart"/>
      <w:r w:rsidRPr="00416D67">
        <w:rPr>
          <w:color w:val="000000"/>
          <w:lang w:val="en-GB" w:eastAsia="en-US"/>
        </w:rPr>
        <w:t>nerazvrstanu</w:t>
      </w:r>
      <w:proofErr w:type="spellEnd"/>
      <w:r w:rsidRPr="00416D67">
        <w:rPr>
          <w:color w:val="000000"/>
          <w:lang w:val="en-GB" w:eastAsia="en-US"/>
        </w:rPr>
        <w:t xml:space="preserve"> </w:t>
      </w:r>
      <w:proofErr w:type="spellStart"/>
      <w:r w:rsidRPr="00416D67">
        <w:rPr>
          <w:color w:val="000000"/>
          <w:lang w:val="en-GB" w:eastAsia="en-US"/>
        </w:rPr>
        <w:t>cestu</w:t>
      </w:r>
      <w:proofErr w:type="spellEnd"/>
      <w:r w:rsidRPr="00416D67">
        <w:rPr>
          <w:color w:val="000000"/>
          <w:lang w:val="en-GB" w:eastAsia="en-US"/>
        </w:rPr>
        <w:t xml:space="preserve"> D 66 - </w:t>
      </w:r>
      <w:proofErr w:type="spellStart"/>
      <w:r w:rsidRPr="00416D67">
        <w:rPr>
          <w:color w:val="000000"/>
          <w:lang w:val="en-GB" w:eastAsia="en-US"/>
        </w:rPr>
        <w:t>Radeki</w:t>
      </w:r>
      <w:proofErr w:type="spellEnd"/>
      <w:r w:rsidRPr="00416D67">
        <w:rPr>
          <w:color w:val="000000"/>
          <w:lang w:val="en-GB" w:eastAsia="en-US"/>
        </w:rPr>
        <w:t xml:space="preserve"> polje </w:t>
      </w:r>
      <w:proofErr w:type="spellStart"/>
      <w:r w:rsidRPr="00416D67">
        <w:rPr>
          <w:color w:val="000000"/>
          <w:lang w:val="en-GB" w:eastAsia="en-US"/>
        </w:rPr>
        <w:t>površine</w:t>
      </w:r>
      <w:proofErr w:type="spellEnd"/>
      <w:r w:rsidRPr="00416D67">
        <w:rPr>
          <w:color w:val="000000"/>
          <w:lang w:val="en-GB" w:eastAsia="en-US"/>
        </w:rPr>
        <w:t xml:space="preserve"> </w:t>
      </w:r>
      <w:proofErr w:type="spellStart"/>
      <w:r w:rsidRPr="00416D67">
        <w:rPr>
          <w:color w:val="000000"/>
          <w:lang w:val="en-GB" w:eastAsia="en-US"/>
        </w:rPr>
        <w:t>oko</w:t>
      </w:r>
      <w:proofErr w:type="spellEnd"/>
      <w:r w:rsidRPr="00416D67">
        <w:rPr>
          <w:color w:val="000000"/>
          <w:lang w:val="en-GB" w:eastAsia="en-US"/>
        </w:rPr>
        <w:t xml:space="preserve"> 450 m2</w:t>
      </w:r>
      <w:r w:rsidRPr="00416D67">
        <w:rPr>
          <w:color w:val="000000"/>
        </w:rPr>
        <w:t>,</w:t>
      </w:r>
      <w:r w:rsidRPr="00416D67">
        <w:t xml:space="preserve"> </w:t>
      </w:r>
      <w:r w:rsidRPr="00416D67">
        <w:rPr>
          <w:color w:val="000000"/>
        </w:rPr>
        <w:t xml:space="preserve">za što su izdaci bili 4.312,50 EUR, dok </w:t>
      </w:r>
      <w:proofErr w:type="spellStart"/>
      <w:r w:rsidRPr="00416D67">
        <w:rPr>
          <w:color w:val="000000"/>
          <w:lang w:val="en-GB" w:eastAsia="en-US"/>
        </w:rPr>
        <w:t>sanacija</w:t>
      </w:r>
      <w:proofErr w:type="spellEnd"/>
      <w:r w:rsidRPr="00416D67">
        <w:rPr>
          <w:color w:val="000000"/>
          <w:lang w:val="en-GB" w:eastAsia="en-US"/>
        </w:rPr>
        <w:t xml:space="preserve"> </w:t>
      </w:r>
      <w:proofErr w:type="spellStart"/>
      <w:r w:rsidRPr="00416D67">
        <w:rPr>
          <w:color w:val="000000"/>
          <w:lang w:val="en-GB" w:eastAsia="en-US"/>
        </w:rPr>
        <w:t>i</w:t>
      </w:r>
      <w:proofErr w:type="spellEnd"/>
      <w:r w:rsidRPr="00416D67">
        <w:rPr>
          <w:color w:val="000000"/>
          <w:lang w:val="en-GB" w:eastAsia="en-US"/>
        </w:rPr>
        <w:t xml:space="preserve"> </w:t>
      </w:r>
      <w:proofErr w:type="spellStart"/>
      <w:r w:rsidRPr="00416D67">
        <w:rPr>
          <w:color w:val="000000"/>
          <w:lang w:val="en-GB" w:eastAsia="en-US"/>
        </w:rPr>
        <w:t>rekonstrukcija</w:t>
      </w:r>
      <w:proofErr w:type="spellEnd"/>
      <w:r w:rsidRPr="00416D67">
        <w:rPr>
          <w:color w:val="000000"/>
          <w:lang w:val="en-GB" w:eastAsia="en-US"/>
        </w:rPr>
        <w:t xml:space="preserve"> </w:t>
      </w:r>
      <w:proofErr w:type="spellStart"/>
      <w:r w:rsidRPr="00416D67">
        <w:rPr>
          <w:color w:val="000000"/>
          <w:lang w:val="en-GB" w:eastAsia="en-US"/>
        </w:rPr>
        <w:t>nerazvrstanih</w:t>
      </w:r>
      <w:proofErr w:type="spellEnd"/>
      <w:r w:rsidRPr="00416D67">
        <w:rPr>
          <w:color w:val="000000"/>
          <w:lang w:val="en-GB" w:eastAsia="en-US"/>
        </w:rPr>
        <w:t xml:space="preserve"> cesta u </w:t>
      </w:r>
      <w:proofErr w:type="spellStart"/>
      <w:r w:rsidRPr="00416D67">
        <w:rPr>
          <w:color w:val="000000"/>
          <w:lang w:val="en-GB" w:eastAsia="en-US"/>
        </w:rPr>
        <w:t>Krnici</w:t>
      </w:r>
      <w:proofErr w:type="spellEnd"/>
      <w:r w:rsidRPr="00416D67">
        <w:rPr>
          <w:color w:val="000000"/>
          <w:lang w:val="en-GB" w:eastAsia="en-US"/>
        </w:rPr>
        <w:t xml:space="preserve">, </w:t>
      </w:r>
      <w:proofErr w:type="spellStart"/>
      <w:r w:rsidRPr="00416D67">
        <w:rPr>
          <w:color w:val="000000"/>
          <w:lang w:val="en-GB" w:eastAsia="en-US"/>
        </w:rPr>
        <w:t>dio</w:t>
      </w:r>
      <w:proofErr w:type="spellEnd"/>
      <w:r w:rsidRPr="00416D67">
        <w:rPr>
          <w:color w:val="000000"/>
          <w:lang w:val="en-GB" w:eastAsia="en-US"/>
        </w:rPr>
        <w:t xml:space="preserve"> k.č.br. 2742/2, k.č.br. 1220/9 </w:t>
      </w:r>
      <w:proofErr w:type="spellStart"/>
      <w:r w:rsidRPr="00416D67">
        <w:rPr>
          <w:color w:val="000000"/>
          <w:lang w:val="en-GB" w:eastAsia="en-US"/>
        </w:rPr>
        <w:t>obje</w:t>
      </w:r>
      <w:proofErr w:type="spellEnd"/>
      <w:r w:rsidRPr="00416D67">
        <w:rPr>
          <w:color w:val="000000"/>
          <w:lang w:val="en-GB" w:eastAsia="en-US"/>
        </w:rPr>
        <w:t xml:space="preserve"> </w:t>
      </w:r>
      <w:proofErr w:type="spellStart"/>
      <w:r w:rsidRPr="00416D67">
        <w:rPr>
          <w:color w:val="000000"/>
          <w:lang w:val="en-GB" w:eastAsia="en-US"/>
        </w:rPr>
        <w:t>k.o.</w:t>
      </w:r>
      <w:proofErr w:type="spellEnd"/>
      <w:r w:rsidRPr="00416D67">
        <w:rPr>
          <w:color w:val="000000"/>
          <w:lang w:val="en-GB" w:eastAsia="en-US"/>
        </w:rPr>
        <w:t xml:space="preserve"> </w:t>
      </w:r>
      <w:proofErr w:type="spellStart"/>
      <w:r w:rsidRPr="00416D67">
        <w:rPr>
          <w:color w:val="000000"/>
          <w:lang w:val="en-GB" w:eastAsia="en-US"/>
        </w:rPr>
        <w:t>Krnica</w:t>
      </w:r>
      <w:proofErr w:type="spellEnd"/>
      <w:r w:rsidRPr="00416D67">
        <w:rPr>
          <w:color w:val="000000"/>
          <w:lang w:val="en-GB" w:eastAsia="en-US"/>
        </w:rPr>
        <w:t xml:space="preserve"> – </w:t>
      </w:r>
      <w:proofErr w:type="spellStart"/>
      <w:r w:rsidRPr="00416D67">
        <w:rPr>
          <w:color w:val="000000"/>
          <w:lang w:val="en-GB" w:eastAsia="en-US"/>
        </w:rPr>
        <w:t>dužine</w:t>
      </w:r>
      <w:proofErr w:type="spellEnd"/>
      <w:r w:rsidRPr="00416D67">
        <w:rPr>
          <w:color w:val="000000"/>
          <w:lang w:val="en-GB" w:eastAsia="en-US"/>
        </w:rPr>
        <w:t xml:space="preserve"> 87 m</w:t>
      </w:r>
      <w:r w:rsidRPr="00416D67">
        <w:rPr>
          <w:color w:val="000000"/>
        </w:rPr>
        <w:t xml:space="preserve"> nije realizirana.</w:t>
      </w:r>
    </w:p>
    <w:p w14:paraId="1164CF67" w14:textId="77777777" w:rsidR="00416D67" w:rsidRPr="00416D67" w:rsidRDefault="00416D67" w:rsidP="00416D67">
      <w:pPr>
        <w:spacing w:after="120"/>
        <w:jc w:val="both"/>
      </w:pPr>
      <w:r w:rsidRPr="00416D67">
        <w:t xml:space="preserve">       Prihodi od naknade za zadržavanje nezakonito izgrađenih zgrada ostvareni su u 2025. godini sa </w:t>
      </w:r>
      <w:r w:rsidRPr="00416D67">
        <w:rPr>
          <w:color w:val="000000"/>
        </w:rPr>
        <w:t>75,96 %</w:t>
      </w:r>
      <w:r w:rsidRPr="00416D67">
        <w:t xml:space="preserve"> planiranih prihoda. </w:t>
      </w:r>
      <w:r w:rsidRPr="00416D67">
        <w:rPr>
          <w:color w:val="000000"/>
        </w:rPr>
        <w:t>Planirano</w:t>
      </w:r>
      <w:r w:rsidRPr="00416D67">
        <w:rPr>
          <w:color w:val="FF0000"/>
        </w:rPr>
        <w:t xml:space="preserve"> </w:t>
      </w:r>
      <w:proofErr w:type="spellStart"/>
      <w:r w:rsidRPr="00416D67">
        <w:rPr>
          <w:color w:val="000000"/>
          <w:lang w:val="en-GB" w:eastAsia="en-US"/>
        </w:rPr>
        <w:t>uređenje</w:t>
      </w:r>
      <w:proofErr w:type="spellEnd"/>
      <w:r w:rsidRPr="00416D67">
        <w:rPr>
          <w:color w:val="000000"/>
          <w:lang w:val="en-GB" w:eastAsia="en-US"/>
        </w:rPr>
        <w:t xml:space="preserve"> </w:t>
      </w:r>
      <w:proofErr w:type="spellStart"/>
      <w:r w:rsidRPr="00416D67">
        <w:rPr>
          <w:color w:val="000000"/>
          <w:lang w:val="en-GB" w:eastAsia="en-US"/>
        </w:rPr>
        <w:t>parkirališta</w:t>
      </w:r>
      <w:proofErr w:type="spellEnd"/>
      <w:r w:rsidRPr="00416D67">
        <w:rPr>
          <w:color w:val="000000"/>
          <w:lang w:val="en-GB" w:eastAsia="en-US"/>
        </w:rPr>
        <w:t xml:space="preserve"> </w:t>
      </w:r>
      <w:proofErr w:type="spellStart"/>
      <w:r w:rsidRPr="00416D67">
        <w:rPr>
          <w:color w:val="000000"/>
          <w:lang w:val="en-GB" w:eastAsia="en-US"/>
        </w:rPr>
        <w:t>na</w:t>
      </w:r>
      <w:proofErr w:type="spellEnd"/>
      <w:r w:rsidRPr="00416D67">
        <w:rPr>
          <w:color w:val="000000"/>
          <w:lang w:val="en-GB" w:eastAsia="en-US"/>
        </w:rPr>
        <w:t xml:space="preserve"> k.č.br. 458/25 </w:t>
      </w:r>
      <w:proofErr w:type="spellStart"/>
      <w:r w:rsidRPr="00416D67">
        <w:rPr>
          <w:color w:val="000000"/>
          <w:lang w:val="en-GB" w:eastAsia="en-US"/>
        </w:rPr>
        <w:t>k.o.</w:t>
      </w:r>
      <w:proofErr w:type="spellEnd"/>
      <w:r w:rsidRPr="00416D67">
        <w:rPr>
          <w:color w:val="000000"/>
          <w:lang w:val="en-GB" w:eastAsia="en-US"/>
        </w:rPr>
        <w:t xml:space="preserve"> </w:t>
      </w:r>
      <w:proofErr w:type="spellStart"/>
      <w:r w:rsidRPr="00416D67">
        <w:rPr>
          <w:color w:val="000000"/>
          <w:lang w:val="en-GB" w:eastAsia="en-US"/>
        </w:rPr>
        <w:t>Loborika</w:t>
      </w:r>
      <w:proofErr w:type="spellEnd"/>
      <w:r w:rsidRPr="00416D67">
        <w:rPr>
          <w:color w:val="000000"/>
          <w:lang w:val="en-GB" w:eastAsia="en-US"/>
        </w:rPr>
        <w:t xml:space="preserve"> </w:t>
      </w:r>
      <w:proofErr w:type="spellStart"/>
      <w:r w:rsidRPr="00416D67">
        <w:rPr>
          <w:color w:val="000000"/>
          <w:lang w:val="en-GB" w:eastAsia="en-US"/>
        </w:rPr>
        <w:t>na</w:t>
      </w:r>
      <w:proofErr w:type="spellEnd"/>
      <w:r w:rsidRPr="00416D67">
        <w:rPr>
          <w:color w:val="000000"/>
          <w:lang w:val="en-GB" w:eastAsia="en-US"/>
        </w:rPr>
        <w:t xml:space="preserve"> </w:t>
      </w:r>
      <w:proofErr w:type="spellStart"/>
      <w:r w:rsidRPr="00416D67">
        <w:rPr>
          <w:color w:val="000000"/>
          <w:lang w:val="en-GB" w:eastAsia="en-US"/>
        </w:rPr>
        <w:t>području</w:t>
      </w:r>
      <w:proofErr w:type="spellEnd"/>
      <w:r w:rsidRPr="00416D67">
        <w:rPr>
          <w:color w:val="000000"/>
          <w:lang w:val="en-GB" w:eastAsia="en-US"/>
        </w:rPr>
        <w:t xml:space="preserve"> </w:t>
      </w:r>
      <w:proofErr w:type="spellStart"/>
      <w:r w:rsidRPr="00416D67">
        <w:rPr>
          <w:color w:val="000000"/>
          <w:lang w:val="en-GB" w:eastAsia="en-US"/>
        </w:rPr>
        <w:t>Radeki</w:t>
      </w:r>
      <w:proofErr w:type="spellEnd"/>
      <w:r w:rsidRPr="00416D67">
        <w:rPr>
          <w:color w:val="000000"/>
          <w:lang w:val="en-GB" w:eastAsia="en-US"/>
        </w:rPr>
        <w:t xml:space="preserve"> polje – </w:t>
      </w:r>
      <w:proofErr w:type="spellStart"/>
      <w:r w:rsidRPr="00416D67">
        <w:rPr>
          <w:color w:val="000000"/>
          <w:lang w:val="en-GB" w:eastAsia="en-US"/>
        </w:rPr>
        <w:t>Busuja</w:t>
      </w:r>
      <w:proofErr w:type="spellEnd"/>
      <w:r w:rsidRPr="00416D67">
        <w:rPr>
          <w:color w:val="000000"/>
          <w:lang w:val="en-GB" w:eastAsia="en-US"/>
        </w:rPr>
        <w:t xml:space="preserve"> </w:t>
      </w:r>
      <w:proofErr w:type="spellStart"/>
      <w:r w:rsidRPr="00416D67">
        <w:rPr>
          <w:color w:val="000000"/>
          <w:lang w:val="en-GB" w:eastAsia="en-US"/>
        </w:rPr>
        <w:t>uz</w:t>
      </w:r>
      <w:proofErr w:type="spellEnd"/>
      <w:r w:rsidRPr="00416D67">
        <w:rPr>
          <w:color w:val="000000"/>
          <w:lang w:val="en-GB" w:eastAsia="en-US"/>
        </w:rPr>
        <w:t xml:space="preserve"> </w:t>
      </w:r>
      <w:proofErr w:type="spellStart"/>
      <w:r w:rsidRPr="00416D67">
        <w:rPr>
          <w:color w:val="000000"/>
          <w:lang w:val="en-GB" w:eastAsia="en-US"/>
        </w:rPr>
        <w:t>nerazvrstanu</w:t>
      </w:r>
      <w:proofErr w:type="spellEnd"/>
      <w:r w:rsidRPr="00416D67">
        <w:rPr>
          <w:color w:val="000000"/>
          <w:lang w:val="en-GB" w:eastAsia="en-US"/>
        </w:rPr>
        <w:t xml:space="preserve"> </w:t>
      </w:r>
      <w:proofErr w:type="spellStart"/>
      <w:r w:rsidRPr="00416D67">
        <w:rPr>
          <w:color w:val="000000"/>
          <w:lang w:val="en-GB" w:eastAsia="en-US"/>
        </w:rPr>
        <w:t>cestu</w:t>
      </w:r>
      <w:proofErr w:type="spellEnd"/>
      <w:r w:rsidRPr="00416D67">
        <w:rPr>
          <w:color w:val="000000"/>
          <w:lang w:val="en-GB" w:eastAsia="en-US"/>
        </w:rPr>
        <w:t xml:space="preserve"> D 66 - </w:t>
      </w:r>
      <w:proofErr w:type="spellStart"/>
      <w:r w:rsidRPr="00416D67">
        <w:rPr>
          <w:color w:val="000000"/>
          <w:lang w:val="en-GB" w:eastAsia="en-US"/>
        </w:rPr>
        <w:t>Radeki</w:t>
      </w:r>
      <w:proofErr w:type="spellEnd"/>
      <w:r w:rsidRPr="00416D67">
        <w:rPr>
          <w:color w:val="000000"/>
          <w:lang w:val="en-GB" w:eastAsia="en-US"/>
        </w:rPr>
        <w:t xml:space="preserve"> polje </w:t>
      </w:r>
      <w:proofErr w:type="spellStart"/>
      <w:r w:rsidRPr="00416D67">
        <w:rPr>
          <w:color w:val="000000"/>
          <w:lang w:val="en-GB" w:eastAsia="en-US"/>
        </w:rPr>
        <w:t>površine</w:t>
      </w:r>
      <w:proofErr w:type="spellEnd"/>
      <w:r w:rsidRPr="00416D67">
        <w:rPr>
          <w:color w:val="000000"/>
          <w:lang w:val="en-GB" w:eastAsia="en-US"/>
        </w:rPr>
        <w:t xml:space="preserve"> </w:t>
      </w:r>
      <w:proofErr w:type="spellStart"/>
      <w:r w:rsidRPr="00416D67">
        <w:rPr>
          <w:color w:val="000000"/>
          <w:lang w:val="en-GB" w:eastAsia="en-US"/>
        </w:rPr>
        <w:t>oko</w:t>
      </w:r>
      <w:proofErr w:type="spellEnd"/>
      <w:r w:rsidRPr="00416D67">
        <w:rPr>
          <w:color w:val="000000"/>
          <w:lang w:val="en-GB" w:eastAsia="en-US"/>
        </w:rPr>
        <w:t xml:space="preserve"> 450 m2</w:t>
      </w:r>
      <w:r w:rsidRPr="00416D67">
        <w:rPr>
          <w:color w:val="000000"/>
        </w:rPr>
        <w:t>,</w:t>
      </w:r>
      <w:r w:rsidRPr="00416D67">
        <w:rPr>
          <w:color w:val="FF0000"/>
        </w:rPr>
        <w:t xml:space="preserve"> </w:t>
      </w:r>
      <w:r w:rsidRPr="00416D67">
        <w:rPr>
          <w:color w:val="000000"/>
        </w:rPr>
        <w:t>realizirano je u cijelosti, a višak ostvarenih prihoda</w:t>
      </w:r>
      <w:r w:rsidRPr="00416D67">
        <w:rPr>
          <w:color w:val="FF0000"/>
        </w:rPr>
        <w:t xml:space="preserve"> </w:t>
      </w:r>
      <w:r w:rsidRPr="00416D67">
        <w:rPr>
          <w:color w:val="000000"/>
        </w:rPr>
        <w:t>od naknade za zadržavanje</w:t>
      </w:r>
      <w:r w:rsidRPr="00416D67">
        <w:rPr>
          <w:bCs/>
          <w:color w:val="000000"/>
        </w:rPr>
        <w:t xml:space="preserve"> nezakonito izgrađenih zgrada</w:t>
      </w:r>
      <w:r w:rsidRPr="00416D67">
        <w:rPr>
          <w:color w:val="000000"/>
        </w:rPr>
        <w:t xml:space="preserve"> u iznosu od 1.384,16 EUR, planira se utrošiti u 2026. godini.</w:t>
      </w:r>
    </w:p>
    <w:p w14:paraId="63754C14" w14:textId="77777777" w:rsidR="00416D67" w:rsidRPr="00416D67" w:rsidRDefault="00416D67" w:rsidP="00416D67">
      <w:pPr>
        <w:overflowPunct w:val="0"/>
        <w:autoSpaceDE w:val="0"/>
        <w:autoSpaceDN w:val="0"/>
        <w:adjustRightInd w:val="0"/>
        <w:rPr>
          <w:lang w:val="en-GB"/>
        </w:rPr>
      </w:pPr>
      <w:r w:rsidRPr="00416D67">
        <w:rPr>
          <w:lang w:val="en-GB"/>
        </w:rPr>
        <w:t xml:space="preserve"> </w:t>
      </w:r>
    </w:p>
    <w:p w14:paraId="25F474CF" w14:textId="77777777" w:rsidR="00416D67" w:rsidRPr="00416D67" w:rsidRDefault="00416D67" w:rsidP="00416D67">
      <w:pPr>
        <w:overflowPunct w:val="0"/>
        <w:autoSpaceDE w:val="0"/>
        <w:autoSpaceDN w:val="0"/>
        <w:adjustRightInd w:val="0"/>
        <w:rPr>
          <w:lang w:val="en-GB"/>
        </w:rPr>
      </w:pPr>
    </w:p>
    <w:p w14:paraId="2E31DF00" w14:textId="77777777" w:rsidR="00416D67" w:rsidRPr="00416D67" w:rsidRDefault="00416D67" w:rsidP="00416D67">
      <w:pPr>
        <w:ind w:firstLine="708"/>
        <w:jc w:val="both"/>
        <w:rPr>
          <w:b/>
        </w:rPr>
      </w:pPr>
      <w:r w:rsidRPr="00416D67">
        <w:rPr>
          <w:b/>
        </w:rPr>
        <w:t>Program građenja komunalne infrastrukture</w:t>
      </w:r>
    </w:p>
    <w:p w14:paraId="4A44C683" w14:textId="77777777" w:rsidR="00416D67" w:rsidRPr="00416D67" w:rsidRDefault="00416D67" w:rsidP="00416D67">
      <w:pPr>
        <w:ind w:firstLine="720"/>
        <w:jc w:val="both"/>
      </w:pPr>
      <w:r w:rsidRPr="00416D67">
        <w:t>Program građenja komunalne infrastrukture  je u 2024. godini ostvaren u financijskom opsegu od 1.189.568,78  EUR (ostvarenje 2024.godina 1.503.012,09 EUR) .</w:t>
      </w:r>
    </w:p>
    <w:p w14:paraId="4B805C51" w14:textId="77777777" w:rsidR="00416D67" w:rsidRPr="00416D67" w:rsidRDefault="00416D67" w:rsidP="00416D67">
      <w:pPr>
        <w:ind w:firstLine="720"/>
        <w:jc w:val="both"/>
      </w:pPr>
      <w:r w:rsidRPr="00416D67">
        <w:t xml:space="preserve">Financijska sredstva za izgradnju komunalne  infrastrukture  planirala su se ostvariti u  i utrošiti ukupnoj visini od </w:t>
      </w:r>
      <w:r w:rsidRPr="00416D67">
        <w:rPr>
          <w:b/>
          <w:bCs/>
        </w:rPr>
        <w:t xml:space="preserve">1.434.870,00 </w:t>
      </w:r>
      <w:r w:rsidRPr="00416D67">
        <w:rPr>
          <w:rFonts w:eastAsia="Calibri"/>
          <w:b/>
          <w:lang w:eastAsia="en-US"/>
        </w:rPr>
        <w:t>EUR</w:t>
      </w:r>
      <w:r w:rsidRPr="00416D67">
        <w:rPr>
          <w:b/>
        </w:rPr>
        <w:t xml:space="preserve">, </w:t>
      </w:r>
      <w:r w:rsidRPr="00416D67">
        <w:t xml:space="preserve">a ostvarila su se u iznosu </w:t>
      </w:r>
      <w:r w:rsidRPr="00416D67">
        <w:rPr>
          <w:b/>
          <w:bCs/>
        </w:rPr>
        <w:t>1.189.568,78</w:t>
      </w:r>
      <w:r w:rsidRPr="00416D67">
        <w:rPr>
          <w:b/>
          <w:bCs/>
          <w:color w:val="FF0000"/>
        </w:rPr>
        <w:t xml:space="preserve"> </w:t>
      </w:r>
      <w:r w:rsidRPr="00416D67">
        <w:rPr>
          <w:b/>
        </w:rPr>
        <w:t>EUR</w:t>
      </w:r>
      <w:r w:rsidRPr="00416D67">
        <w:t xml:space="preserve">, od čega se na komunalni doprinos odnosi </w:t>
      </w:r>
      <w:r w:rsidRPr="00416D67">
        <w:rPr>
          <w:b/>
        </w:rPr>
        <w:t>850.000,00 EUR</w:t>
      </w:r>
      <w:r w:rsidRPr="00416D67">
        <w:t>.</w:t>
      </w:r>
    </w:p>
    <w:p w14:paraId="16626945" w14:textId="77777777" w:rsidR="00416D67" w:rsidRPr="00416D67" w:rsidRDefault="00416D67" w:rsidP="00416D67">
      <w:pPr>
        <w:ind w:firstLine="720"/>
        <w:jc w:val="both"/>
      </w:pPr>
      <w:r w:rsidRPr="00416D67">
        <w:lastRenderedPageBreak/>
        <w:t>Prihodi za financiranje Programa građenja su u odnosu na planirano u 2025. godini ostvareni u slijedećoj vrijednosti:</w:t>
      </w:r>
    </w:p>
    <w:p w14:paraId="586D2760" w14:textId="77777777" w:rsidR="00416D67" w:rsidRPr="00416D67" w:rsidRDefault="00416D67" w:rsidP="00416D67">
      <w:pPr>
        <w:ind w:firstLine="720"/>
        <w:jc w:val="both"/>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632"/>
        <w:gridCol w:w="2407"/>
        <w:gridCol w:w="2406"/>
      </w:tblGrid>
      <w:tr w:rsidR="00416D67" w:rsidRPr="00416D67" w14:paraId="314A8FE3" w14:textId="77777777" w:rsidTr="00BB1392">
        <w:trPr>
          <w:trHeight w:val="611"/>
        </w:trPr>
        <w:tc>
          <w:tcPr>
            <w:tcW w:w="617" w:type="dxa"/>
            <w:tcBorders>
              <w:top w:val="single" w:sz="4" w:space="0" w:color="auto"/>
              <w:left w:val="single" w:sz="4" w:space="0" w:color="auto"/>
              <w:bottom w:val="single" w:sz="4" w:space="0" w:color="auto"/>
              <w:right w:val="single" w:sz="4" w:space="0" w:color="auto"/>
            </w:tcBorders>
            <w:hideMark/>
          </w:tcPr>
          <w:p w14:paraId="6E8C6743" w14:textId="77777777" w:rsidR="00416D67" w:rsidRPr="00416D67" w:rsidRDefault="00416D67" w:rsidP="00416D67">
            <w:proofErr w:type="spellStart"/>
            <w:r w:rsidRPr="00416D67">
              <w:t>R.b</w:t>
            </w:r>
            <w:proofErr w:type="spellEnd"/>
            <w:r w:rsidRPr="00416D67">
              <w:t>.</w:t>
            </w:r>
          </w:p>
        </w:tc>
        <w:tc>
          <w:tcPr>
            <w:tcW w:w="3636" w:type="dxa"/>
            <w:tcBorders>
              <w:top w:val="single" w:sz="4" w:space="0" w:color="auto"/>
              <w:left w:val="single" w:sz="4" w:space="0" w:color="auto"/>
              <w:bottom w:val="single" w:sz="4" w:space="0" w:color="auto"/>
              <w:right w:val="single" w:sz="4" w:space="0" w:color="auto"/>
            </w:tcBorders>
            <w:hideMark/>
          </w:tcPr>
          <w:p w14:paraId="1B6269EE" w14:textId="77777777" w:rsidR="00416D67" w:rsidRPr="00416D67" w:rsidRDefault="00416D67" w:rsidP="00416D67">
            <w:r w:rsidRPr="00416D67">
              <w:t>Vrsta izvora financiranja</w:t>
            </w:r>
          </w:p>
        </w:tc>
        <w:tc>
          <w:tcPr>
            <w:tcW w:w="2409" w:type="dxa"/>
            <w:tcBorders>
              <w:top w:val="single" w:sz="4" w:space="0" w:color="auto"/>
              <w:left w:val="single" w:sz="4" w:space="0" w:color="auto"/>
              <w:bottom w:val="single" w:sz="4" w:space="0" w:color="auto"/>
              <w:right w:val="single" w:sz="4" w:space="0" w:color="auto"/>
            </w:tcBorders>
            <w:hideMark/>
          </w:tcPr>
          <w:p w14:paraId="29869B37" w14:textId="77777777" w:rsidR="00416D67" w:rsidRPr="00416D67" w:rsidRDefault="00416D67" w:rsidP="00416D67">
            <w:pPr>
              <w:rPr>
                <w:rFonts w:eastAsia="Calibri"/>
                <w:noProof/>
                <w:lang w:eastAsia="en-US"/>
              </w:rPr>
            </w:pPr>
            <w:r w:rsidRPr="00416D67">
              <w:rPr>
                <w:rFonts w:eastAsia="Calibri"/>
                <w:lang w:eastAsia="en-US"/>
              </w:rPr>
              <w:t>Planirano  2025.</w:t>
            </w:r>
          </w:p>
        </w:tc>
        <w:tc>
          <w:tcPr>
            <w:tcW w:w="2408" w:type="dxa"/>
            <w:tcBorders>
              <w:top w:val="single" w:sz="4" w:space="0" w:color="auto"/>
              <w:left w:val="single" w:sz="4" w:space="0" w:color="auto"/>
              <w:bottom w:val="single" w:sz="4" w:space="0" w:color="auto"/>
              <w:right w:val="single" w:sz="4" w:space="0" w:color="auto"/>
            </w:tcBorders>
            <w:hideMark/>
          </w:tcPr>
          <w:p w14:paraId="2BFD58F6" w14:textId="77777777" w:rsidR="00416D67" w:rsidRPr="00416D67" w:rsidRDefault="00416D67" w:rsidP="00416D67">
            <w:pPr>
              <w:rPr>
                <w:rFonts w:eastAsia="Calibri"/>
                <w:noProof/>
                <w:lang w:eastAsia="en-US"/>
              </w:rPr>
            </w:pPr>
            <w:r w:rsidRPr="00416D67">
              <w:rPr>
                <w:rFonts w:eastAsia="Calibri"/>
                <w:lang w:eastAsia="en-US"/>
              </w:rPr>
              <w:t xml:space="preserve">Izvršenje 2025. </w:t>
            </w:r>
          </w:p>
        </w:tc>
      </w:tr>
      <w:tr w:rsidR="00416D67" w:rsidRPr="00416D67" w14:paraId="2C37D62E" w14:textId="77777777" w:rsidTr="00BB1392">
        <w:tc>
          <w:tcPr>
            <w:tcW w:w="617" w:type="dxa"/>
            <w:tcBorders>
              <w:top w:val="single" w:sz="4" w:space="0" w:color="auto"/>
              <w:left w:val="single" w:sz="4" w:space="0" w:color="auto"/>
              <w:bottom w:val="single" w:sz="4" w:space="0" w:color="auto"/>
              <w:right w:val="single" w:sz="4" w:space="0" w:color="auto"/>
            </w:tcBorders>
            <w:hideMark/>
          </w:tcPr>
          <w:p w14:paraId="147ECBFD" w14:textId="77777777" w:rsidR="00416D67" w:rsidRPr="00416D67" w:rsidRDefault="00416D67" w:rsidP="00416D67">
            <w:r w:rsidRPr="00416D67">
              <w:t>1.</w:t>
            </w:r>
          </w:p>
        </w:tc>
        <w:tc>
          <w:tcPr>
            <w:tcW w:w="3636" w:type="dxa"/>
            <w:tcBorders>
              <w:top w:val="single" w:sz="4" w:space="0" w:color="auto"/>
              <w:left w:val="single" w:sz="4" w:space="0" w:color="auto"/>
              <w:bottom w:val="single" w:sz="4" w:space="0" w:color="auto"/>
              <w:right w:val="single" w:sz="4" w:space="0" w:color="auto"/>
            </w:tcBorders>
            <w:hideMark/>
          </w:tcPr>
          <w:p w14:paraId="5F645830" w14:textId="77777777" w:rsidR="00416D67" w:rsidRPr="00416D67" w:rsidRDefault="00416D67" w:rsidP="00416D67">
            <w:r w:rsidRPr="00416D67">
              <w:t>Komunalni doprinos</w:t>
            </w:r>
          </w:p>
        </w:tc>
        <w:tc>
          <w:tcPr>
            <w:tcW w:w="2409" w:type="dxa"/>
            <w:tcBorders>
              <w:top w:val="single" w:sz="4" w:space="0" w:color="auto"/>
              <w:left w:val="single" w:sz="4" w:space="0" w:color="auto"/>
              <w:bottom w:val="single" w:sz="4" w:space="0" w:color="auto"/>
              <w:right w:val="single" w:sz="4" w:space="0" w:color="auto"/>
            </w:tcBorders>
            <w:hideMark/>
          </w:tcPr>
          <w:p w14:paraId="27981AE1" w14:textId="77777777" w:rsidR="00416D67" w:rsidRPr="00416D67" w:rsidRDefault="00416D67" w:rsidP="00416D67">
            <w:pPr>
              <w:jc w:val="right"/>
            </w:pPr>
            <w:r w:rsidRPr="00416D67">
              <w:t>850.000,00</w:t>
            </w:r>
          </w:p>
        </w:tc>
        <w:tc>
          <w:tcPr>
            <w:tcW w:w="2408" w:type="dxa"/>
            <w:tcBorders>
              <w:top w:val="single" w:sz="4" w:space="0" w:color="auto"/>
              <w:left w:val="single" w:sz="4" w:space="0" w:color="auto"/>
              <w:bottom w:val="single" w:sz="4" w:space="0" w:color="auto"/>
              <w:right w:val="single" w:sz="4" w:space="0" w:color="auto"/>
            </w:tcBorders>
            <w:hideMark/>
          </w:tcPr>
          <w:p w14:paraId="114C03BB" w14:textId="77777777" w:rsidR="00416D67" w:rsidRPr="00416D67" w:rsidRDefault="00416D67" w:rsidP="00416D67">
            <w:pPr>
              <w:jc w:val="right"/>
              <w:rPr>
                <w:color w:val="000000"/>
              </w:rPr>
            </w:pPr>
            <w:r w:rsidRPr="00416D67">
              <w:rPr>
                <w:color w:val="000000"/>
              </w:rPr>
              <w:t>892.583,16</w:t>
            </w:r>
          </w:p>
        </w:tc>
      </w:tr>
      <w:tr w:rsidR="00416D67" w:rsidRPr="00416D67" w14:paraId="3DC4D5BC" w14:textId="77777777" w:rsidTr="00BB1392">
        <w:tc>
          <w:tcPr>
            <w:tcW w:w="617" w:type="dxa"/>
            <w:tcBorders>
              <w:top w:val="single" w:sz="4" w:space="0" w:color="auto"/>
              <w:left w:val="single" w:sz="4" w:space="0" w:color="auto"/>
              <w:bottom w:val="single" w:sz="4" w:space="0" w:color="auto"/>
              <w:right w:val="single" w:sz="4" w:space="0" w:color="auto"/>
            </w:tcBorders>
            <w:hideMark/>
          </w:tcPr>
          <w:p w14:paraId="752073DB" w14:textId="77777777" w:rsidR="00416D67" w:rsidRPr="00416D67" w:rsidRDefault="00416D67" w:rsidP="00416D67">
            <w:r w:rsidRPr="00416D67">
              <w:t>3.</w:t>
            </w:r>
          </w:p>
        </w:tc>
        <w:tc>
          <w:tcPr>
            <w:tcW w:w="3636" w:type="dxa"/>
            <w:tcBorders>
              <w:top w:val="single" w:sz="4" w:space="0" w:color="auto"/>
              <w:left w:val="single" w:sz="4" w:space="0" w:color="auto"/>
              <w:bottom w:val="single" w:sz="4" w:space="0" w:color="auto"/>
              <w:right w:val="single" w:sz="4" w:space="0" w:color="auto"/>
            </w:tcBorders>
            <w:hideMark/>
          </w:tcPr>
          <w:p w14:paraId="79098DE5" w14:textId="77777777" w:rsidR="00416D67" w:rsidRPr="00416D67" w:rsidRDefault="00416D67" w:rsidP="00416D67">
            <w:r w:rsidRPr="00416D67">
              <w:t>Naknada za dodjelu grobnih mjesta</w:t>
            </w:r>
          </w:p>
        </w:tc>
        <w:tc>
          <w:tcPr>
            <w:tcW w:w="2409" w:type="dxa"/>
            <w:tcBorders>
              <w:top w:val="single" w:sz="4" w:space="0" w:color="auto"/>
              <w:left w:val="single" w:sz="4" w:space="0" w:color="auto"/>
              <w:bottom w:val="single" w:sz="4" w:space="0" w:color="auto"/>
              <w:right w:val="single" w:sz="4" w:space="0" w:color="auto"/>
            </w:tcBorders>
            <w:hideMark/>
          </w:tcPr>
          <w:p w14:paraId="7E957569" w14:textId="77777777" w:rsidR="00416D67" w:rsidRPr="00416D67" w:rsidRDefault="00416D67" w:rsidP="00416D67">
            <w:pPr>
              <w:jc w:val="right"/>
            </w:pPr>
            <w:r w:rsidRPr="00416D67">
              <w:t>10.000,00</w:t>
            </w:r>
          </w:p>
        </w:tc>
        <w:tc>
          <w:tcPr>
            <w:tcW w:w="2408" w:type="dxa"/>
            <w:tcBorders>
              <w:top w:val="single" w:sz="4" w:space="0" w:color="auto"/>
              <w:left w:val="single" w:sz="4" w:space="0" w:color="auto"/>
              <w:bottom w:val="single" w:sz="4" w:space="0" w:color="auto"/>
              <w:right w:val="single" w:sz="4" w:space="0" w:color="auto"/>
            </w:tcBorders>
            <w:hideMark/>
          </w:tcPr>
          <w:p w14:paraId="46C63AA6" w14:textId="77777777" w:rsidR="00416D67" w:rsidRPr="00416D67" w:rsidRDefault="00416D67" w:rsidP="00416D67">
            <w:pPr>
              <w:jc w:val="right"/>
              <w:rPr>
                <w:color w:val="000000"/>
              </w:rPr>
            </w:pPr>
            <w:r w:rsidRPr="00416D67">
              <w:rPr>
                <w:color w:val="000000"/>
              </w:rPr>
              <w:t>8.727,06</w:t>
            </w:r>
          </w:p>
        </w:tc>
      </w:tr>
      <w:tr w:rsidR="00416D67" w:rsidRPr="00416D67" w14:paraId="6BBF935B" w14:textId="77777777" w:rsidTr="00BB1392">
        <w:tc>
          <w:tcPr>
            <w:tcW w:w="617" w:type="dxa"/>
            <w:tcBorders>
              <w:top w:val="single" w:sz="4" w:space="0" w:color="auto"/>
              <w:left w:val="single" w:sz="4" w:space="0" w:color="auto"/>
              <w:bottom w:val="single" w:sz="4" w:space="0" w:color="auto"/>
              <w:right w:val="single" w:sz="4" w:space="0" w:color="auto"/>
            </w:tcBorders>
            <w:hideMark/>
          </w:tcPr>
          <w:p w14:paraId="4348688F" w14:textId="77777777" w:rsidR="00416D67" w:rsidRPr="00416D67" w:rsidRDefault="00416D67" w:rsidP="00416D67">
            <w:r w:rsidRPr="00416D67">
              <w:t>4.</w:t>
            </w:r>
          </w:p>
        </w:tc>
        <w:tc>
          <w:tcPr>
            <w:tcW w:w="3636" w:type="dxa"/>
            <w:tcBorders>
              <w:top w:val="single" w:sz="4" w:space="0" w:color="auto"/>
              <w:left w:val="single" w:sz="4" w:space="0" w:color="auto"/>
              <w:bottom w:val="single" w:sz="4" w:space="0" w:color="auto"/>
              <w:right w:val="single" w:sz="4" w:space="0" w:color="auto"/>
            </w:tcBorders>
            <w:hideMark/>
          </w:tcPr>
          <w:p w14:paraId="4BE018EE" w14:textId="77777777" w:rsidR="00416D67" w:rsidRPr="00416D67" w:rsidRDefault="00416D67" w:rsidP="00416D67">
            <w:r w:rsidRPr="00416D67">
              <w:t>Naknada za eksploataciju mineralnih sirovina</w:t>
            </w:r>
          </w:p>
        </w:tc>
        <w:tc>
          <w:tcPr>
            <w:tcW w:w="2409" w:type="dxa"/>
            <w:tcBorders>
              <w:top w:val="single" w:sz="4" w:space="0" w:color="auto"/>
              <w:left w:val="single" w:sz="4" w:space="0" w:color="auto"/>
              <w:bottom w:val="single" w:sz="4" w:space="0" w:color="auto"/>
              <w:right w:val="single" w:sz="4" w:space="0" w:color="auto"/>
            </w:tcBorders>
            <w:hideMark/>
          </w:tcPr>
          <w:p w14:paraId="6F293A46" w14:textId="77777777" w:rsidR="00416D67" w:rsidRPr="00416D67" w:rsidRDefault="00416D67" w:rsidP="00416D67">
            <w:pPr>
              <w:jc w:val="right"/>
            </w:pPr>
            <w:r w:rsidRPr="00416D67">
              <w:t>56.500,00</w:t>
            </w:r>
          </w:p>
        </w:tc>
        <w:tc>
          <w:tcPr>
            <w:tcW w:w="2408" w:type="dxa"/>
            <w:tcBorders>
              <w:top w:val="single" w:sz="4" w:space="0" w:color="auto"/>
              <w:left w:val="single" w:sz="4" w:space="0" w:color="auto"/>
              <w:bottom w:val="single" w:sz="4" w:space="0" w:color="auto"/>
              <w:right w:val="single" w:sz="4" w:space="0" w:color="auto"/>
            </w:tcBorders>
            <w:hideMark/>
          </w:tcPr>
          <w:p w14:paraId="1BAD8B24" w14:textId="77777777" w:rsidR="00416D67" w:rsidRPr="00416D67" w:rsidRDefault="00416D67" w:rsidP="00416D67">
            <w:pPr>
              <w:jc w:val="right"/>
              <w:rPr>
                <w:color w:val="000000"/>
              </w:rPr>
            </w:pPr>
            <w:r w:rsidRPr="00416D67">
              <w:rPr>
                <w:color w:val="000000"/>
              </w:rPr>
              <w:t>56.347,37</w:t>
            </w:r>
          </w:p>
        </w:tc>
      </w:tr>
      <w:tr w:rsidR="00416D67" w:rsidRPr="00416D67" w14:paraId="11C58930" w14:textId="77777777" w:rsidTr="00BB1392">
        <w:tc>
          <w:tcPr>
            <w:tcW w:w="617" w:type="dxa"/>
            <w:tcBorders>
              <w:top w:val="single" w:sz="4" w:space="0" w:color="auto"/>
              <w:left w:val="single" w:sz="4" w:space="0" w:color="auto"/>
              <w:bottom w:val="single" w:sz="4" w:space="0" w:color="auto"/>
              <w:right w:val="single" w:sz="4" w:space="0" w:color="auto"/>
            </w:tcBorders>
            <w:hideMark/>
          </w:tcPr>
          <w:p w14:paraId="2F84FB80" w14:textId="77777777" w:rsidR="00416D67" w:rsidRPr="00416D67" w:rsidRDefault="00416D67" w:rsidP="00416D67">
            <w:r w:rsidRPr="00416D67">
              <w:t>5.</w:t>
            </w:r>
          </w:p>
        </w:tc>
        <w:tc>
          <w:tcPr>
            <w:tcW w:w="3636" w:type="dxa"/>
            <w:tcBorders>
              <w:top w:val="single" w:sz="4" w:space="0" w:color="auto"/>
              <w:left w:val="single" w:sz="4" w:space="0" w:color="auto"/>
              <w:bottom w:val="single" w:sz="4" w:space="0" w:color="auto"/>
              <w:right w:val="single" w:sz="4" w:space="0" w:color="auto"/>
            </w:tcBorders>
            <w:hideMark/>
          </w:tcPr>
          <w:p w14:paraId="1BB137A4" w14:textId="77777777" w:rsidR="00416D67" w:rsidRPr="00416D67" w:rsidRDefault="00416D67" w:rsidP="00416D67">
            <w:r w:rsidRPr="00416D67">
              <w:t>Vodni doprinos</w:t>
            </w:r>
          </w:p>
        </w:tc>
        <w:tc>
          <w:tcPr>
            <w:tcW w:w="2409" w:type="dxa"/>
            <w:tcBorders>
              <w:top w:val="single" w:sz="4" w:space="0" w:color="auto"/>
              <w:left w:val="single" w:sz="4" w:space="0" w:color="auto"/>
              <w:bottom w:val="single" w:sz="4" w:space="0" w:color="auto"/>
              <w:right w:val="single" w:sz="4" w:space="0" w:color="auto"/>
            </w:tcBorders>
            <w:hideMark/>
          </w:tcPr>
          <w:p w14:paraId="78B055C2" w14:textId="77777777" w:rsidR="00416D67" w:rsidRPr="00416D67" w:rsidRDefault="00416D67" w:rsidP="00416D67">
            <w:pPr>
              <w:jc w:val="right"/>
            </w:pPr>
            <w:r w:rsidRPr="00416D67">
              <w:t>1.000,00</w:t>
            </w:r>
          </w:p>
        </w:tc>
        <w:tc>
          <w:tcPr>
            <w:tcW w:w="2408" w:type="dxa"/>
            <w:tcBorders>
              <w:top w:val="single" w:sz="4" w:space="0" w:color="auto"/>
              <w:left w:val="single" w:sz="4" w:space="0" w:color="auto"/>
              <w:bottom w:val="single" w:sz="4" w:space="0" w:color="auto"/>
              <w:right w:val="single" w:sz="4" w:space="0" w:color="auto"/>
            </w:tcBorders>
            <w:hideMark/>
          </w:tcPr>
          <w:p w14:paraId="1FD6E2BF" w14:textId="77777777" w:rsidR="00416D67" w:rsidRPr="00416D67" w:rsidRDefault="00416D67" w:rsidP="00416D67">
            <w:pPr>
              <w:jc w:val="right"/>
              <w:rPr>
                <w:color w:val="000000"/>
              </w:rPr>
            </w:pPr>
            <w:r w:rsidRPr="00416D67">
              <w:rPr>
                <w:color w:val="000000"/>
              </w:rPr>
              <w:t>377,27</w:t>
            </w:r>
          </w:p>
        </w:tc>
      </w:tr>
      <w:tr w:rsidR="00416D67" w:rsidRPr="00416D67" w14:paraId="4F48D43C" w14:textId="77777777" w:rsidTr="00BB1392">
        <w:tc>
          <w:tcPr>
            <w:tcW w:w="617" w:type="dxa"/>
            <w:tcBorders>
              <w:top w:val="single" w:sz="4" w:space="0" w:color="auto"/>
              <w:left w:val="single" w:sz="4" w:space="0" w:color="auto"/>
              <w:bottom w:val="single" w:sz="4" w:space="0" w:color="auto"/>
              <w:right w:val="single" w:sz="4" w:space="0" w:color="auto"/>
            </w:tcBorders>
            <w:hideMark/>
          </w:tcPr>
          <w:p w14:paraId="622CBB12" w14:textId="77777777" w:rsidR="00416D67" w:rsidRPr="00416D67" w:rsidRDefault="00416D67" w:rsidP="00416D67">
            <w:r w:rsidRPr="00416D67">
              <w:t>6.</w:t>
            </w:r>
          </w:p>
        </w:tc>
        <w:tc>
          <w:tcPr>
            <w:tcW w:w="3636" w:type="dxa"/>
            <w:tcBorders>
              <w:top w:val="single" w:sz="4" w:space="0" w:color="auto"/>
              <w:left w:val="single" w:sz="4" w:space="0" w:color="auto"/>
              <w:bottom w:val="single" w:sz="4" w:space="0" w:color="auto"/>
              <w:right w:val="single" w:sz="4" w:space="0" w:color="auto"/>
            </w:tcBorders>
            <w:hideMark/>
          </w:tcPr>
          <w:p w14:paraId="69118A10" w14:textId="77777777" w:rsidR="00416D67" w:rsidRPr="00416D67" w:rsidRDefault="00416D67" w:rsidP="00416D67">
            <w:r w:rsidRPr="00416D67">
              <w:t>Prihodi od prodaje nekretnina</w:t>
            </w:r>
          </w:p>
        </w:tc>
        <w:tc>
          <w:tcPr>
            <w:tcW w:w="2409" w:type="dxa"/>
            <w:tcBorders>
              <w:top w:val="single" w:sz="4" w:space="0" w:color="auto"/>
              <w:left w:val="single" w:sz="4" w:space="0" w:color="auto"/>
              <w:bottom w:val="single" w:sz="4" w:space="0" w:color="auto"/>
              <w:right w:val="single" w:sz="4" w:space="0" w:color="auto"/>
            </w:tcBorders>
            <w:hideMark/>
          </w:tcPr>
          <w:p w14:paraId="60EA7090" w14:textId="77777777" w:rsidR="00416D67" w:rsidRPr="00416D67" w:rsidRDefault="00416D67" w:rsidP="00416D67">
            <w:pPr>
              <w:jc w:val="right"/>
            </w:pPr>
            <w:r w:rsidRPr="00416D67">
              <w:t>425.870,00</w:t>
            </w:r>
          </w:p>
        </w:tc>
        <w:tc>
          <w:tcPr>
            <w:tcW w:w="2408" w:type="dxa"/>
            <w:tcBorders>
              <w:top w:val="single" w:sz="4" w:space="0" w:color="auto"/>
              <w:left w:val="single" w:sz="4" w:space="0" w:color="auto"/>
              <w:bottom w:val="single" w:sz="4" w:space="0" w:color="auto"/>
              <w:right w:val="single" w:sz="4" w:space="0" w:color="auto"/>
            </w:tcBorders>
            <w:hideMark/>
          </w:tcPr>
          <w:p w14:paraId="1CED1B9B" w14:textId="77777777" w:rsidR="00416D67" w:rsidRPr="00416D67" w:rsidRDefault="00416D67" w:rsidP="00416D67">
            <w:pPr>
              <w:jc w:val="right"/>
              <w:rPr>
                <w:color w:val="000000"/>
              </w:rPr>
            </w:pPr>
            <w:r w:rsidRPr="00416D67">
              <w:rPr>
                <w:color w:val="000000"/>
              </w:rPr>
              <w:t>150.697,67</w:t>
            </w:r>
          </w:p>
        </w:tc>
      </w:tr>
      <w:tr w:rsidR="00416D67" w:rsidRPr="00416D67" w14:paraId="0CFC24CE" w14:textId="77777777" w:rsidTr="00BB1392">
        <w:tc>
          <w:tcPr>
            <w:tcW w:w="617" w:type="dxa"/>
            <w:tcBorders>
              <w:top w:val="single" w:sz="4" w:space="0" w:color="auto"/>
              <w:left w:val="single" w:sz="4" w:space="0" w:color="auto"/>
              <w:bottom w:val="single" w:sz="4" w:space="0" w:color="auto"/>
              <w:right w:val="single" w:sz="4" w:space="0" w:color="auto"/>
            </w:tcBorders>
            <w:hideMark/>
          </w:tcPr>
          <w:p w14:paraId="3802F437" w14:textId="77777777" w:rsidR="00416D67" w:rsidRPr="00416D67" w:rsidRDefault="00416D67" w:rsidP="00416D67">
            <w:r w:rsidRPr="00416D67">
              <w:t>7.</w:t>
            </w:r>
          </w:p>
        </w:tc>
        <w:tc>
          <w:tcPr>
            <w:tcW w:w="3636" w:type="dxa"/>
            <w:tcBorders>
              <w:top w:val="single" w:sz="4" w:space="0" w:color="auto"/>
              <w:left w:val="single" w:sz="4" w:space="0" w:color="auto"/>
              <w:bottom w:val="single" w:sz="4" w:space="0" w:color="auto"/>
              <w:right w:val="single" w:sz="4" w:space="0" w:color="auto"/>
            </w:tcBorders>
            <w:hideMark/>
          </w:tcPr>
          <w:p w14:paraId="645FA377" w14:textId="77777777" w:rsidR="00416D67" w:rsidRPr="00416D67" w:rsidRDefault="00416D67" w:rsidP="00416D67">
            <w:r w:rsidRPr="00416D67">
              <w:t>Preneseni višak sredstava iz 2024. godine</w:t>
            </w:r>
          </w:p>
        </w:tc>
        <w:tc>
          <w:tcPr>
            <w:tcW w:w="2409" w:type="dxa"/>
            <w:tcBorders>
              <w:top w:val="single" w:sz="4" w:space="0" w:color="auto"/>
              <w:left w:val="single" w:sz="4" w:space="0" w:color="auto"/>
              <w:bottom w:val="single" w:sz="4" w:space="0" w:color="auto"/>
              <w:right w:val="single" w:sz="4" w:space="0" w:color="auto"/>
            </w:tcBorders>
            <w:hideMark/>
          </w:tcPr>
          <w:p w14:paraId="440F02FE" w14:textId="77777777" w:rsidR="00416D67" w:rsidRPr="00416D67" w:rsidRDefault="00416D67" w:rsidP="00416D67">
            <w:pPr>
              <w:jc w:val="right"/>
            </w:pPr>
            <w:r w:rsidRPr="00416D67">
              <w:t>91.500,00</w:t>
            </w:r>
          </w:p>
        </w:tc>
        <w:tc>
          <w:tcPr>
            <w:tcW w:w="2408" w:type="dxa"/>
            <w:tcBorders>
              <w:top w:val="single" w:sz="4" w:space="0" w:color="auto"/>
              <w:left w:val="single" w:sz="4" w:space="0" w:color="auto"/>
              <w:bottom w:val="single" w:sz="4" w:space="0" w:color="auto"/>
              <w:right w:val="single" w:sz="4" w:space="0" w:color="auto"/>
            </w:tcBorders>
            <w:hideMark/>
          </w:tcPr>
          <w:p w14:paraId="0EF2A04B" w14:textId="77777777" w:rsidR="00416D67" w:rsidRPr="00416D67" w:rsidRDefault="00416D67" w:rsidP="00416D67">
            <w:pPr>
              <w:jc w:val="right"/>
              <w:rPr>
                <w:color w:val="000000"/>
              </w:rPr>
            </w:pPr>
            <w:r w:rsidRPr="00416D67">
              <w:rPr>
                <w:color w:val="000000"/>
              </w:rPr>
              <w:t>80.836,25</w:t>
            </w:r>
          </w:p>
        </w:tc>
      </w:tr>
      <w:tr w:rsidR="00416D67" w:rsidRPr="00416D67" w14:paraId="20CB5747" w14:textId="77777777" w:rsidTr="00BB1392">
        <w:tc>
          <w:tcPr>
            <w:tcW w:w="617" w:type="dxa"/>
            <w:tcBorders>
              <w:top w:val="single" w:sz="4" w:space="0" w:color="auto"/>
              <w:left w:val="single" w:sz="4" w:space="0" w:color="auto"/>
              <w:bottom w:val="single" w:sz="4" w:space="0" w:color="auto"/>
              <w:right w:val="single" w:sz="4" w:space="0" w:color="auto"/>
            </w:tcBorders>
            <w:hideMark/>
          </w:tcPr>
          <w:p w14:paraId="401CB838" w14:textId="77777777" w:rsidR="00416D67" w:rsidRPr="00416D67" w:rsidRDefault="00416D67" w:rsidP="00416D67">
            <w:pPr>
              <w:rPr>
                <w:bCs/>
              </w:rPr>
            </w:pPr>
            <w:r w:rsidRPr="00416D67">
              <w:rPr>
                <w:bCs/>
              </w:rPr>
              <w:t>7.1.</w:t>
            </w:r>
          </w:p>
        </w:tc>
        <w:tc>
          <w:tcPr>
            <w:tcW w:w="3636" w:type="dxa"/>
            <w:tcBorders>
              <w:top w:val="single" w:sz="4" w:space="0" w:color="auto"/>
              <w:left w:val="single" w:sz="4" w:space="0" w:color="auto"/>
              <w:bottom w:val="single" w:sz="4" w:space="0" w:color="auto"/>
              <w:right w:val="single" w:sz="4" w:space="0" w:color="auto"/>
            </w:tcBorders>
            <w:hideMark/>
          </w:tcPr>
          <w:p w14:paraId="28D41DD4" w14:textId="77777777" w:rsidR="00416D67" w:rsidRPr="00416D67" w:rsidRDefault="00416D67" w:rsidP="00416D67">
            <w:pPr>
              <w:rPr>
                <w:bCs/>
              </w:rPr>
            </w:pPr>
            <w:r w:rsidRPr="00416D67">
              <w:rPr>
                <w:bCs/>
              </w:rPr>
              <w:t>Višak komunalnog doprinosa</w:t>
            </w:r>
          </w:p>
        </w:tc>
        <w:tc>
          <w:tcPr>
            <w:tcW w:w="2409" w:type="dxa"/>
            <w:tcBorders>
              <w:top w:val="single" w:sz="4" w:space="0" w:color="auto"/>
              <w:left w:val="single" w:sz="4" w:space="0" w:color="auto"/>
              <w:bottom w:val="single" w:sz="4" w:space="0" w:color="auto"/>
              <w:right w:val="single" w:sz="4" w:space="0" w:color="auto"/>
            </w:tcBorders>
            <w:hideMark/>
          </w:tcPr>
          <w:p w14:paraId="6C890D8D" w14:textId="77777777" w:rsidR="00416D67" w:rsidRPr="00416D67" w:rsidRDefault="00416D67" w:rsidP="00416D67">
            <w:pPr>
              <w:jc w:val="right"/>
              <w:rPr>
                <w:bCs/>
              </w:rPr>
            </w:pPr>
            <w:r w:rsidRPr="00416D67">
              <w:rPr>
                <w:bCs/>
              </w:rPr>
              <w:t>91.500,00</w:t>
            </w:r>
          </w:p>
        </w:tc>
        <w:tc>
          <w:tcPr>
            <w:tcW w:w="2408" w:type="dxa"/>
            <w:tcBorders>
              <w:top w:val="single" w:sz="4" w:space="0" w:color="auto"/>
              <w:left w:val="single" w:sz="4" w:space="0" w:color="auto"/>
              <w:bottom w:val="single" w:sz="4" w:space="0" w:color="auto"/>
              <w:right w:val="single" w:sz="4" w:space="0" w:color="auto"/>
            </w:tcBorders>
            <w:hideMark/>
          </w:tcPr>
          <w:p w14:paraId="60D9DB9F" w14:textId="77777777" w:rsidR="00416D67" w:rsidRPr="00416D67" w:rsidRDefault="00416D67" w:rsidP="00416D67">
            <w:pPr>
              <w:jc w:val="right"/>
              <w:rPr>
                <w:bCs/>
              </w:rPr>
            </w:pPr>
            <w:r w:rsidRPr="00416D67">
              <w:rPr>
                <w:bCs/>
              </w:rPr>
              <w:t>80.836,25</w:t>
            </w:r>
          </w:p>
        </w:tc>
      </w:tr>
      <w:tr w:rsidR="00416D67" w:rsidRPr="00416D67" w14:paraId="72E53244" w14:textId="77777777" w:rsidTr="00BB1392">
        <w:tc>
          <w:tcPr>
            <w:tcW w:w="617" w:type="dxa"/>
            <w:tcBorders>
              <w:top w:val="single" w:sz="4" w:space="0" w:color="auto"/>
              <w:left w:val="single" w:sz="4" w:space="0" w:color="auto"/>
              <w:bottom w:val="single" w:sz="4" w:space="0" w:color="auto"/>
              <w:right w:val="single" w:sz="4" w:space="0" w:color="auto"/>
            </w:tcBorders>
          </w:tcPr>
          <w:p w14:paraId="33E00394" w14:textId="77777777" w:rsidR="00416D67" w:rsidRPr="00416D67" w:rsidRDefault="00416D67" w:rsidP="00416D67"/>
        </w:tc>
        <w:tc>
          <w:tcPr>
            <w:tcW w:w="3636" w:type="dxa"/>
            <w:tcBorders>
              <w:top w:val="single" w:sz="4" w:space="0" w:color="auto"/>
              <w:left w:val="single" w:sz="4" w:space="0" w:color="auto"/>
              <w:bottom w:val="single" w:sz="4" w:space="0" w:color="auto"/>
              <w:right w:val="single" w:sz="4" w:space="0" w:color="auto"/>
            </w:tcBorders>
            <w:hideMark/>
          </w:tcPr>
          <w:p w14:paraId="33F614DD" w14:textId="77777777" w:rsidR="00416D67" w:rsidRPr="00416D67" w:rsidRDefault="00416D67" w:rsidP="00416D67">
            <w:r w:rsidRPr="00416D67">
              <w:t>SVEUKUPNO:</w:t>
            </w:r>
          </w:p>
        </w:tc>
        <w:tc>
          <w:tcPr>
            <w:tcW w:w="2409" w:type="dxa"/>
            <w:tcBorders>
              <w:top w:val="single" w:sz="4" w:space="0" w:color="auto"/>
              <w:left w:val="single" w:sz="4" w:space="0" w:color="auto"/>
              <w:bottom w:val="single" w:sz="4" w:space="0" w:color="auto"/>
              <w:right w:val="single" w:sz="4" w:space="0" w:color="auto"/>
            </w:tcBorders>
            <w:hideMark/>
          </w:tcPr>
          <w:p w14:paraId="028B42CC" w14:textId="77777777" w:rsidR="00416D67" w:rsidRPr="00416D67" w:rsidRDefault="00416D67" w:rsidP="00416D67">
            <w:pPr>
              <w:jc w:val="right"/>
            </w:pPr>
            <w:r w:rsidRPr="00416D67">
              <w:rPr>
                <w:bCs/>
              </w:rPr>
              <w:t>1.434.870,00</w:t>
            </w:r>
          </w:p>
        </w:tc>
        <w:tc>
          <w:tcPr>
            <w:tcW w:w="2408" w:type="dxa"/>
            <w:tcBorders>
              <w:top w:val="single" w:sz="4" w:space="0" w:color="auto"/>
              <w:left w:val="single" w:sz="4" w:space="0" w:color="auto"/>
              <w:bottom w:val="single" w:sz="4" w:space="0" w:color="auto"/>
              <w:right w:val="single" w:sz="4" w:space="0" w:color="auto"/>
            </w:tcBorders>
            <w:hideMark/>
          </w:tcPr>
          <w:p w14:paraId="338E3DCA" w14:textId="77777777" w:rsidR="00416D67" w:rsidRPr="00416D67" w:rsidRDefault="00416D67" w:rsidP="00416D67">
            <w:pPr>
              <w:jc w:val="right"/>
            </w:pPr>
            <w:r w:rsidRPr="00416D67">
              <w:t>1.189.568,78</w:t>
            </w:r>
          </w:p>
        </w:tc>
      </w:tr>
    </w:tbl>
    <w:p w14:paraId="5DC66146" w14:textId="77777777" w:rsidR="00416D67" w:rsidRPr="00416D67" w:rsidRDefault="00416D67" w:rsidP="00416D67"/>
    <w:p w14:paraId="1E8E9CF6" w14:textId="77777777" w:rsidR="00416D67" w:rsidRPr="00416D67" w:rsidRDefault="00416D67" w:rsidP="00416D67">
      <w:pPr>
        <w:ind w:firstLine="720"/>
        <w:jc w:val="both"/>
      </w:pPr>
      <w:r w:rsidRPr="00416D67">
        <w:t xml:space="preserve">Ukupna vrijednost  Programa građenja komunalne infrastrukture planirana je za 2025. godinu u iznosu od </w:t>
      </w:r>
      <w:r w:rsidRPr="00416D67">
        <w:rPr>
          <w:rFonts w:eastAsia="Calibri"/>
          <w:b/>
          <w:bCs/>
          <w:color w:val="000000"/>
        </w:rPr>
        <w:t xml:space="preserve">1.434.870,00 </w:t>
      </w:r>
      <w:r w:rsidRPr="00416D67">
        <w:rPr>
          <w:b/>
        </w:rPr>
        <w:t xml:space="preserve">EUR, </w:t>
      </w:r>
      <w:r w:rsidRPr="00416D67">
        <w:t xml:space="preserve">a ostvarena je u vrijednosti od </w:t>
      </w:r>
      <w:r w:rsidRPr="00416D67">
        <w:rPr>
          <w:b/>
        </w:rPr>
        <w:t>1.189.568,78</w:t>
      </w:r>
      <w:r w:rsidRPr="00416D67">
        <w:rPr>
          <w:b/>
          <w:color w:val="FF0000"/>
        </w:rPr>
        <w:t xml:space="preserve"> </w:t>
      </w:r>
      <w:r w:rsidRPr="00416D67">
        <w:rPr>
          <w:b/>
          <w:bCs/>
        </w:rPr>
        <w:t>EUR</w:t>
      </w:r>
      <w:r w:rsidRPr="00416D67">
        <w:t>, dakle financijsko ostvarenje programa iznosi 82,90% u odnosu na planirane rashode.</w:t>
      </w:r>
    </w:p>
    <w:p w14:paraId="60285DBC" w14:textId="77777777" w:rsidR="00416D67" w:rsidRPr="00416D67" w:rsidRDefault="00416D67" w:rsidP="00416D67">
      <w:pPr>
        <w:ind w:firstLine="720"/>
        <w:jc w:val="both"/>
        <w:rPr>
          <w:color w:val="FF0000"/>
        </w:rPr>
      </w:pPr>
      <w:r w:rsidRPr="00416D67">
        <w:t xml:space="preserve"> Razlog smanjenog iznosa izvršenja Programa građenja je u nepovoljnim vremenskim i tehnološkim uvjetima prilikom gradnje cesta sukladno sklopljenom Okvirnom sporazumu sa trgovačkim društvom Ceste d.o.o. Pula.</w:t>
      </w:r>
    </w:p>
    <w:p w14:paraId="07A0E35F" w14:textId="77777777" w:rsidR="00416D67" w:rsidRPr="00416D67" w:rsidRDefault="00416D67" w:rsidP="00416D67">
      <w:pPr>
        <w:ind w:firstLine="709"/>
        <w:jc w:val="both"/>
        <w:rPr>
          <w:color w:val="000000"/>
        </w:rPr>
      </w:pPr>
      <w:r w:rsidRPr="00416D67">
        <w:rPr>
          <w:color w:val="000000"/>
        </w:rPr>
        <w:t xml:space="preserve">Detaljan prikaz ostvarenja programa prezentiran je u Izvješću o </w:t>
      </w:r>
      <w:proofErr w:type="spellStart"/>
      <w:r w:rsidRPr="00416D67">
        <w:rPr>
          <w:color w:val="000000"/>
        </w:rPr>
        <w:t>o</w:t>
      </w:r>
      <w:proofErr w:type="spellEnd"/>
      <w:r w:rsidRPr="00416D67">
        <w:rPr>
          <w:color w:val="000000"/>
        </w:rPr>
        <w:t xml:space="preserve"> izvršenju Programa građenja komunalne infrastrukture za 2025. godinu.</w:t>
      </w:r>
    </w:p>
    <w:p w14:paraId="423F6078" w14:textId="77777777" w:rsidR="00416D67" w:rsidRPr="00416D67" w:rsidRDefault="00416D67" w:rsidP="00416D67">
      <w:pPr>
        <w:ind w:firstLine="720"/>
        <w:jc w:val="both"/>
      </w:pPr>
    </w:p>
    <w:p w14:paraId="1464B4D6" w14:textId="77777777" w:rsidR="00416D67" w:rsidRPr="00416D67" w:rsidRDefault="00416D67" w:rsidP="00416D67">
      <w:pPr>
        <w:ind w:firstLine="720"/>
        <w:jc w:val="both"/>
      </w:pPr>
    </w:p>
    <w:p w14:paraId="767A3607" w14:textId="77777777" w:rsidR="00416D67" w:rsidRPr="00416D67" w:rsidRDefault="00416D67" w:rsidP="00416D67">
      <w:pPr>
        <w:jc w:val="both"/>
        <w:rPr>
          <w:color w:val="000000"/>
        </w:rPr>
      </w:pPr>
      <w:r w:rsidRPr="00416D67">
        <w:rPr>
          <w:b/>
          <w:color w:val="000000"/>
        </w:rPr>
        <w:t xml:space="preserve">             Program dodatna ulaganja u ostale građevinske objekte </w:t>
      </w:r>
      <w:proofErr w:type="spellStart"/>
      <w:r w:rsidRPr="00416D67">
        <w:rPr>
          <w:color w:val="000000"/>
        </w:rPr>
        <w:t>realizrani</w:t>
      </w:r>
      <w:proofErr w:type="spellEnd"/>
      <w:r w:rsidRPr="00416D67">
        <w:rPr>
          <w:color w:val="000000"/>
        </w:rPr>
        <w:t xml:space="preserve"> su u iznosu od 279.779,86 EUR (ostvarenje 2024. godina 140.773,16 EUR), od čega na projektnu dokumentaciju za zgrade 33.250,00  EUR, dok je ostalo utrošeno na ulaganja u postojeće objekte. Najznačajnija ulaganja odnose se na ulaganja u </w:t>
      </w:r>
      <w:proofErr w:type="spellStart"/>
      <w:r w:rsidRPr="00416D67">
        <w:rPr>
          <w:color w:val="000000"/>
        </w:rPr>
        <w:t>objet</w:t>
      </w:r>
      <w:proofErr w:type="spellEnd"/>
      <w:r w:rsidRPr="00416D67">
        <w:rPr>
          <w:color w:val="000000"/>
        </w:rPr>
        <w:t xml:space="preserve"> škole u Raklju, Društveni dom u Raklju. Značajna sredstva utrošena su i na započeto ulaganja u izgradnju fotonaponskog sustava na objektu dječjeg vrtića u </w:t>
      </w:r>
      <w:proofErr w:type="spellStart"/>
      <w:r w:rsidRPr="00416D67">
        <w:rPr>
          <w:color w:val="000000"/>
        </w:rPr>
        <w:t>Marčani</w:t>
      </w:r>
      <w:proofErr w:type="spellEnd"/>
      <w:r w:rsidRPr="00416D67">
        <w:rPr>
          <w:color w:val="000000"/>
        </w:rPr>
        <w:t xml:space="preserve"> i zgradi Općine Marčana.</w:t>
      </w:r>
    </w:p>
    <w:p w14:paraId="4977A4E7" w14:textId="77777777" w:rsidR="00416D67" w:rsidRPr="00416D67" w:rsidRDefault="00416D67" w:rsidP="00416D67">
      <w:pPr>
        <w:rPr>
          <w:b/>
          <w:color w:val="000000"/>
          <w:sz w:val="20"/>
        </w:rPr>
      </w:pPr>
      <w:r w:rsidRPr="00416D67">
        <w:t xml:space="preserve"> </w:t>
      </w:r>
      <w:r w:rsidRPr="00416D67">
        <w:rPr>
          <w:b/>
          <w:color w:val="000000"/>
        </w:rPr>
        <w:t xml:space="preserve">  </w:t>
      </w:r>
    </w:p>
    <w:p w14:paraId="0DFDFD39" w14:textId="77777777" w:rsidR="00416D67" w:rsidRPr="00416D67" w:rsidRDefault="00416D67" w:rsidP="00416D67">
      <w:pPr>
        <w:jc w:val="both"/>
        <w:rPr>
          <w:color w:val="000000"/>
        </w:rPr>
      </w:pPr>
      <w:r w:rsidRPr="00416D67">
        <w:rPr>
          <w:b/>
          <w:color w:val="000000"/>
        </w:rPr>
        <w:t xml:space="preserve">           Kapitalna potpora Županijskoj upravi za ceste Istarske županije </w:t>
      </w:r>
      <w:proofErr w:type="spellStart"/>
      <w:r w:rsidRPr="00416D67">
        <w:rPr>
          <w:color w:val="000000"/>
        </w:rPr>
        <w:t>realzirana</w:t>
      </w:r>
      <w:proofErr w:type="spellEnd"/>
      <w:r w:rsidRPr="00416D67">
        <w:rPr>
          <w:color w:val="000000"/>
        </w:rPr>
        <w:t xml:space="preserve"> je u iznosu od 180.000,00 EUR temeljem ugovora o sufinanciranju pojedinih dionica naselja Općine Marčana.</w:t>
      </w:r>
    </w:p>
    <w:p w14:paraId="63E83C3C" w14:textId="77777777" w:rsidR="00416D67" w:rsidRPr="00416D67" w:rsidRDefault="00416D67" w:rsidP="00416D67">
      <w:pPr>
        <w:jc w:val="both"/>
        <w:rPr>
          <w:color w:val="000000"/>
        </w:rPr>
      </w:pPr>
      <w:r w:rsidRPr="00416D67">
        <w:rPr>
          <w:color w:val="000000"/>
        </w:rPr>
        <w:t xml:space="preserve">            </w:t>
      </w:r>
    </w:p>
    <w:p w14:paraId="5F5BC367" w14:textId="77777777" w:rsidR="00416D67" w:rsidRPr="00416D67" w:rsidRDefault="00416D67" w:rsidP="00416D67">
      <w:pPr>
        <w:jc w:val="both"/>
        <w:rPr>
          <w:color w:val="000000"/>
        </w:rPr>
      </w:pPr>
      <w:r w:rsidRPr="00416D67">
        <w:rPr>
          <w:b/>
          <w:color w:val="000000"/>
        </w:rPr>
        <w:t xml:space="preserve">           Program razvoj sustava vodoopskrbe   </w:t>
      </w:r>
      <w:r w:rsidRPr="00416D67">
        <w:rPr>
          <w:color w:val="000000"/>
        </w:rPr>
        <w:t xml:space="preserve">realiziran u iznosu od 16.875,00 EUR (ostvarenje 2024. godina  70.337,50 EUR) i sve se odnosi  na </w:t>
      </w:r>
      <w:r w:rsidRPr="00416D67">
        <w:t>za geodetske elaborate i</w:t>
      </w:r>
      <w:r w:rsidRPr="00416D67">
        <w:rPr>
          <w:color w:val="000000"/>
        </w:rPr>
        <w:t xml:space="preserve"> izradu projektne dokumentacije . U izvještajnom razdoblju nije </w:t>
      </w:r>
      <w:proofErr w:type="spellStart"/>
      <w:r w:rsidRPr="00416D67">
        <w:rPr>
          <w:color w:val="000000"/>
        </w:rPr>
        <w:t>relizirana</w:t>
      </w:r>
      <w:proofErr w:type="spellEnd"/>
      <w:r w:rsidRPr="00416D67">
        <w:rPr>
          <w:color w:val="000000"/>
        </w:rPr>
        <w:t xml:space="preserve"> kapitalna potpora Vodovod Pula </w:t>
      </w:r>
      <w:proofErr w:type="spellStart"/>
      <w:r w:rsidRPr="00416D67">
        <w:rPr>
          <w:color w:val="000000"/>
        </w:rPr>
        <w:t>doo</w:t>
      </w:r>
      <w:proofErr w:type="spellEnd"/>
      <w:r w:rsidRPr="00416D67">
        <w:rPr>
          <w:color w:val="000000"/>
        </w:rPr>
        <w:t xml:space="preserve"> .</w:t>
      </w:r>
    </w:p>
    <w:p w14:paraId="5E643F0D" w14:textId="77777777" w:rsidR="00416D67" w:rsidRPr="00416D67" w:rsidRDefault="00416D67" w:rsidP="00416D67">
      <w:pPr>
        <w:jc w:val="both"/>
        <w:rPr>
          <w:b/>
          <w:color w:val="000000"/>
        </w:rPr>
      </w:pPr>
    </w:p>
    <w:p w14:paraId="46D3C07F" w14:textId="77777777" w:rsidR="00416D67" w:rsidRPr="00416D67" w:rsidRDefault="00416D67" w:rsidP="00416D67">
      <w:pPr>
        <w:jc w:val="both"/>
        <w:rPr>
          <w:b/>
          <w:color w:val="000000"/>
        </w:rPr>
      </w:pPr>
      <w:r w:rsidRPr="00416D67">
        <w:rPr>
          <w:b/>
          <w:color w:val="000000"/>
        </w:rPr>
        <w:t xml:space="preserve">           Program prostorno planiranje </w:t>
      </w:r>
    </w:p>
    <w:p w14:paraId="448C9BC2" w14:textId="77777777" w:rsidR="00416D67" w:rsidRPr="00416D67" w:rsidRDefault="00416D67" w:rsidP="00416D67">
      <w:pPr>
        <w:ind w:firstLine="720"/>
        <w:jc w:val="both"/>
      </w:pPr>
      <w:r w:rsidRPr="00416D67">
        <w:t xml:space="preserve">Ukupni rashodi ovog programa realizirani su u iznosu od 8.350,00 EUR (ostvarenje 2024. godina 19.925,00  EUR) . Ostvarenje je niže u odnosu na prošlogodišnje ostvarenje je je   u 2024. godini završena je izrada Izmjena i dopuna Prostornog plana uređenja Općine Marčana. </w:t>
      </w:r>
      <w:bookmarkStart w:id="6" w:name="_Hlk22631423"/>
      <w:r w:rsidRPr="00416D67">
        <w:t>U izvještajnom razdoblju utrošena sredstva odnose se na izradu urbanističkih planova uređenja.</w:t>
      </w:r>
    </w:p>
    <w:bookmarkEnd w:id="6"/>
    <w:p w14:paraId="61403039" w14:textId="77777777" w:rsidR="00416D67" w:rsidRPr="00416D67" w:rsidRDefault="00416D67" w:rsidP="00416D67">
      <w:pPr>
        <w:jc w:val="both"/>
      </w:pPr>
    </w:p>
    <w:p w14:paraId="7686F73C" w14:textId="77777777" w:rsidR="00416D67" w:rsidRPr="00416D67" w:rsidRDefault="00416D67" w:rsidP="00416D67">
      <w:pPr>
        <w:ind w:left="927"/>
        <w:jc w:val="both"/>
        <w:rPr>
          <w:b/>
          <w:color w:val="000000"/>
        </w:rPr>
      </w:pPr>
      <w:r w:rsidRPr="00416D67">
        <w:rPr>
          <w:b/>
        </w:rPr>
        <w:t>7.Stanje nenaplaćenih potraživanja za prihode poslovanja O</w:t>
      </w:r>
      <w:r w:rsidRPr="00416D67">
        <w:rPr>
          <w:b/>
          <w:color w:val="000000"/>
        </w:rPr>
        <w:t>pćine Marčana i proračunskog korisnika DV Vrtuljak Marčana</w:t>
      </w:r>
    </w:p>
    <w:p w14:paraId="32C7B4A8" w14:textId="77777777" w:rsidR="00416D67" w:rsidRPr="00416D67" w:rsidRDefault="00416D67" w:rsidP="00416D67">
      <w:pPr>
        <w:spacing w:line="260" w:lineRule="exact"/>
        <w:jc w:val="both"/>
        <w:rPr>
          <w:color w:val="000000"/>
        </w:rPr>
      </w:pPr>
      <w:r w:rsidRPr="00416D67">
        <w:rPr>
          <w:color w:val="000000"/>
        </w:rPr>
        <w:lastRenderedPageBreak/>
        <w:t xml:space="preserve">         Stanje potraživanja za prihode poslovanja na dan 31. prosinca 2025. godine iznosi 1.055.372,47 EUR (bruto iznos 1.240.954,21 umanjeno za ispravak vrijednosti potraživanja u iznosu od 185.581,74 EUR), od čega potraživanje za prihode poslovanja Općine u iznosu od 979.866,58 EUR i proračunskog korisnika Dječji vrtić Vrtuljak Marčana u iznosu od 75.505,89  EUR.</w:t>
      </w:r>
    </w:p>
    <w:p w14:paraId="326A4E40" w14:textId="77777777" w:rsidR="00416D67" w:rsidRPr="00416D67" w:rsidRDefault="00416D67" w:rsidP="00416D67">
      <w:pPr>
        <w:spacing w:line="260" w:lineRule="exact"/>
        <w:jc w:val="both"/>
        <w:rPr>
          <w:color w:val="000000"/>
        </w:rPr>
      </w:pPr>
      <w:r w:rsidRPr="00416D67">
        <w:rPr>
          <w:color w:val="000000"/>
        </w:rPr>
        <w:t>Struktura potraživanja:</w:t>
      </w:r>
    </w:p>
    <w:tbl>
      <w:tblPr>
        <w:tblW w:w="10600" w:type="dxa"/>
        <w:jc w:val="center"/>
        <w:tblLook w:val="04A0" w:firstRow="1" w:lastRow="0" w:firstColumn="1" w:lastColumn="0" w:noHBand="0" w:noVBand="1"/>
      </w:tblPr>
      <w:tblGrid>
        <w:gridCol w:w="1120"/>
        <w:gridCol w:w="3940"/>
        <w:gridCol w:w="1620"/>
        <w:gridCol w:w="1280"/>
        <w:gridCol w:w="1260"/>
        <w:gridCol w:w="1380"/>
      </w:tblGrid>
      <w:tr w:rsidR="00416D67" w:rsidRPr="00416D67" w14:paraId="78C1BA12" w14:textId="77777777" w:rsidTr="00BB1392">
        <w:trPr>
          <w:trHeight w:val="675"/>
          <w:jc w:val="center"/>
        </w:trPr>
        <w:tc>
          <w:tcPr>
            <w:tcW w:w="1120" w:type="dxa"/>
            <w:tcBorders>
              <w:top w:val="single" w:sz="4" w:space="0" w:color="808080"/>
              <w:left w:val="single" w:sz="4" w:space="0" w:color="808080"/>
              <w:bottom w:val="single" w:sz="4" w:space="0" w:color="808080"/>
              <w:right w:val="single" w:sz="4" w:space="0" w:color="808080"/>
            </w:tcBorders>
            <w:noWrap/>
            <w:vAlign w:val="bottom"/>
            <w:hideMark/>
          </w:tcPr>
          <w:p w14:paraId="3348B016" w14:textId="77777777" w:rsidR="00416D67" w:rsidRPr="00416D67" w:rsidRDefault="00416D67" w:rsidP="00416D67">
            <w:pPr>
              <w:jc w:val="center"/>
              <w:rPr>
                <w:rFonts w:ascii="Calibri" w:hAnsi="Calibri" w:cs="Calibri"/>
                <w:sz w:val="16"/>
                <w:szCs w:val="16"/>
              </w:rPr>
            </w:pPr>
            <w:r w:rsidRPr="00416D67">
              <w:rPr>
                <w:rFonts w:ascii="Calibri" w:hAnsi="Calibri" w:cs="Calibri"/>
                <w:sz w:val="16"/>
                <w:szCs w:val="16"/>
              </w:rPr>
              <w:t>Konto</w:t>
            </w:r>
          </w:p>
        </w:tc>
        <w:tc>
          <w:tcPr>
            <w:tcW w:w="3940" w:type="dxa"/>
            <w:tcBorders>
              <w:top w:val="single" w:sz="4" w:space="0" w:color="808080"/>
              <w:left w:val="nil"/>
              <w:bottom w:val="single" w:sz="4" w:space="0" w:color="808080"/>
              <w:right w:val="single" w:sz="4" w:space="0" w:color="808080"/>
            </w:tcBorders>
            <w:noWrap/>
            <w:vAlign w:val="bottom"/>
            <w:hideMark/>
          </w:tcPr>
          <w:p w14:paraId="069816BC"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Opis</w:t>
            </w:r>
          </w:p>
        </w:tc>
        <w:tc>
          <w:tcPr>
            <w:tcW w:w="1620" w:type="dxa"/>
            <w:tcBorders>
              <w:top w:val="single" w:sz="4" w:space="0" w:color="808080"/>
              <w:left w:val="nil"/>
              <w:bottom w:val="single" w:sz="4" w:space="0" w:color="808080"/>
              <w:right w:val="single" w:sz="4" w:space="0" w:color="808080"/>
            </w:tcBorders>
            <w:vAlign w:val="bottom"/>
            <w:hideMark/>
          </w:tcPr>
          <w:p w14:paraId="13ACDC80" w14:textId="77777777" w:rsidR="00416D67" w:rsidRPr="00416D67" w:rsidRDefault="00416D67" w:rsidP="00416D67">
            <w:pPr>
              <w:jc w:val="center"/>
              <w:rPr>
                <w:rFonts w:ascii="Calibri" w:hAnsi="Calibri" w:cs="Calibri"/>
                <w:b/>
                <w:bCs/>
                <w:sz w:val="16"/>
                <w:szCs w:val="16"/>
              </w:rPr>
            </w:pPr>
            <w:r w:rsidRPr="00416D67">
              <w:rPr>
                <w:rFonts w:ascii="Calibri" w:hAnsi="Calibri" w:cs="Calibri"/>
                <w:b/>
                <w:bCs/>
                <w:sz w:val="16"/>
                <w:szCs w:val="16"/>
              </w:rPr>
              <w:t>STANJE 31.12.2025. KLASA 1 BRUTO BILANCA</w:t>
            </w:r>
          </w:p>
        </w:tc>
        <w:tc>
          <w:tcPr>
            <w:tcW w:w="1280" w:type="dxa"/>
            <w:tcBorders>
              <w:top w:val="single" w:sz="4" w:space="0" w:color="808080"/>
              <w:left w:val="nil"/>
              <w:bottom w:val="single" w:sz="4" w:space="0" w:color="808080"/>
              <w:right w:val="single" w:sz="4" w:space="0" w:color="808080"/>
            </w:tcBorders>
            <w:vAlign w:val="bottom"/>
            <w:hideMark/>
          </w:tcPr>
          <w:p w14:paraId="6993E8CC" w14:textId="77777777" w:rsidR="00416D67" w:rsidRPr="00416D67" w:rsidRDefault="00416D67" w:rsidP="00416D67">
            <w:pPr>
              <w:jc w:val="center"/>
              <w:rPr>
                <w:rFonts w:ascii="Calibri" w:hAnsi="Calibri" w:cs="Calibri"/>
                <w:b/>
                <w:bCs/>
                <w:sz w:val="16"/>
                <w:szCs w:val="16"/>
              </w:rPr>
            </w:pPr>
            <w:r w:rsidRPr="00416D67">
              <w:rPr>
                <w:rFonts w:ascii="Calibri" w:hAnsi="Calibri" w:cs="Calibri"/>
                <w:b/>
                <w:bCs/>
                <w:sz w:val="16"/>
                <w:szCs w:val="16"/>
              </w:rPr>
              <w:t>NEDOSPJELO  31.12.2025.</w:t>
            </w:r>
          </w:p>
        </w:tc>
        <w:tc>
          <w:tcPr>
            <w:tcW w:w="1260" w:type="dxa"/>
            <w:tcBorders>
              <w:top w:val="single" w:sz="4" w:space="0" w:color="808080"/>
              <w:left w:val="nil"/>
              <w:bottom w:val="single" w:sz="4" w:space="0" w:color="808080"/>
              <w:right w:val="single" w:sz="4" w:space="0" w:color="808080"/>
            </w:tcBorders>
            <w:shd w:val="clear" w:color="000000" w:fill="BFBFBF"/>
            <w:vAlign w:val="bottom"/>
            <w:hideMark/>
          </w:tcPr>
          <w:p w14:paraId="6A56D331" w14:textId="77777777" w:rsidR="00416D67" w:rsidRPr="00416D67" w:rsidRDefault="00416D67" w:rsidP="00416D67">
            <w:pPr>
              <w:jc w:val="center"/>
              <w:rPr>
                <w:rFonts w:ascii="Calibri" w:hAnsi="Calibri" w:cs="Calibri"/>
                <w:b/>
                <w:bCs/>
                <w:sz w:val="16"/>
                <w:szCs w:val="16"/>
              </w:rPr>
            </w:pPr>
            <w:r w:rsidRPr="00416D67">
              <w:rPr>
                <w:rFonts w:ascii="Calibri" w:hAnsi="Calibri" w:cs="Calibri"/>
                <w:b/>
                <w:bCs/>
                <w:sz w:val="16"/>
                <w:szCs w:val="16"/>
              </w:rPr>
              <w:t>DOSPJELO  31.12.2025.</w:t>
            </w:r>
          </w:p>
        </w:tc>
        <w:tc>
          <w:tcPr>
            <w:tcW w:w="1380" w:type="dxa"/>
            <w:tcBorders>
              <w:top w:val="single" w:sz="4" w:space="0" w:color="808080"/>
              <w:left w:val="nil"/>
              <w:bottom w:val="single" w:sz="4" w:space="0" w:color="808080"/>
              <w:right w:val="single" w:sz="4" w:space="0" w:color="808080"/>
            </w:tcBorders>
            <w:shd w:val="clear" w:color="000000" w:fill="C5D9F1"/>
            <w:vAlign w:val="bottom"/>
            <w:hideMark/>
          </w:tcPr>
          <w:p w14:paraId="1FF0ED06" w14:textId="77777777" w:rsidR="00416D67" w:rsidRPr="00416D67" w:rsidRDefault="00416D67" w:rsidP="00416D67">
            <w:pPr>
              <w:jc w:val="center"/>
              <w:rPr>
                <w:rFonts w:ascii="Calibri" w:hAnsi="Calibri" w:cs="Calibri"/>
                <w:b/>
                <w:bCs/>
                <w:i/>
                <w:iCs/>
                <w:sz w:val="16"/>
                <w:szCs w:val="16"/>
              </w:rPr>
            </w:pPr>
            <w:r w:rsidRPr="00416D67">
              <w:rPr>
                <w:rFonts w:ascii="Calibri" w:hAnsi="Calibri" w:cs="Calibri"/>
                <w:b/>
                <w:bCs/>
                <w:i/>
                <w:iCs/>
                <w:sz w:val="16"/>
                <w:szCs w:val="16"/>
              </w:rPr>
              <w:t xml:space="preserve">Ukupno ispravak vrijednosti potraživanja </w:t>
            </w:r>
          </w:p>
        </w:tc>
      </w:tr>
      <w:tr w:rsidR="00416D67" w:rsidRPr="00416D67" w14:paraId="01B23960" w14:textId="77777777" w:rsidTr="00BB1392">
        <w:trPr>
          <w:trHeight w:val="64"/>
          <w:jc w:val="center"/>
        </w:trPr>
        <w:tc>
          <w:tcPr>
            <w:tcW w:w="1120" w:type="dxa"/>
            <w:tcBorders>
              <w:top w:val="nil"/>
              <w:left w:val="single" w:sz="4" w:space="0" w:color="808080"/>
              <w:bottom w:val="single" w:sz="4" w:space="0" w:color="808080"/>
              <w:right w:val="single" w:sz="4" w:space="0" w:color="808080"/>
            </w:tcBorders>
            <w:noWrap/>
            <w:vAlign w:val="bottom"/>
            <w:hideMark/>
          </w:tcPr>
          <w:p w14:paraId="3B0C3BE7" w14:textId="77777777" w:rsidR="00416D67" w:rsidRPr="00416D67" w:rsidRDefault="00416D67" w:rsidP="00416D67">
            <w:pPr>
              <w:jc w:val="center"/>
              <w:rPr>
                <w:rFonts w:ascii="Calibri" w:hAnsi="Calibri" w:cs="Calibri"/>
                <w:sz w:val="16"/>
                <w:szCs w:val="16"/>
              </w:rPr>
            </w:pPr>
            <w:r w:rsidRPr="00416D67">
              <w:rPr>
                <w:rFonts w:ascii="Calibri" w:hAnsi="Calibri" w:cs="Calibri"/>
                <w:sz w:val="16"/>
                <w:szCs w:val="16"/>
              </w:rPr>
              <w:t>1</w:t>
            </w:r>
          </w:p>
        </w:tc>
        <w:tc>
          <w:tcPr>
            <w:tcW w:w="3940" w:type="dxa"/>
            <w:tcBorders>
              <w:top w:val="nil"/>
              <w:left w:val="nil"/>
              <w:bottom w:val="single" w:sz="4" w:space="0" w:color="808080"/>
              <w:right w:val="single" w:sz="4" w:space="0" w:color="808080"/>
            </w:tcBorders>
            <w:noWrap/>
            <w:vAlign w:val="bottom"/>
            <w:hideMark/>
          </w:tcPr>
          <w:p w14:paraId="5F62CE07" w14:textId="77777777" w:rsidR="00416D67" w:rsidRPr="00416D67" w:rsidRDefault="00416D67" w:rsidP="00416D67">
            <w:pPr>
              <w:jc w:val="center"/>
              <w:rPr>
                <w:rFonts w:ascii="Calibri" w:hAnsi="Calibri" w:cs="Calibri"/>
                <w:sz w:val="16"/>
                <w:szCs w:val="16"/>
              </w:rPr>
            </w:pPr>
            <w:r w:rsidRPr="00416D67">
              <w:rPr>
                <w:rFonts w:ascii="Calibri" w:hAnsi="Calibri" w:cs="Calibri"/>
                <w:sz w:val="16"/>
                <w:szCs w:val="16"/>
              </w:rPr>
              <w:t>2</w:t>
            </w:r>
          </w:p>
        </w:tc>
        <w:tc>
          <w:tcPr>
            <w:tcW w:w="1620" w:type="dxa"/>
            <w:tcBorders>
              <w:top w:val="nil"/>
              <w:left w:val="nil"/>
              <w:bottom w:val="single" w:sz="4" w:space="0" w:color="808080"/>
              <w:right w:val="single" w:sz="4" w:space="0" w:color="808080"/>
            </w:tcBorders>
            <w:vAlign w:val="bottom"/>
            <w:hideMark/>
          </w:tcPr>
          <w:p w14:paraId="6C86DCD3" w14:textId="77777777" w:rsidR="00416D67" w:rsidRPr="00416D67" w:rsidRDefault="00416D67" w:rsidP="00416D67">
            <w:pPr>
              <w:jc w:val="center"/>
              <w:rPr>
                <w:rFonts w:ascii="Calibri" w:hAnsi="Calibri" w:cs="Calibri"/>
                <w:b/>
                <w:bCs/>
                <w:sz w:val="16"/>
                <w:szCs w:val="16"/>
              </w:rPr>
            </w:pPr>
            <w:r w:rsidRPr="00416D67">
              <w:rPr>
                <w:rFonts w:ascii="Calibri" w:hAnsi="Calibri" w:cs="Calibri"/>
                <w:b/>
                <w:bCs/>
                <w:sz w:val="16"/>
                <w:szCs w:val="16"/>
              </w:rPr>
              <w:t>3</w:t>
            </w:r>
          </w:p>
        </w:tc>
        <w:tc>
          <w:tcPr>
            <w:tcW w:w="1280" w:type="dxa"/>
            <w:tcBorders>
              <w:top w:val="nil"/>
              <w:left w:val="nil"/>
              <w:bottom w:val="single" w:sz="4" w:space="0" w:color="808080"/>
              <w:right w:val="single" w:sz="4" w:space="0" w:color="808080"/>
            </w:tcBorders>
            <w:vAlign w:val="bottom"/>
            <w:hideMark/>
          </w:tcPr>
          <w:p w14:paraId="0CD27547" w14:textId="77777777" w:rsidR="00416D67" w:rsidRPr="00416D67" w:rsidRDefault="00416D67" w:rsidP="00416D67">
            <w:pPr>
              <w:jc w:val="center"/>
              <w:rPr>
                <w:rFonts w:ascii="Calibri" w:hAnsi="Calibri" w:cs="Calibri"/>
                <w:b/>
                <w:bCs/>
                <w:i/>
                <w:iCs/>
                <w:sz w:val="16"/>
                <w:szCs w:val="16"/>
              </w:rPr>
            </w:pPr>
            <w:r w:rsidRPr="00416D67">
              <w:rPr>
                <w:rFonts w:ascii="Calibri" w:hAnsi="Calibri" w:cs="Calibri"/>
                <w:b/>
                <w:bCs/>
                <w:i/>
                <w:iCs/>
                <w:sz w:val="16"/>
                <w:szCs w:val="16"/>
              </w:rPr>
              <w:t>4</w:t>
            </w:r>
          </w:p>
        </w:tc>
        <w:tc>
          <w:tcPr>
            <w:tcW w:w="1260" w:type="dxa"/>
            <w:tcBorders>
              <w:top w:val="nil"/>
              <w:left w:val="nil"/>
              <w:bottom w:val="single" w:sz="4" w:space="0" w:color="808080"/>
              <w:right w:val="single" w:sz="4" w:space="0" w:color="808080"/>
            </w:tcBorders>
            <w:shd w:val="clear" w:color="000000" w:fill="BFBFBF"/>
            <w:vAlign w:val="bottom"/>
            <w:hideMark/>
          </w:tcPr>
          <w:p w14:paraId="00E9EA8E" w14:textId="77777777" w:rsidR="00416D67" w:rsidRPr="00416D67" w:rsidRDefault="00416D67" w:rsidP="00416D67">
            <w:pPr>
              <w:jc w:val="center"/>
              <w:rPr>
                <w:rFonts w:ascii="Calibri" w:hAnsi="Calibri" w:cs="Calibri"/>
                <w:b/>
                <w:bCs/>
                <w:i/>
                <w:iCs/>
                <w:sz w:val="16"/>
                <w:szCs w:val="16"/>
              </w:rPr>
            </w:pPr>
            <w:r w:rsidRPr="00416D67">
              <w:rPr>
                <w:rFonts w:ascii="Calibri" w:hAnsi="Calibri" w:cs="Calibri"/>
                <w:b/>
                <w:bCs/>
                <w:i/>
                <w:iCs/>
                <w:sz w:val="16"/>
                <w:szCs w:val="16"/>
              </w:rPr>
              <w:t>5</w:t>
            </w:r>
          </w:p>
        </w:tc>
        <w:tc>
          <w:tcPr>
            <w:tcW w:w="1380" w:type="dxa"/>
            <w:tcBorders>
              <w:top w:val="nil"/>
              <w:left w:val="single" w:sz="4" w:space="0" w:color="808080"/>
              <w:bottom w:val="single" w:sz="4" w:space="0" w:color="808080"/>
              <w:right w:val="nil"/>
            </w:tcBorders>
            <w:shd w:val="clear" w:color="000000" w:fill="C5D9F1"/>
            <w:vAlign w:val="bottom"/>
            <w:hideMark/>
          </w:tcPr>
          <w:p w14:paraId="28D8012F" w14:textId="77777777" w:rsidR="00416D67" w:rsidRPr="00416D67" w:rsidRDefault="00416D67" w:rsidP="00416D67">
            <w:pPr>
              <w:jc w:val="center"/>
              <w:rPr>
                <w:rFonts w:ascii="Calibri" w:hAnsi="Calibri" w:cs="Calibri"/>
                <w:b/>
                <w:bCs/>
                <w:i/>
                <w:iCs/>
                <w:sz w:val="16"/>
                <w:szCs w:val="16"/>
              </w:rPr>
            </w:pPr>
            <w:r w:rsidRPr="00416D67">
              <w:rPr>
                <w:rFonts w:ascii="Calibri" w:hAnsi="Calibri" w:cs="Calibri"/>
                <w:b/>
                <w:bCs/>
                <w:i/>
                <w:iCs/>
                <w:sz w:val="16"/>
                <w:szCs w:val="16"/>
              </w:rPr>
              <w:t>6</w:t>
            </w:r>
          </w:p>
        </w:tc>
      </w:tr>
      <w:tr w:rsidR="00416D67" w:rsidRPr="00416D67" w14:paraId="165CF1B7" w14:textId="77777777" w:rsidTr="00BB1392">
        <w:trPr>
          <w:trHeight w:val="300"/>
          <w:jc w:val="center"/>
        </w:trPr>
        <w:tc>
          <w:tcPr>
            <w:tcW w:w="5060" w:type="dxa"/>
            <w:gridSpan w:val="2"/>
            <w:tcBorders>
              <w:top w:val="single" w:sz="4" w:space="0" w:color="808080"/>
              <w:left w:val="single" w:sz="4" w:space="0" w:color="808080"/>
              <w:bottom w:val="single" w:sz="4" w:space="0" w:color="808080"/>
              <w:right w:val="single" w:sz="4" w:space="0" w:color="808080"/>
            </w:tcBorders>
            <w:noWrap/>
            <w:vAlign w:val="bottom"/>
            <w:hideMark/>
          </w:tcPr>
          <w:p w14:paraId="2D4FD9ED" w14:textId="77777777" w:rsidR="00416D67" w:rsidRPr="00416D67" w:rsidRDefault="00416D67" w:rsidP="00416D67">
            <w:pPr>
              <w:jc w:val="center"/>
              <w:rPr>
                <w:rFonts w:ascii="Calibri" w:hAnsi="Calibri" w:cs="Calibri"/>
                <w:b/>
                <w:sz w:val="16"/>
                <w:szCs w:val="16"/>
              </w:rPr>
            </w:pPr>
            <w:r w:rsidRPr="00416D67">
              <w:rPr>
                <w:rFonts w:ascii="Calibri" w:hAnsi="Calibri" w:cs="Calibri"/>
                <w:b/>
                <w:sz w:val="16"/>
                <w:szCs w:val="16"/>
              </w:rPr>
              <w:t>UKUPNA POTRAŽIVANJA 31.12.2025.</w:t>
            </w:r>
          </w:p>
        </w:tc>
        <w:tc>
          <w:tcPr>
            <w:tcW w:w="1620" w:type="dxa"/>
            <w:tcBorders>
              <w:top w:val="nil"/>
              <w:left w:val="nil"/>
              <w:bottom w:val="single" w:sz="4" w:space="0" w:color="808080"/>
              <w:right w:val="single" w:sz="4" w:space="0" w:color="808080"/>
            </w:tcBorders>
            <w:vAlign w:val="bottom"/>
            <w:hideMark/>
          </w:tcPr>
          <w:p w14:paraId="6B682437" w14:textId="77777777" w:rsidR="00416D67" w:rsidRPr="00416D67" w:rsidRDefault="00416D67" w:rsidP="00416D67">
            <w:pPr>
              <w:jc w:val="center"/>
              <w:rPr>
                <w:rFonts w:ascii="Calibri" w:hAnsi="Calibri" w:cs="Calibri"/>
                <w:b/>
                <w:bCs/>
                <w:sz w:val="16"/>
                <w:szCs w:val="16"/>
              </w:rPr>
            </w:pPr>
            <w:r w:rsidRPr="00416D67">
              <w:rPr>
                <w:rFonts w:ascii="Calibri" w:hAnsi="Calibri" w:cs="Calibri"/>
                <w:b/>
                <w:bCs/>
                <w:sz w:val="16"/>
                <w:szCs w:val="16"/>
              </w:rPr>
              <w:t>1.240.954,21</w:t>
            </w:r>
          </w:p>
        </w:tc>
        <w:tc>
          <w:tcPr>
            <w:tcW w:w="1280" w:type="dxa"/>
            <w:tcBorders>
              <w:top w:val="nil"/>
              <w:left w:val="nil"/>
              <w:bottom w:val="single" w:sz="4" w:space="0" w:color="808080"/>
              <w:right w:val="single" w:sz="4" w:space="0" w:color="808080"/>
            </w:tcBorders>
            <w:vAlign w:val="bottom"/>
            <w:hideMark/>
          </w:tcPr>
          <w:p w14:paraId="15423347" w14:textId="77777777" w:rsidR="00416D67" w:rsidRPr="00416D67" w:rsidRDefault="00416D67" w:rsidP="00416D67">
            <w:pPr>
              <w:jc w:val="center"/>
              <w:rPr>
                <w:rFonts w:ascii="Calibri" w:hAnsi="Calibri" w:cs="Calibri"/>
                <w:b/>
                <w:bCs/>
                <w:sz w:val="16"/>
                <w:szCs w:val="16"/>
              </w:rPr>
            </w:pPr>
            <w:r w:rsidRPr="00416D67">
              <w:rPr>
                <w:rFonts w:ascii="Calibri" w:hAnsi="Calibri" w:cs="Calibri"/>
                <w:b/>
                <w:bCs/>
                <w:sz w:val="16"/>
                <w:szCs w:val="16"/>
              </w:rPr>
              <w:t>683.293,81</w:t>
            </w:r>
          </w:p>
        </w:tc>
        <w:tc>
          <w:tcPr>
            <w:tcW w:w="1260" w:type="dxa"/>
            <w:tcBorders>
              <w:top w:val="nil"/>
              <w:left w:val="nil"/>
              <w:bottom w:val="single" w:sz="4" w:space="0" w:color="808080"/>
              <w:right w:val="single" w:sz="4" w:space="0" w:color="808080"/>
            </w:tcBorders>
            <w:vAlign w:val="bottom"/>
            <w:hideMark/>
          </w:tcPr>
          <w:p w14:paraId="27B5EC35" w14:textId="77777777" w:rsidR="00416D67" w:rsidRPr="00416D67" w:rsidRDefault="00416D67" w:rsidP="00416D67">
            <w:pPr>
              <w:jc w:val="center"/>
              <w:rPr>
                <w:rFonts w:ascii="Calibri" w:hAnsi="Calibri" w:cs="Calibri"/>
                <w:b/>
                <w:bCs/>
                <w:sz w:val="16"/>
                <w:szCs w:val="16"/>
              </w:rPr>
            </w:pPr>
            <w:r w:rsidRPr="00416D67">
              <w:rPr>
                <w:rFonts w:ascii="Calibri" w:hAnsi="Calibri" w:cs="Calibri"/>
                <w:b/>
                <w:bCs/>
                <w:sz w:val="16"/>
                <w:szCs w:val="16"/>
              </w:rPr>
              <w:t>559.188,62</w:t>
            </w:r>
          </w:p>
        </w:tc>
        <w:tc>
          <w:tcPr>
            <w:tcW w:w="1380" w:type="dxa"/>
            <w:tcBorders>
              <w:top w:val="nil"/>
              <w:left w:val="nil"/>
              <w:bottom w:val="single" w:sz="4" w:space="0" w:color="808080"/>
              <w:right w:val="single" w:sz="4" w:space="0" w:color="808080"/>
            </w:tcBorders>
            <w:vAlign w:val="bottom"/>
            <w:hideMark/>
          </w:tcPr>
          <w:p w14:paraId="093376B0" w14:textId="77777777" w:rsidR="00416D67" w:rsidRPr="00416D67" w:rsidRDefault="00416D67" w:rsidP="00416D67">
            <w:pPr>
              <w:jc w:val="center"/>
              <w:rPr>
                <w:rFonts w:ascii="Calibri" w:hAnsi="Calibri" w:cs="Calibri"/>
                <w:b/>
                <w:bCs/>
                <w:sz w:val="16"/>
                <w:szCs w:val="16"/>
              </w:rPr>
            </w:pPr>
            <w:r w:rsidRPr="00416D67">
              <w:rPr>
                <w:rFonts w:ascii="Calibri" w:hAnsi="Calibri" w:cs="Calibri"/>
                <w:b/>
                <w:bCs/>
                <w:sz w:val="16"/>
                <w:szCs w:val="16"/>
              </w:rPr>
              <w:t>185.581,74</w:t>
            </w:r>
          </w:p>
        </w:tc>
      </w:tr>
      <w:tr w:rsidR="00416D67" w:rsidRPr="00416D67" w14:paraId="2F71BC37" w14:textId="77777777" w:rsidTr="00BB1392">
        <w:trPr>
          <w:trHeight w:val="64"/>
          <w:jc w:val="center"/>
        </w:trPr>
        <w:tc>
          <w:tcPr>
            <w:tcW w:w="5060" w:type="dxa"/>
            <w:gridSpan w:val="2"/>
            <w:tcBorders>
              <w:top w:val="single" w:sz="4" w:space="0" w:color="808080"/>
              <w:left w:val="single" w:sz="4" w:space="0" w:color="808080"/>
              <w:bottom w:val="single" w:sz="4" w:space="0" w:color="808080"/>
              <w:right w:val="single" w:sz="4" w:space="0" w:color="808080"/>
            </w:tcBorders>
            <w:noWrap/>
            <w:vAlign w:val="bottom"/>
            <w:hideMark/>
          </w:tcPr>
          <w:p w14:paraId="06B1C0AB" w14:textId="77777777" w:rsidR="00416D67" w:rsidRPr="00416D67" w:rsidRDefault="00416D67" w:rsidP="00416D67">
            <w:pPr>
              <w:jc w:val="center"/>
              <w:rPr>
                <w:rFonts w:ascii="Calibri" w:hAnsi="Calibri" w:cs="Calibri"/>
                <w:sz w:val="16"/>
                <w:szCs w:val="16"/>
              </w:rPr>
            </w:pPr>
            <w:r w:rsidRPr="00416D67">
              <w:rPr>
                <w:rFonts w:ascii="Calibri" w:hAnsi="Calibri" w:cs="Calibri"/>
                <w:sz w:val="16"/>
                <w:szCs w:val="16"/>
              </w:rPr>
              <w:t>POTRAŽIVANJA OPĆINA MARČANA</w:t>
            </w:r>
          </w:p>
        </w:tc>
        <w:tc>
          <w:tcPr>
            <w:tcW w:w="1620" w:type="dxa"/>
            <w:tcBorders>
              <w:top w:val="nil"/>
              <w:left w:val="nil"/>
              <w:bottom w:val="single" w:sz="4" w:space="0" w:color="808080"/>
              <w:right w:val="single" w:sz="4" w:space="0" w:color="808080"/>
            </w:tcBorders>
            <w:vAlign w:val="bottom"/>
            <w:hideMark/>
          </w:tcPr>
          <w:p w14:paraId="6C3902A9" w14:textId="77777777" w:rsidR="00416D67" w:rsidRPr="00416D67" w:rsidRDefault="00416D67" w:rsidP="00416D67">
            <w:pPr>
              <w:jc w:val="center"/>
              <w:rPr>
                <w:rFonts w:ascii="Calibri" w:hAnsi="Calibri" w:cs="Calibri"/>
                <w:b/>
                <w:bCs/>
                <w:sz w:val="16"/>
                <w:szCs w:val="16"/>
              </w:rPr>
            </w:pPr>
            <w:r w:rsidRPr="00416D67">
              <w:rPr>
                <w:rFonts w:ascii="Calibri" w:hAnsi="Calibri" w:cs="Calibri"/>
                <w:b/>
                <w:bCs/>
                <w:sz w:val="16"/>
                <w:szCs w:val="16"/>
              </w:rPr>
              <w:t>1.165.448,32</w:t>
            </w:r>
          </w:p>
        </w:tc>
        <w:tc>
          <w:tcPr>
            <w:tcW w:w="1280" w:type="dxa"/>
            <w:tcBorders>
              <w:top w:val="nil"/>
              <w:left w:val="nil"/>
              <w:bottom w:val="single" w:sz="4" w:space="0" w:color="808080"/>
              <w:right w:val="single" w:sz="4" w:space="0" w:color="808080"/>
            </w:tcBorders>
            <w:vAlign w:val="bottom"/>
            <w:hideMark/>
          </w:tcPr>
          <w:p w14:paraId="6228037B" w14:textId="77777777" w:rsidR="00416D67" w:rsidRPr="00416D67" w:rsidRDefault="00416D67" w:rsidP="00416D67">
            <w:pPr>
              <w:jc w:val="center"/>
              <w:rPr>
                <w:rFonts w:ascii="Calibri" w:hAnsi="Calibri" w:cs="Calibri"/>
                <w:b/>
                <w:bCs/>
                <w:sz w:val="16"/>
                <w:szCs w:val="16"/>
              </w:rPr>
            </w:pPr>
            <w:r w:rsidRPr="00416D67">
              <w:rPr>
                <w:rFonts w:ascii="Calibri" w:hAnsi="Calibri" w:cs="Calibri"/>
                <w:b/>
                <w:bCs/>
                <w:sz w:val="16"/>
                <w:szCs w:val="16"/>
              </w:rPr>
              <w:t>606.259,70</w:t>
            </w:r>
          </w:p>
        </w:tc>
        <w:tc>
          <w:tcPr>
            <w:tcW w:w="1260" w:type="dxa"/>
            <w:tcBorders>
              <w:top w:val="nil"/>
              <w:left w:val="nil"/>
              <w:bottom w:val="single" w:sz="4" w:space="0" w:color="808080"/>
              <w:right w:val="single" w:sz="4" w:space="0" w:color="808080"/>
            </w:tcBorders>
            <w:vAlign w:val="bottom"/>
            <w:hideMark/>
          </w:tcPr>
          <w:p w14:paraId="341A69B7" w14:textId="77777777" w:rsidR="00416D67" w:rsidRPr="00416D67" w:rsidRDefault="00416D67" w:rsidP="00416D67">
            <w:pPr>
              <w:jc w:val="center"/>
              <w:rPr>
                <w:rFonts w:ascii="Calibri" w:hAnsi="Calibri" w:cs="Calibri"/>
                <w:b/>
                <w:bCs/>
                <w:sz w:val="16"/>
                <w:szCs w:val="16"/>
              </w:rPr>
            </w:pPr>
            <w:r w:rsidRPr="00416D67">
              <w:rPr>
                <w:rFonts w:ascii="Calibri" w:hAnsi="Calibri" w:cs="Calibri"/>
                <w:b/>
                <w:bCs/>
                <w:sz w:val="16"/>
                <w:szCs w:val="16"/>
              </w:rPr>
              <w:t>559.188,62</w:t>
            </w:r>
          </w:p>
        </w:tc>
        <w:tc>
          <w:tcPr>
            <w:tcW w:w="1380" w:type="dxa"/>
            <w:tcBorders>
              <w:top w:val="nil"/>
              <w:left w:val="nil"/>
              <w:bottom w:val="single" w:sz="4" w:space="0" w:color="808080"/>
              <w:right w:val="single" w:sz="4" w:space="0" w:color="808080"/>
            </w:tcBorders>
            <w:vAlign w:val="bottom"/>
            <w:hideMark/>
          </w:tcPr>
          <w:p w14:paraId="745657C3" w14:textId="77777777" w:rsidR="00416D67" w:rsidRPr="00416D67" w:rsidRDefault="00416D67" w:rsidP="00416D67">
            <w:pPr>
              <w:jc w:val="center"/>
              <w:rPr>
                <w:rFonts w:ascii="Calibri" w:hAnsi="Calibri" w:cs="Calibri"/>
                <w:b/>
                <w:bCs/>
                <w:sz w:val="16"/>
                <w:szCs w:val="16"/>
              </w:rPr>
            </w:pPr>
            <w:r w:rsidRPr="00416D67">
              <w:rPr>
                <w:rFonts w:ascii="Calibri" w:hAnsi="Calibri" w:cs="Calibri"/>
                <w:b/>
                <w:bCs/>
                <w:sz w:val="16"/>
                <w:szCs w:val="16"/>
              </w:rPr>
              <w:t>185.581,74</w:t>
            </w:r>
          </w:p>
        </w:tc>
      </w:tr>
      <w:tr w:rsidR="00416D67" w:rsidRPr="00416D67" w14:paraId="64D4C9C9" w14:textId="77777777" w:rsidTr="00BB1392">
        <w:trPr>
          <w:trHeight w:val="188"/>
          <w:jc w:val="center"/>
        </w:trPr>
        <w:tc>
          <w:tcPr>
            <w:tcW w:w="1120" w:type="dxa"/>
            <w:tcBorders>
              <w:top w:val="nil"/>
              <w:left w:val="single" w:sz="4" w:space="0" w:color="808080"/>
              <w:bottom w:val="single" w:sz="4" w:space="0" w:color="808080"/>
              <w:right w:val="single" w:sz="4" w:space="0" w:color="808080"/>
            </w:tcBorders>
            <w:shd w:val="clear" w:color="000000" w:fill="BFBFBF"/>
            <w:noWrap/>
            <w:vAlign w:val="bottom"/>
            <w:hideMark/>
          </w:tcPr>
          <w:p w14:paraId="394E64DF" w14:textId="77777777" w:rsidR="00416D67" w:rsidRPr="00416D67" w:rsidRDefault="00416D67" w:rsidP="00416D67">
            <w:pPr>
              <w:jc w:val="center"/>
              <w:rPr>
                <w:rFonts w:ascii="Calibri" w:hAnsi="Calibri" w:cs="Calibri"/>
                <w:b/>
                <w:bCs/>
                <w:i/>
                <w:iCs/>
                <w:sz w:val="16"/>
                <w:szCs w:val="16"/>
              </w:rPr>
            </w:pPr>
            <w:r w:rsidRPr="00416D67">
              <w:rPr>
                <w:rFonts w:ascii="Calibri" w:hAnsi="Calibri" w:cs="Calibri"/>
                <w:b/>
                <w:bCs/>
                <w:i/>
                <w:iCs/>
                <w:sz w:val="16"/>
                <w:szCs w:val="16"/>
              </w:rPr>
              <w:t>161</w:t>
            </w:r>
          </w:p>
        </w:tc>
        <w:tc>
          <w:tcPr>
            <w:tcW w:w="3940" w:type="dxa"/>
            <w:tcBorders>
              <w:top w:val="nil"/>
              <w:left w:val="nil"/>
              <w:bottom w:val="single" w:sz="4" w:space="0" w:color="808080"/>
              <w:right w:val="single" w:sz="4" w:space="0" w:color="808080"/>
            </w:tcBorders>
            <w:shd w:val="clear" w:color="000000" w:fill="BFBFBF"/>
            <w:noWrap/>
            <w:vAlign w:val="bottom"/>
            <w:hideMark/>
          </w:tcPr>
          <w:p w14:paraId="0F807F27"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Potraživanja za poreze</w:t>
            </w:r>
          </w:p>
        </w:tc>
        <w:tc>
          <w:tcPr>
            <w:tcW w:w="1620" w:type="dxa"/>
            <w:tcBorders>
              <w:top w:val="nil"/>
              <w:left w:val="nil"/>
              <w:bottom w:val="single" w:sz="4" w:space="0" w:color="808080"/>
              <w:right w:val="single" w:sz="4" w:space="0" w:color="808080"/>
            </w:tcBorders>
            <w:shd w:val="clear" w:color="000000" w:fill="BFBFBF"/>
            <w:vAlign w:val="bottom"/>
            <w:hideMark/>
          </w:tcPr>
          <w:p w14:paraId="4F9AC13A"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170.481,09</w:t>
            </w:r>
          </w:p>
        </w:tc>
        <w:tc>
          <w:tcPr>
            <w:tcW w:w="1280" w:type="dxa"/>
            <w:tcBorders>
              <w:top w:val="nil"/>
              <w:left w:val="nil"/>
              <w:bottom w:val="single" w:sz="4" w:space="0" w:color="808080"/>
              <w:right w:val="single" w:sz="4" w:space="0" w:color="808080"/>
            </w:tcBorders>
            <w:shd w:val="clear" w:color="000000" w:fill="BFBFBF"/>
            <w:vAlign w:val="bottom"/>
            <w:hideMark/>
          </w:tcPr>
          <w:p w14:paraId="7EF3A189"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0,00</w:t>
            </w:r>
          </w:p>
        </w:tc>
        <w:tc>
          <w:tcPr>
            <w:tcW w:w="1260" w:type="dxa"/>
            <w:tcBorders>
              <w:top w:val="nil"/>
              <w:left w:val="nil"/>
              <w:bottom w:val="single" w:sz="4" w:space="0" w:color="808080"/>
              <w:right w:val="single" w:sz="4" w:space="0" w:color="808080"/>
            </w:tcBorders>
            <w:shd w:val="clear" w:color="000000" w:fill="BFBFBF"/>
            <w:vAlign w:val="bottom"/>
            <w:hideMark/>
          </w:tcPr>
          <w:p w14:paraId="6389124F"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170.481,09</w:t>
            </w:r>
          </w:p>
        </w:tc>
        <w:tc>
          <w:tcPr>
            <w:tcW w:w="1380" w:type="dxa"/>
            <w:tcBorders>
              <w:top w:val="nil"/>
              <w:left w:val="nil"/>
              <w:bottom w:val="single" w:sz="4" w:space="0" w:color="808080"/>
              <w:right w:val="single" w:sz="4" w:space="0" w:color="808080"/>
            </w:tcBorders>
            <w:shd w:val="clear" w:color="000000" w:fill="BFBFBF"/>
            <w:vAlign w:val="bottom"/>
            <w:hideMark/>
          </w:tcPr>
          <w:p w14:paraId="1C903F30"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71.403,26</w:t>
            </w:r>
          </w:p>
        </w:tc>
      </w:tr>
      <w:tr w:rsidR="00416D67" w:rsidRPr="00416D67" w14:paraId="0C9DACAF" w14:textId="77777777" w:rsidTr="00BB1392">
        <w:trPr>
          <w:trHeight w:val="119"/>
          <w:jc w:val="center"/>
        </w:trPr>
        <w:tc>
          <w:tcPr>
            <w:tcW w:w="1120" w:type="dxa"/>
            <w:tcBorders>
              <w:top w:val="nil"/>
              <w:left w:val="single" w:sz="4" w:space="0" w:color="808080"/>
              <w:bottom w:val="single" w:sz="4" w:space="0" w:color="808080"/>
              <w:right w:val="single" w:sz="4" w:space="0" w:color="808080"/>
            </w:tcBorders>
            <w:noWrap/>
            <w:vAlign w:val="bottom"/>
            <w:hideMark/>
          </w:tcPr>
          <w:p w14:paraId="524E0A72" w14:textId="77777777" w:rsidR="00416D67" w:rsidRPr="00416D67" w:rsidRDefault="00416D67" w:rsidP="00416D67">
            <w:pPr>
              <w:jc w:val="center"/>
              <w:rPr>
                <w:rFonts w:ascii="Calibri" w:hAnsi="Calibri" w:cs="Calibri"/>
                <w:b/>
                <w:bCs/>
                <w:i/>
                <w:iCs/>
                <w:sz w:val="16"/>
                <w:szCs w:val="16"/>
              </w:rPr>
            </w:pPr>
            <w:r w:rsidRPr="00416D67">
              <w:rPr>
                <w:rFonts w:ascii="Calibri" w:hAnsi="Calibri" w:cs="Calibri"/>
                <w:b/>
                <w:bCs/>
                <w:i/>
                <w:iCs/>
                <w:sz w:val="16"/>
                <w:szCs w:val="16"/>
              </w:rPr>
              <w:t>1613</w:t>
            </w:r>
          </w:p>
        </w:tc>
        <w:tc>
          <w:tcPr>
            <w:tcW w:w="3940" w:type="dxa"/>
            <w:tcBorders>
              <w:top w:val="nil"/>
              <w:left w:val="nil"/>
              <w:bottom w:val="single" w:sz="4" w:space="0" w:color="808080"/>
              <w:right w:val="single" w:sz="4" w:space="0" w:color="808080"/>
            </w:tcBorders>
            <w:noWrap/>
            <w:vAlign w:val="bottom"/>
            <w:hideMark/>
          </w:tcPr>
          <w:p w14:paraId="16F39CDF"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Porezi na imovinu</w:t>
            </w:r>
          </w:p>
        </w:tc>
        <w:tc>
          <w:tcPr>
            <w:tcW w:w="1620" w:type="dxa"/>
            <w:tcBorders>
              <w:top w:val="nil"/>
              <w:left w:val="nil"/>
              <w:bottom w:val="single" w:sz="4" w:space="0" w:color="808080"/>
              <w:right w:val="single" w:sz="4" w:space="0" w:color="808080"/>
            </w:tcBorders>
            <w:vAlign w:val="bottom"/>
            <w:hideMark/>
          </w:tcPr>
          <w:p w14:paraId="1AD5C83E"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170.996,61</w:t>
            </w:r>
          </w:p>
        </w:tc>
        <w:tc>
          <w:tcPr>
            <w:tcW w:w="1280" w:type="dxa"/>
            <w:tcBorders>
              <w:top w:val="nil"/>
              <w:left w:val="nil"/>
              <w:bottom w:val="single" w:sz="4" w:space="0" w:color="808080"/>
              <w:right w:val="single" w:sz="4" w:space="0" w:color="808080"/>
            </w:tcBorders>
            <w:vAlign w:val="bottom"/>
            <w:hideMark/>
          </w:tcPr>
          <w:p w14:paraId="166FB2F7"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0,00</w:t>
            </w:r>
          </w:p>
        </w:tc>
        <w:tc>
          <w:tcPr>
            <w:tcW w:w="1260" w:type="dxa"/>
            <w:tcBorders>
              <w:top w:val="nil"/>
              <w:left w:val="nil"/>
              <w:bottom w:val="single" w:sz="4" w:space="0" w:color="808080"/>
              <w:right w:val="single" w:sz="4" w:space="0" w:color="808080"/>
            </w:tcBorders>
            <w:vAlign w:val="bottom"/>
            <w:hideMark/>
          </w:tcPr>
          <w:p w14:paraId="5631694C"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170.996,61</w:t>
            </w:r>
          </w:p>
        </w:tc>
        <w:tc>
          <w:tcPr>
            <w:tcW w:w="1380" w:type="dxa"/>
            <w:tcBorders>
              <w:top w:val="nil"/>
              <w:left w:val="nil"/>
              <w:bottom w:val="single" w:sz="4" w:space="0" w:color="808080"/>
              <w:right w:val="single" w:sz="4" w:space="0" w:color="808080"/>
            </w:tcBorders>
            <w:vAlign w:val="bottom"/>
            <w:hideMark/>
          </w:tcPr>
          <w:p w14:paraId="40A171F5"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71.403,26</w:t>
            </w:r>
          </w:p>
        </w:tc>
      </w:tr>
      <w:tr w:rsidR="00416D67" w:rsidRPr="00416D67" w14:paraId="06F9F0CB" w14:textId="77777777" w:rsidTr="00BB1392">
        <w:trPr>
          <w:trHeight w:val="65"/>
          <w:jc w:val="center"/>
        </w:trPr>
        <w:tc>
          <w:tcPr>
            <w:tcW w:w="1120" w:type="dxa"/>
            <w:tcBorders>
              <w:top w:val="nil"/>
              <w:left w:val="single" w:sz="4" w:space="0" w:color="808080"/>
              <w:bottom w:val="single" w:sz="4" w:space="0" w:color="808080"/>
              <w:right w:val="single" w:sz="4" w:space="0" w:color="808080"/>
            </w:tcBorders>
            <w:noWrap/>
            <w:vAlign w:val="bottom"/>
            <w:hideMark/>
          </w:tcPr>
          <w:p w14:paraId="17F65F89" w14:textId="77777777" w:rsidR="00416D67" w:rsidRPr="00416D67" w:rsidRDefault="00416D67" w:rsidP="00416D67">
            <w:pPr>
              <w:jc w:val="center"/>
              <w:rPr>
                <w:rFonts w:ascii="Calibri" w:hAnsi="Calibri" w:cs="Calibri"/>
                <w:sz w:val="16"/>
                <w:szCs w:val="16"/>
              </w:rPr>
            </w:pPr>
            <w:r w:rsidRPr="00416D67">
              <w:rPr>
                <w:rFonts w:ascii="Calibri" w:hAnsi="Calibri" w:cs="Calibri"/>
                <w:sz w:val="16"/>
                <w:szCs w:val="16"/>
              </w:rPr>
              <w:t>161311</w:t>
            </w:r>
          </w:p>
        </w:tc>
        <w:tc>
          <w:tcPr>
            <w:tcW w:w="3940" w:type="dxa"/>
            <w:tcBorders>
              <w:top w:val="nil"/>
              <w:left w:val="nil"/>
              <w:bottom w:val="single" w:sz="4" w:space="0" w:color="808080"/>
              <w:right w:val="single" w:sz="4" w:space="0" w:color="808080"/>
            </w:tcBorders>
            <w:noWrap/>
            <w:vAlign w:val="bottom"/>
            <w:hideMark/>
          </w:tcPr>
          <w:p w14:paraId="61BBD9D1"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Potraživanje porez na kuće za odmor</w:t>
            </w:r>
          </w:p>
        </w:tc>
        <w:tc>
          <w:tcPr>
            <w:tcW w:w="1620" w:type="dxa"/>
            <w:tcBorders>
              <w:top w:val="nil"/>
              <w:left w:val="nil"/>
              <w:bottom w:val="single" w:sz="4" w:space="0" w:color="808080"/>
              <w:right w:val="single" w:sz="4" w:space="0" w:color="808080"/>
            </w:tcBorders>
            <w:noWrap/>
            <w:vAlign w:val="bottom"/>
            <w:hideMark/>
          </w:tcPr>
          <w:p w14:paraId="7EA018F7"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1.860,43</w:t>
            </w:r>
          </w:p>
        </w:tc>
        <w:tc>
          <w:tcPr>
            <w:tcW w:w="1280" w:type="dxa"/>
            <w:tcBorders>
              <w:top w:val="nil"/>
              <w:left w:val="nil"/>
              <w:bottom w:val="single" w:sz="4" w:space="0" w:color="808080"/>
              <w:right w:val="single" w:sz="4" w:space="0" w:color="808080"/>
            </w:tcBorders>
            <w:noWrap/>
            <w:vAlign w:val="bottom"/>
            <w:hideMark/>
          </w:tcPr>
          <w:p w14:paraId="5EEAA71A"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0,00</w:t>
            </w:r>
          </w:p>
        </w:tc>
        <w:tc>
          <w:tcPr>
            <w:tcW w:w="1260" w:type="dxa"/>
            <w:tcBorders>
              <w:top w:val="nil"/>
              <w:left w:val="nil"/>
              <w:bottom w:val="single" w:sz="4" w:space="0" w:color="808080"/>
              <w:right w:val="single" w:sz="4" w:space="0" w:color="808080"/>
            </w:tcBorders>
            <w:noWrap/>
            <w:vAlign w:val="bottom"/>
            <w:hideMark/>
          </w:tcPr>
          <w:p w14:paraId="6B197585"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1.860,43</w:t>
            </w:r>
          </w:p>
        </w:tc>
        <w:tc>
          <w:tcPr>
            <w:tcW w:w="1380" w:type="dxa"/>
            <w:tcBorders>
              <w:top w:val="nil"/>
              <w:left w:val="nil"/>
              <w:bottom w:val="single" w:sz="4" w:space="0" w:color="808080"/>
              <w:right w:val="single" w:sz="4" w:space="0" w:color="808080"/>
            </w:tcBorders>
            <w:noWrap/>
            <w:vAlign w:val="bottom"/>
            <w:hideMark/>
          </w:tcPr>
          <w:p w14:paraId="4ABE70CB"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0,00</w:t>
            </w:r>
          </w:p>
        </w:tc>
      </w:tr>
      <w:tr w:rsidR="00416D67" w:rsidRPr="00416D67" w14:paraId="1C4F61A2" w14:textId="77777777" w:rsidTr="00BB1392">
        <w:trPr>
          <w:trHeight w:val="125"/>
          <w:jc w:val="center"/>
        </w:trPr>
        <w:tc>
          <w:tcPr>
            <w:tcW w:w="1120" w:type="dxa"/>
            <w:tcBorders>
              <w:top w:val="nil"/>
              <w:left w:val="single" w:sz="4" w:space="0" w:color="808080"/>
              <w:bottom w:val="single" w:sz="4" w:space="0" w:color="808080"/>
              <w:right w:val="single" w:sz="4" w:space="0" w:color="808080"/>
            </w:tcBorders>
            <w:noWrap/>
            <w:vAlign w:val="bottom"/>
            <w:hideMark/>
          </w:tcPr>
          <w:p w14:paraId="3D975571" w14:textId="77777777" w:rsidR="00416D67" w:rsidRPr="00416D67" w:rsidRDefault="00416D67" w:rsidP="00416D67">
            <w:pPr>
              <w:jc w:val="center"/>
              <w:rPr>
                <w:rFonts w:ascii="Calibri" w:hAnsi="Calibri" w:cs="Calibri"/>
                <w:sz w:val="16"/>
                <w:szCs w:val="16"/>
              </w:rPr>
            </w:pPr>
            <w:r w:rsidRPr="00416D67">
              <w:rPr>
                <w:rFonts w:ascii="Calibri" w:hAnsi="Calibri" w:cs="Calibri"/>
                <w:sz w:val="16"/>
                <w:szCs w:val="16"/>
              </w:rPr>
              <w:t>1613120</w:t>
            </w:r>
          </w:p>
        </w:tc>
        <w:tc>
          <w:tcPr>
            <w:tcW w:w="3940" w:type="dxa"/>
            <w:tcBorders>
              <w:top w:val="nil"/>
              <w:left w:val="nil"/>
              <w:bottom w:val="single" w:sz="4" w:space="0" w:color="808080"/>
              <w:right w:val="single" w:sz="4" w:space="0" w:color="808080"/>
            </w:tcBorders>
            <w:noWrap/>
            <w:vAlign w:val="bottom"/>
            <w:hideMark/>
          </w:tcPr>
          <w:p w14:paraId="71B5A4A4"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Potraživanja porez na nekretnine 1400</w:t>
            </w:r>
          </w:p>
        </w:tc>
        <w:tc>
          <w:tcPr>
            <w:tcW w:w="1620" w:type="dxa"/>
            <w:tcBorders>
              <w:top w:val="nil"/>
              <w:left w:val="nil"/>
              <w:bottom w:val="single" w:sz="4" w:space="0" w:color="808080"/>
              <w:right w:val="single" w:sz="4" w:space="0" w:color="808080"/>
            </w:tcBorders>
            <w:noWrap/>
            <w:vAlign w:val="bottom"/>
            <w:hideMark/>
          </w:tcPr>
          <w:p w14:paraId="607A2A8D"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30.176,04</w:t>
            </w:r>
          </w:p>
        </w:tc>
        <w:tc>
          <w:tcPr>
            <w:tcW w:w="1280" w:type="dxa"/>
            <w:tcBorders>
              <w:top w:val="nil"/>
              <w:left w:val="nil"/>
              <w:bottom w:val="single" w:sz="4" w:space="0" w:color="808080"/>
              <w:right w:val="single" w:sz="4" w:space="0" w:color="808080"/>
            </w:tcBorders>
            <w:noWrap/>
            <w:vAlign w:val="bottom"/>
            <w:hideMark/>
          </w:tcPr>
          <w:p w14:paraId="49BF508B"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 </w:t>
            </w:r>
          </w:p>
        </w:tc>
        <w:tc>
          <w:tcPr>
            <w:tcW w:w="1260" w:type="dxa"/>
            <w:tcBorders>
              <w:top w:val="nil"/>
              <w:left w:val="nil"/>
              <w:bottom w:val="single" w:sz="4" w:space="0" w:color="808080"/>
              <w:right w:val="single" w:sz="4" w:space="0" w:color="808080"/>
            </w:tcBorders>
            <w:noWrap/>
            <w:vAlign w:val="bottom"/>
            <w:hideMark/>
          </w:tcPr>
          <w:p w14:paraId="4B81BEDC"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30.176,04</w:t>
            </w:r>
          </w:p>
        </w:tc>
        <w:tc>
          <w:tcPr>
            <w:tcW w:w="1380" w:type="dxa"/>
            <w:tcBorders>
              <w:top w:val="nil"/>
              <w:left w:val="nil"/>
              <w:bottom w:val="single" w:sz="4" w:space="0" w:color="808080"/>
              <w:right w:val="single" w:sz="4" w:space="0" w:color="808080"/>
            </w:tcBorders>
            <w:noWrap/>
            <w:vAlign w:val="bottom"/>
            <w:hideMark/>
          </w:tcPr>
          <w:p w14:paraId="4B83DA02"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 </w:t>
            </w:r>
          </w:p>
        </w:tc>
      </w:tr>
      <w:tr w:rsidR="00416D67" w:rsidRPr="00416D67" w14:paraId="24AFEBFF" w14:textId="77777777" w:rsidTr="00BB1392">
        <w:trPr>
          <w:trHeight w:val="64"/>
          <w:jc w:val="center"/>
        </w:trPr>
        <w:tc>
          <w:tcPr>
            <w:tcW w:w="1120" w:type="dxa"/>
            <w:tcBorders>
              <w:top w:val="nil"/>
              <w:left w:val="single" w:sz="4" w:space="0" w:color="808080"/>
              <w:bottom w:val="single" w:sz="4" w:space="0" w:color="808080"/>
              <w:right w:val="single" w:sz="4" w:space="0" w:color="808080"/>
            </w:tcBorders>
            <w:noWrap/>
            <w:vAlign w:val="bottom"/>
            <w:hideMark/>
          </w:tcPr>
          <w:p w14:paraId="2C6154B3" w14:textId="77777777" w:rsidR="00416D67" w:rsidRPr="00416D67" w:rsidRDefault="00416D67" w:rsidP="00416D67">
            <w:pPr>
              <w:jc w:val="center"/>
              <w:rPr>
                <w:rFonts w:ascii="Calibri" w:hAnsi="Calibri" w:cs="Calibri"/>
                <w:sz w:val="16"/>
                <w:szCs w:val="16"/>
              </w:rPr>
            </w:pPr>
            <w:r w:rsidRPr="00416D67">
              <w:rPr>
                <w:rFonts w:ascii="Calibri" w:hAnsi="Calibri" w:cs="Calibri"/>
                <w:sz w:val="16"/>
                <w:szCs w:val="16"/>
              </w:rPr>
              <w:t>161340</w:t>
            </w:r>
          </w:p>
        </w:tc>
        <w:tc>
          <w:tcPr>
            <w:tcW w:w="3940" w:type="dxa"/>
            <w:tcBorders>
              <w:top w:val="nil"/>
              <w:left w:val="nil"/>
              <w:bottom w:val="single" w:sz="4" w:space="0" w:color="808080"/>
              <w:right w:val="single" w:sz="4" w:space="0" w:color="808080"/>
            </w:tcBorders>
            <w:noWrap/>
            <w:vAlign w:val="bottom"/>
            <w:hideMark/>
          </w:tcPr>
          <w:p w14:paraId="2CFB307E"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Porez na promet nekretnina</w:t>
            </w:r>
          </w:p>
        </w:tc>
        <w:tc>
          <w:tcPr>
            <w:tcW w:w="1620" w:type="dxa"/>
            <w:tcBorders>
              <w:top w:val="nil"/>
              <w:left w:val="nil"/>
              <w:bottom w:val="single" w:sz="4" w:space="0" w:color="808080"/>
              <w:right w:val="single" w:sz="4" w:space="0" w:color="808080"/>
            </w:tcBorders>
            <w:noWrap/>
            <w:vAlign w:val="bottom"/>
            <w:hideMark/>
          </w:tcPr>
          <w:p w14:paraId="3B8026F8"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138.960,14</w:t>
            </w:r>
          </w:p>
        </w:tc>
        <w:tc>
          <w:tcPr>
            <w:tcW w:w="1280" w:type="dxa"/>
            <w:tcBorders>
              <w:top w:val="nil"/>
              <w:left w:val="nil"/>
              <w:bottom w:val="single" w:sz="4" w:space="0" w:color="808080"/>
              <w:right w:val="single" w:sz="4" w:space="0" w:color="808080"/>
            </w:tcBorders>
            <w:noWrap/>
            <w:vAlign w:val="bottom"/>
            <w:hideMark/>
          </w:tcPr>
          <w:p w14:paraId="3E63BFBA"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0,00</w:t>
            </w:r>
          </w:p>
        </w:tc>
        <w:tc>
          <w:tcPr>
            <w:tcW w:w="1260" w:type="dxa"/>
            <w:tcBorders>
              <w:top w:val="nil"/>
              <w:left w:val="nil"/>
              <w:bottom w:val="single" w:sz="4" w:space="0" w:color="808080"/>
              <w:right w:val="single" w:sz="4" w:space="0" w:color="808080"/>
            </w:tcBorders>
            <w:noWrap/>
            <w:vAlign w:val="bottom"/>
            <w:hideMark/>
          </w:tcPr>
          <w:p w14:paraId="13BF0EED"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138.960,14</w:t>
            </w:r>
          </w:p>
        </w:tc>
        <w:tc>
          <w:tcPr>
            <w:tcW w:w="1380" w:type="dxa"/>
            <w:tcBorders>
              <w:top w:val="nil"/>
              <w:left w:val="nil"/>
              <w:bottom w:val="single" w:sz="4" w:space="0" w:color="808080"/>
              <w:right w:val="single" w:sz="4" w:space="0" w:color="808080"/>
            </w:tcBorders>
            <w:noWrap/>
            <w:vAlign w:val="bottom"/>
            <w:hideMark/>
          </w:tcPr>
          <w:p w14:paraId="23AC5119"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71.403,26</w:t>
            </w:r>
          </w:p>
        </w:tc>
      </w:tr>
      <w:tr w:rsidR="00416D67" w:rsidRPr="00416D67" w14:paraId="7D04C65E" w14:textId="77777777" w:rsidTr="00BB1392">
        <w:trPr>
          <w:trHeight w:val="145"/>
          <w:jc w:val="center"/>
        </w:trPr>
        <w:tc>
          <w:tcPr>
            <w:tcW w:w="1120" w:type="dxa"/>
            <w:tcBorders>
              <w:top w:val="nil"/>
              <w:left w:val="single" w:sz="4" w:space="0" w:color="808080"/>
              <w:bottom w:val="single" w:sz="4" w:space="0" w:color="808080"/>
              <w:right w:val="single" w:sz="4" w:space="0" w:color="808080"/>
            </w:tcBorders>
            <w:noWrap/>
            <w:vAlign w:val="bottom"/>
            <w:hideMark/>
          </w:tcPr>
          <w:p w14:paraId="0BFD6D28" w14:textId="77777777" w:rsidR="00416D67" w:rsidRPr="00416D67" w:rsidRDefault="00416D67" w:rsidP="00416D67">
            <w:pPr>
              <w:jc w:val="center"/>
              <w:rPr>
                <w:rFonts w:ascii="Calibri" w:hAnsi="Calibri" w:cs="Calibri"/>
                <w:b/>
                <w:bCs/>
                <w:i/>
                <w:iCs/>
                <w:sz w:val="16"/>
                <w:szCs w:val="16"/>
              </w:rPr>
            </w:pPr>
            <w:r w:rsidRPr="00416D67">
              <w:rPr>
                <w:rFonts w:ascii="Calibri" w:hAnsi="Calibri" w:cs="Calibri"/>
                <w:b/>
                <w:bCs/>
                <w:i/>
                <w:iCs/>
                <w:sz w:val="16"/>
                <w:szCs w:val="16"/>
              </w:rPr>
              <w:t>1614</w:t>
            </w:r>
          </w:p>
        </w:tc>
        <w:tc>
          <w:tcPr>
            <w:tcW w:w="3940" w:type="dxa"/>
            <w:tcBorders>
              <w:top w:val="nil"/>
              <w:left w:val="nil"/>
              <w:bottom w:val="single" w:sz="4" w:space="0" w:color="808080"/>
              <w:right w:val="single" w:sz="4" w:space="0" w:color="808080"/>
            </w:tcBorders>
            <w:noWrap/>
            <w:vAlign w:val="bottom"/>
            <w:hideMark/>
          </w:tcPr>
          <w:p w14:paraId="14515101"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Porezi na robu i usluge</w:t>
            </w:r>
          </w:p>
        </w:tc>
        <w:tc>
          <w:tcPr>
            <w:tcW w:w="1620" w:type="dxa"/>
            <w:tcBorders>
              <w:top w:val="nil"/>
              <w:left w:val="nil"/>
              <w:bottom w:val="single" w:sz="4" w:space="0" w:color="808080"/>
              <w:right w:val="single" w:sz="4" w:space="0" w:color="808080"/>
            </w:tcBorders>
            <w:noWrap/>
            <w:vAlign w:val="bottom"/>
            <w:hideMark/>
          </w:tcPr>
          <w:p w14:paraId="0E9D530E"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-515,52</w:t>
            </w:r>
          </w:p>
        </w:tc>
        <w:tc>
          <w:tcPr>
            <w:tcW w:w="1280" w:type="dxa"/>
            <w:tcBorders>
              <w:top w:val="nil"/>
              <w:left w:val="nil"/>
              <w:bottom w:val="single" w:sz="4" w:space="0" w:color="808080"/>
              <w:right w:val="single" w:sz="4" w:space="0" w:color="808080"/>
            </w:tcBorders>
            <w:noWrap/>
            <w:vAlign w:val="bottom"/>
            <w:hideMark/>
          </w:tcPr>
          <w:p w14:paraId="448802B2"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0,00</w:t>
            </w:r>
          </w:p>
        </w:tc>
        <w:tc>
          <w:tcPr>
            <w:tcW w:w="1260" w:type="dxa"/>
            <w:tcBorders>
              <w:top w:val="nil"/>
              <w:left w:val="nil"/>
              <w:bottom w:val="single" w:sz="4" w:space="0" w:color="808080"/>
              <w:right w:val="single" w:sz="4" w:space="0" w:color="808080"/>
            </w:tcBorders>
            <w:noWrap/>
            <w:vAlign w:val="bottom"/>
            <w:hideMark/>
          </w:tcPr>
          <w:p w14:paraId="30DC52DD"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-515,52</w:t>
            </w:r>
          </w:p>
        </w:tc>
        <w:tc>
          <w:tcPr>
            <w:tcW w:w="1380" w:type="dxa"/>
            <w:tcBorders>
              <w:top w:val="nil"/>
              <w:left w:val="nil"/>
              <w:bottom w:val="single" w:sz="4" w:space="0" w:color="808080"/>
              <w:right w:val="single" w:sz="4" w:space="0" w:color="808080"/>
            </w:tcBorders>
            <w:noWrap/>
            <w:vAlign w:val="bottom"/>
            <w:hideMark/>
          </w:tcPr>
          <w:p w14:paraId="0F63A6DB"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 </w:t>
            </w:r>
          </w:p>
        </w:tc>
      </w:tr>
      <w:tr w:rsidR="00416D67" w:rsidRPr="00416D67" w14:paraId="49081ECA" w14:textId="77777777" w:rsidTr="00BB1392">
        <w:trPr>
          <w:trHeight w:val="78"/>
          <w:jc w:val="center"/>
        </w:trPr>
        <w:tc>
          <w:tcPr>
            <w:tcW w:w="1120" w:type="dxa"/>
            <w:tcBorders>
              <w:top w:val="nil"/>
              <w:left w:val="single" w:sz="4" w:space="0" w:color="808080"/>
              <w:bottom w:val="single" w:sz="4" w:space="0" w:color="808080"/>
              <w:right w:val="single" w:sz="4" w:space="0" w:color="808080"/>
            </w:tcBorders>
            <w:noWrap/>
            <w:vAlign w:val="bottom"/>
            <w:hideMark/>
          </w:tcPr>
          <w:p w14:paraId="3B3B07CC" w14:textId="77777777" w:rsidR="00416D67" w:rsidRPr="00416D67" w:rsidRDefault="00416D67" w:rsidP="00416D67">
            <w:pPr>
              <w:jc w:val="center"/>
              <w:rPr>
                <w:rFonts w:ascii="Calibri" w:hAnsi="Calibri" w:cs="Calibri"/>
                <w:sz w:val="16"/>
                <w:szCs w:val="16"/>
              </w:rPr>
            </w:pPr>
            <w:r w:rsidRPr="00416D67">
              <w:rPr>
                <w:rFonts w:ascii="Calibri" w:hAnsi="Calibri" w:cs="Calibri"/>
                <w:sz w:val="16"/>
                <w:szCs w:val="16"/>
              </w:rPr>
              <w:t>161421</w:t>
            </w:r>
          </w:p>
        </w:tc>
        <w:tc>
          <w:tcPr>
            <w:tcW w:w="3940" w:type="dxa"/>
            <w:tcBorders>
              <w:top w:val="nil"/>
              <w:left w:val="nil"/>
              <w:bottom w:val="single" w:sz="4" w:space="0" w:color="808080"/>
              <w:right w:val="single" w:sz="4" w:space="0" w:color="808080"/>
            </w:tcBorders>
            <w:noWrap/>
            <w:vAlign w:val="bottom"/>
            <w:hideMark/>
          </w:tcPr>
          <w:p w14:paraId="62A6FC7E"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Potraživanje za porez na potrošnju</w:t>
            </w:r>
          </w:p>
        </w:tc>
        <w:tc>
          <w:tcPr>
            <w:tcW w:w="1620" w:type="dxa"/>
            <w:tcBorders>
              <w:top w:val="nil"/>
              <w:left w:val="nil"/>
              <w:bottom w:val="single" w:sz="4" w:space="0" w:color="808080"/>
              <w:right w:val="single" w:sz="4" w:space="0" w:color="808080"/>
            </w:tcBorders>
            <w:noWrap/>
            <w:vAlign w:val="bottom"/>
            <w:hideMark/>
          </w:tcPr>
          <w:p w14:paraId="3B315061"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-275,56</w:t>
            </w:r>
          </w:p>
        </w:tc>
        <w:tc>
          <w:tcPr>
            <w:tcW w:w="1280" w:type="dxa"/>
            <w:tcBorders>
              <w:top w:val="nil"/>
              <w:left w:val="nil"/>
              <w:bottom w:val="single" w:sz="4" w:space="0" w:color="808080"/>
              <w:right w:val="single" w:sz="4" w:space="0" w:color="808080"/>
            </w:tcBorders>
            <w:noWrap/>
            <w:vAlign w:val="bottom"/>
            <w:hideMark/>
          </w:tcPr>
          <w:p w14:paraId="6DE57493"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0,00</w:t>
            </w:r>
          </w:p>
        </w:tc>
        <w:tc>
          <w:tcPr>
            <w:tcW w:w="1260" w:type="dxa"/>
            <w:tcBorders>
              <w:top w:val="nil"/>
              <w:left w:val="nil"/>
              <w:bottom w:val="single" w:sz="4" w:space="0" w:color="808080"/>
              <w:right w:val="single" w:sz="4" w:space="0" w:color="808080"/>
            </w:tcBorders>
            <w:noWrap/>
            <w:vAlign w:val="bottom"/>
            <w:hideMark/>
          </w:tcPr>
          <w:p w14:paraId="16B6155B"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-275,56</w:t>
            </w:r>
          </w:p>
        </w:tc>
        <w:tc>
          <w:tcPr>
            <w:tcW w:w="1380" w:type="dxa"/>
            <w:tcBorders>
              <w:top w:val="nil"/>
              <w:left w:val="nil"/>
              <w:bottom w:val="single" w:sz="4" w:space="0" w:color="808080"/>
              <w:right w:val="single" w:sz="4" w:space="0" w:color="808080"/>
            </w:tcBorders>
            <w:noWrap/>
            <w:vAlign w:val="bottom"/>
            <w:hideMark/>
          </w:tcPr>
          <w:p w14:paraId="625DF18A"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 </w:t>
            </w:r>
          </w:p>
        </w:tc>
      </w:tr>
      <w:tr w:rsidR="00416D67" w:rsidRPr="00416D67" w14:paraId="1C9839C3" w14:textId="77777777" w:rsidTr="00BB1392">
        <w:trPr>
          <w:trHeight w:val="64"/>
          <w:jc w:val="center"/>
        </w:trPr>
        <w:tc>
          <w:tcPr>
            <w:tcW w:w="1120" w:type="dxa"/>
            <w:tcBorders>
              <w:top w:val="nil"/>
              <w:left w:val="single" w:sz="4" w:space="0" w:color="808080"/>
              <w:bottom w:val="single" w:sz="4" w:space="0" w:color="808080"/>
              <w:right w:val="single" w:sz="4" w:space="0" w:color="808080"/>
            </w:tcBorders>
            <w:noWrap/>
            <w:vAlign w:val="bottom"/>
            <w:hideMark/>
          </w:tcPr>
          <w:p w14:paraId="5791F530" w14:textId="77777777" w:rsidR="00416D67" w:rsidRPr="00416D67" w:rsidRDefault="00416D67" w:rsidP="00416D67">
            <w:pPr>
              <w:jc w:val="center"/>
              <w:rPr>
                <w:rFonts w:ascii="Calibri" w:hAnsi="Calibri" w:cs="Calibri"/>
                <w:sz w:val="16"/>
                <w:szCs w:val="16"/>
              </w:rPr>
            </w:pPr>
            <w:r w:rsidRPr="00416D67">
              <w:rPr>
                <w:rFonts w:ascii="Calibri" w:hAnsi="Calibri" w:cs="Calibri"/>
                <w:sz w:val="16"/>
                <w:szCs w:val="16"/>
              </w:rPr>
              <w:t>161451</w:t>
            </w:r>
          </w:p>
        </w:tc>
        <w:tc>
          <w:tcPr>
            <w:tcW w:w="3940" w:type="dxa"/>
            <w:tcBorders>
              <w:top w:val="nil"/>
              <w:left w:val="nil"/>
              <w:bottom w:val="single" w:sz="4" w:space="0" w:color="808080"/>
              <w:right w:val="single" w:sz="4" w:space="0" w:color="808080"/>
            </w:tcBorders>
            <w:noWrap/>
            <w:vAlign w:val="bottom"/>
            <w:hideMark/>
          </w:tcPr>
          <w:p w14:paraId="1578090F"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Potraživanje za porez na tvrtku</w:t>
            </w:r>
          </w:p>
        </w:tc>
        <w:tc>
          <w:tcPr>
            <w:tcW w:w="1620" w:type="dxa"/>
            <w:tcBorders>
              <w:top w:val="nil"/>
              <w:left w:val="nil"/>
              <w:bottom w:val="single" w:sz="4" w:space="0" w:color="808080"/>
              <w:right w:val="single" w:sz="4" w:space="0" w:color="808080"/>
            </w:tcBorders>
            <w:noWrap/>
            <w:vAlign w:val="bottom"/>
            <w:hideMark/>
          </w:tcPr>
          <w:p w14:paraId="39003707"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-239,96</w:t>
            </w:r>
          </w:p>
        </w:tc>
        <w:tc>
          <w:tcPr>
            <w:tcW w:w="1280" w:type="dxa"/>
            <w:tcBorders>
              <w:top w:val="nil"/>
              <w:left w:val="nil"/>
              <w:bottom w:val="single" w:sz="4" w:space="0" w:color="808080"/>
              <w:right w:val="single" w:sz="4" w:space="0" w:color="808080"/>
            </w:tcBorders>
            <w:noWrap/>
            <w:vAlign w:val="bottom"/>
            <w:hideMark/>
          </w:tcPr>
          <w:p w14:paraId="584BD252"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0,00</w:t>
            </w:r>
          </w:p>
        </w:tc>
        <w:tc>
          <w:tcPr>
            <w:tcW w:w="1260" w:type="dxa"/>
            <w:tcBorders>
              <w:top w:val="nil"/>
              <w:left w:val="nil"/>
              <w:bottom w:val="single" w:sz="4" w:space="0" w:color="808080"/>
              <w:right w:val="single" w:sz="4" w:space="0" w:color="808080"/>
            </w:tcBorders>
            <w:noWrap/>
            <w:vAlign w:val="bottom"/>
            <w:hideMark/>
          </w:tcPr>
          <w:p w14:paraId="6FD07844"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-239,96</w:t>
            </w:r>
          </w:p>
        </w:tc>
        <w:tc>
          <w:tcPr>
            <w:tcW w:w="1380" w:type="dxa"/>
            <w:tcBorders>
              <w:top w:val="nil"/>
              <w:left w:val="nil"/>
              <w:bottom w:val="single" w:sz="4" w:space="0" w:color="808080"/>
              <w:right w:val="single" w:sz="4" w:space="0" w:color="808080"/>
            </w:tcBorders>
            <w:noWrap/>
            <w:vAlign w:val="bottom"/>
            <w:hideMark/>
          </w:tcPr>
          <w:p w14:paraId="2BA2B8CC"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 </w:t>
            </w:r>
          </w:p>
        </w:tc>
      </w:tr>
      <w:tr w:rsidR="00416D67" w:rsidRPr="00416D67" w14:paraId="21DB2990" w14:textId="77777777" w:rsidTr="00BB1392">
        <w:trPr>
          <w:trHeight w:val="79"/>
          <w:jc w:val="center"/>
        </w:trPr>
        <w:tc>
          <w:tcPr>
            <w:tcW w:w="1120" w:type="dxa"/>
            <w:tcBorders>
              <w:top w:val="nil"/>
              <w:left w:val="single" w:sz="4" w:space="0" w:color="808080"/>
              <w:bottom w:val="single" w:sz="4" w:space="0" w:color="808080"/>
              <w:right w:val="single" w:sz="4" w:space="0" w:color="808080"/>
            </w:tcBorders>
            <w:shd w:val="clear" w:color="000000" w:fill="BFBFBF"/>
            <w:noWrap/>
            <w:vAlign w:val="bottom"/>
            <w:hideMark/>
          </w:tcPr>
          <w:p w14:paraId="16ECA48A" w14:textId="77777777" w:rsidR="00416D67" w:rsidRPr="00416D67" w:rsidRDefault="00416D67" w:rsidP="00416D67">
            <w:pPr>
              <w:jc w:val="center"/>
              <w:rPr>
                <w:rFonts w:ascii="Calibri" w:hAnsi="Calibri" w:cs="Calibri"/>
                <w:b/>
                <w:bCs/>
                <w:i/>
                <w:iCs/>
                <w:sz w:val="16"/>
                <w:szCs w:val="16"/>
              </w:rPr>
            </w:pPr>
            <w:r w:rsidRPr="00416D67">
              <w:rPr>
                <w:rFonts w:ascii="Calibri" w:hAnsi="Calibri" w:cs="Calibri"/>
                <w:b/>
                <w:bCs/>
                <w:i/>
                <w:iCs/>
                <w:sz w:val="16"/>
                <w:szCs w:val="16"/>
              </w:rPr>
              <w:t>163</w:t>
            </w:r>
          </w:p>
        </w:tc>
        <w:tc>
          <w:tcPr>
            <w:tcW w:w="3940" w:type="dxa"/>
            <w:tcBorders>
              <w:top w:val="nil"/>
              <w:left w:val="nil"/>
              <w:bottom w:val="single" w:sz="4" w:space="0" w:color="808080"/>
              <w:right w:val="single" w:sz="4" w:space="0" w:color="808080"/>
            </w:tcBorders>
            <w:shd w:val="clear" w:color="000000" w:fill="BFBFBF"/>
            <w:noWrap/>
            <w:vAlign w:val="bottom"/>
            <w:hideMark/>
          </w:tcPr>
          <w:p w14:paraId="0F710C8A"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Potraživanja za pomoći proračunu</w:t>
            </w:r>
          </w:p>
        </w:tc>
        <w:tc>
          <w:tcPr>
            <w:tcW w:w="1620" w:type="dxa"/>
            <w:tcBorders>
              <w:top w:val="nil"/>
              <w:left w:val="nil"/>
              <w:bottom w:val="single" w:sz="4" w:space="0" w:color="808080"/>
              <w:right w:val="single" w:sz="4" w:space="0" w:color="808080"/>
            </w:tcBorders>
            <w:shd w:val="clear" w:color="000000" w:fill="BFBFBF"/>
            <w:vAlign w:val="bottom"/>
            <w:hideMark/>
          </w:tcPr>
          <w:p w14:paraId="7EFACBC4"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42.939,95</w:t>
            </w:r>
          </w:p>
        </w:tc>
        <w:tc>
          <w:tcPr>
            <w:tcW w:w="1280" w:type="dxa"/>
            <w:tcBorders>
              <w:top w:val="nil"/>
              <w:left w:val="nil"/>
              <w:bottom w:val="single" w:sz="4" w:space="0" w:color="808080"/>
              <w:right w:val="single" w:sz="4" w:space="0" w:color="808080"/>
            </w:tcBorders>
            <w:shd w:val="clear" w:color="000000" w:fill="BFBFBF"/>
            <w:vAlign w:val="bottom"/>
            <w:hideMark/>
          </w:tcPr>
          <w:p w14:paraId="766822E6"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42.939,95</w:t>
            </w:r>
          </w:p>
        </w:tc>
        <w:tc>
          <w:tcPr>
            <w:tcW w:w="1260" w:type="dxa"/>
            <w:tcBorders>
              <w:top w:val="nil"/>
              <w:left w:val="nil"/>
              <w:bottom w:val="single" w:sz="4" w:space="0" w:color="808080"/>
              <w:right w:val="single" w:sz="4" w:space="0" w:color="808080"/>
            </w:tcBorders>
            <w:shd w:val="clear" w:color="000000" w:fill="BFBFBF"/>
            <w:vAlign w:val="bottom"/>
            <w:hideMark/>
          </w:tcPr>
          <w:p w14:paraId="140FC5C5"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 </w:t>
            </w:r>
          </w:p>
        </w:tc>
        <w:tc>
          <w:tcPr>
            <w:tcW w:w="1380" w:type="dxa"/>
            <w:tcBorders>
              <w:top w:val="nil"/>
              <w:left w:val="nil"/>
              <w:bottom w:val="single" w:sz="4" w:space="0" w:color="808080"/>
              <w:right w:val="single" w:sz="4" w:space="0" w:color="808080"/>
            </w:tcBorders>
            <w:shd w:val="clear" w:color="000000" w:fill="BFBFBF"/>
            <w:vAlign w:val="bottom"/>
            <w:hideMark/>
          </w:tcPr>
          <w:p w14:paraId="3C22E5EB"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 </w:t>
            </w:r>
          </w:p>
        </w:tc>
      </w:tr>
      <w:tr w:rsidR="00416D67" w:rsidRPr="00416D67" w14:paraId="14360A23" w14:textId="77777777" w:rsidTr="00BB1392">
        <w:trPr>
          <w:trHeight w:val="183"/>
          <w:jc w:val="center"/>
        </w:trPr>
        <w:tc>
          <w:tcPr>
            <w:tcW w:w="1120" w:type="dxa"/>
            <w:tcBorders>
              <w:top w:val="nil"/>
              <w:left w:val="single" w:sz="4" w:space="0" w:color="808080"/>
              <w:bottom w:val="single" w:sz="4" w:space="0" w:color="808080"/>
              <w:right w:val="single" w:sz="4" w:space="0" w:color="808080"/>
            </w:tcBorders>
            <w:noWrap/>
            <w:vAlign w:val="bottom"/>
            <w:hideMark/>
          </w:tcPr>
          <w:p w14:paraId="6FD62DD6" w14:textId="77777777" w:rsidR="00416D67" w:rsidRPr="00416D67" w:rsidRDefault="00416D67" w:rsidP="00416D67">
            <w:pPr>
              <w:jc w:val="center"/>
              <w:rPr>
                <w:rFonts w:ascii="Calibri" w:hAnsi="Calibri" w:cs="Calibri"/>
                <w:b/>
                <w:bCs/>
                <w:i/>
                <w:iCs/>
                <w:sz w:val="16"/>
                <w:szCs w:val="16"/>
              </w:rPr>
            </w:pPr>
            <w:r w:rsidRPr="00416D67">
              <w:rPr>
                <w:rFonts w:ascii="Calibri" w:hAnsi="Calibri" w:cs="Calibri"/>
                <w:b/>
                <w:bCs/>
                <w:i/>
                <w:iCs/>
                <w:sz w:val="16"/>
                <w:szCs w:val="16"/>
              </w:rPr>
              <w:t>16331</w:t>
            </w:r>
          </w:p>
        </w:tc>
        <w:tc>
          <w:tcPr>
            <w:tcW w:w="3940" w:type="dxa"/>
            <w:tcBorders>
              <w:top w:val="nil"/>
              <w:left w:val="nil"/>
              <w:bottom w:val="single" w:sz="4" w:space="0" w:color="808080"/>
              <w:right w:val="single" w:sz="4" w:space="0" w:color="808080"/>
            </w:tcBorders>
            <w:noWrap/>
            <w:vAlign w:val="bottom"/>
            <w:hideMark/>
          </w:tcPr>
          <w:p w14:paraId="06A9513F"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Potraživanje proračuna za tekuće pomoći</w:t>
            </w:r>
          </w:p>
        </w:tc>
        <w:tc>
          <w:tcPr>
            <w:tcW w:w="1620" w:type="dxa"/>
            <w:tcBorders>
              <w:top w:val="nil"/>
              <w:left w:val="nil"/>
              <w:bottom w:val="single" w:sz="4" w:space="0" w:color="808080"/>
              <w:right w:val="single" w:sz="4" w:space="0" w:color="808080"/>
            </w:tcBorders>
            <w:vAlign w:val="bottom"/>
            <w:hideMark/>
          </w:tcPr>
          <w:p w14:paraId="289EA3F2"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10.939,95</w:t>
            </w:r>
          </w:p>
        </w:tc>
        <w:tc>
          <w:tcPr>
            <w:tcW w:w="1280" w:type="dxa"/>
            <w:tcBorders>
              <w:top w:val="nil"/>
              <w:left w:val="nil"/>
              <w:bottom w:val="single" w:sz="4" w:space="0" w:color="808080"/>
              <w:right w:val="single" w:sz="4" w:space="0" w:color="808080"/>
            </w:tcBorders>
            <w:vAlign w:val="bottom"/>
            <w:hideMark/>
          </w:tcPr>
          <w:p w14:paraId="69044E62"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10.939,95</w:t>
            </w:r>
          </w:p>
        </w:tc>
        <w:tc>
          <w:tcPr>
            <w:tcW w:w="1260" w:type="dxa"/>
            <w:tcBorders>
              <w:top w:val="nil"/>
              <w:left w:val="nil"/>
              <w:bottom w:val="single" w:sz="4" w:space="0" w:color="808080"/>
              <w:right w:val="single" w:sz="4" w:space="0" w:color="808080"/>
            </w:tcBorders>
            <w:vAlign w:val="bottom"/>
            <w:hideMark/>
          </w:tcPr>
          <w:p w14:paraId="653FECC7"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 </w:t>
            </w:r>
          </w:p>
        </w:tc>
        <w:tc>
          <w:tcPr>
            <w:tcW w:w="1380" w:type="dxa"/>
            <w:tcBorders>
              <w:top w:val="nil"/>
              <w:left w:val="nil"/>
              <w:bottom w:val="single" w:sz="4" w:space="0" w:color="808080"/>
              <w:right w:val="single" w:sz="4" w:space="0" w:color="808080"/>
            </w:tcBorders>
            <w:vAlign w:val="bottom"/>
            <w:hideMark/>
          </w:tcPr>
          <w:p w14:paraId="606B6CB3"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 </w:t>
            </w:r>
          </w:p>
        </w:tc>
      </w:tr>
      <w:tr w:rsidR="00416D67" w:rsidRPr="00416D67" w14:paraId="58098AD8" w14:textId="77777777" w:rsidTr="00BB1392">
        <w:trPr>
          <w:trHeight w:val="159"/>
          <w:jc w:val="center"/>
        </w:trPr>
        <w:tc>
          <w:tcPr>
            <w:tcW w:w="1120" w:type="dxa"/>
            <w:tcBorders>
              <w:top w:val="nil"/>
              <w:left w:val="single" w:sz="4" w:space="0" w:color="808080"/>
              <w:bottom w:val="single" w:sz="4" w:space="0" w:color="808080"/>
              <w:right w:val="single" w:sz="4" w:space="0" w:color="808080"/>
            </w:tcBorders>
            <w:noWrap/>
            <w:vAlign w:val="bottom"/>
            <w:hideMark/>
          </w:tcPr>
          <w:p w14:paraId="782FA4E6" w14:textId="77777777" w:rsidR="00416D67" w:rsidRPr="00416D67" w:rsidRDefault="00416D67" w:rsidP="00416D67">
            <w:pPr>
              <w:jc w:val="center"/>
              <w:rPr>
                <w:rFonts w:ascii="Calibri" w:hAnsi="Calibri" w:cs="Calibri"/>
                <w:sz w:val="16"/>
                <w:szCs w:val="16"/>
              </w:rPr>
            </w:pPr>
            <w:r w:rsidRPr="00416D67">
              <w:rPr>
                <w:rFonts w:ascii="Calibri" w:hAnsi="Calibri" w:cs="Calibri"/>
                <w:sz w:val="16"/>
                <w:szCs w:val="16"/>
              </w:rPr>
              <w:t>163310</w:t>
            </w:r>
          </w:p>
        </w:tc>
        <w:tc>
          <w:tcPr>
            <w:tcW w:w="3940" w:type="dxa"/>
            <w:tcBorders>
              <w:top w:val="nil"/>
              <w:left w:val="nil"/>
              <w:bottom w:val="single" w:sz="4" w:space="0" w:color="808080"/>
              <w:right w:val="single" w:sz="4" w:space="0" w:color="808080"/>
            </w:tcBorders>
            <w:noWrap/>
            <w:vAlign w:val="bottom"/>
            <w:hideMark/>
          </w:tcPr>
          <w:p w14:paraId="56D5F0A2"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Potraživanja proračuna za tekuće pomoći</w:t>
            </w:r>
          </w:p>
        </w:tc>
        <w:tc>
          <w:tcPr>
            <w:tcW w:w="1620" w:type="dxa"/>
            <w:tcBorders>
              <w:top w:val="nil"/>
              <w:left w:val="nil"/>
              <w:bottom w:val="single" w:sz="4" w:space="0" w:color="808080"/>
              <w:right w:val="single" w:sz="4" w:space="0" w:color="808080"/>
            </w:tcBorders>
            <w:noWrap/>
            <w:vAlign w:val="bottom"/>
            <w:hideMark/>
          </w:tcPr>
          <w:p w14:paraId="687D520A"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3.353,00</w:t>
            </w:r>
          </w:p>
        </w:tc>
        <w:tc>
          <w:tcPr>
            <w:tcW w:w="1280" w:type="dxa"/>
            <w:tcBorders>
              <w:top w:val="nil"/>
              <w:left w:val="nil"/>
              <w:bottom w:val="single" w:sz="4" w:space="0" w:color="808080"/>
              <w:right w:val="single" w:sz="4" w:space="0" w:color="808080"/>
            </w:tcBorders>
            <w:noWrap/>
            <w:vAlign w:val="bottom"/>
            <w:hideMark/>
          </w:tcPr>
          <w:p w14:paraId="2AC125A5"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3.353,00</w:t>
            </w:r>
          </w:p>
        </w:tc>
        <w:tc>
          <w:tcPr>
            <w:tcW w:w="1260" w:type="dxa"/>
            <w:tcBorders>
              <w:top w:val="nil"/>
              <w:left w:val="nil"/>
              <w:bottom w:val="single" w:sz="4" w:space="0" w:color="808080"/>
              <w:right w:val="single" w:sz="4" w:space="0" w:color="808080"/>
            </w:tcBorders>
            <w:noWrap/>
            <w:vAlign w:val="bottom"/>
            <w:hideMark/>
          </w:tcPr>
          <w:p w14:paraId="4ECE06E1"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 </w:t>
            </w:r>
          </w:p>
        </w:tc>
        <w:tc>
          <w:tcPr>
            <w:tcW w:w="1380" w:type="dxa"/>
            <w:tcBorders>
              <w:top w:val="nil"/>
              <w:left w:val="nil"/>
              <w:bottom w:val="single" w:sz="4" w:space="0" w:color="808080"/>
              <w:right w:val="single" w:sz="4" w:space="0" w:color="808080"/>
            </w:tcBorders>
            <w:noWrap/>
            <w:vAlign w:val="bottom"/>
            <w:hideMark/>
          </w:tcPr>
          <w:p w14:paraId="50EABAB5"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 </w:t>
            </w:r>
          </w:p>
        </w:tc>
      </w:tr>
      <w:tr w:rsidR="00416D67" w:rsidRPr="00416D67" w14:paraId="32CBB6AB" w14:textId="77777777" w:rsidTr="00BB1392">
        <w:trPr>
          <w:trHeight w:val="136"/>
          <w:jc w:val="center"/>
        </w:trPr>
        <w:tc>
          <w:tcPr>
            <w:tcW w:w="1120" w:type="dxa"/>
            <w:tcBorders>
              <w:top w:val="nil"/>
              <w:left w:val="single" w:sz="4" w:space="0" w:color="808080"/>
              <w:bottom w:val="single" w:sz="4" w:space="0" w:color="808080"/>
              <w:right w:val="single" w:sz="4" w:space="0" w:color="808080"/>
            </w:tcBorders>
            <w:noWrap/>
            <w:vAlign w:val="bottom"/>
            <w:hideMark/>
          </w:tcPr>
          <w:p w14:paraId="01205930" w14:textId="77777777" w:rsidR="00416D67" w:rsidRPr="00416D67" w:rsidRDefault="00416D67" w:rsidP="00416D67">
            <w:pPr>
              <w:jc w:val="center"/>
              <w:rPr>
                <w:rFonts w:ascii="Calibri" w:hAnsi="Calibri" w:cs="Calibri"/>
                <w:sz w:val="16"/>
                <w:szCs w:val="16"/>
              </w:rPr>
            </w:pPr>
            <w:r w:rsidRPr="00416D67">
              <w:rPr>
                <w:rFonts w:ascii="Calibri" w:hAnsi="Calibri" w:cs="Calibri"/>
                <w:sz w:val="16"/>
                <w:szCs w:val="16"/>
              </w:rPr>
              <w:t>163311</w:t>
            </w:r>
          </w:p>
        </w:tc>
        <w:tc>
          <w:tcPr>
            <w:tcW w:w="3940" w:type="dxa"/>
            <w:tcBorders>
              <w:top w:val="nil"/>
              <w:left w:val="nil"/>
              <w:bottom w:val="single" w:sz="4" w:space="0" w:color="808080"/>
              <w:right w:val="single" w:sz="4" w:space="0" w:color="808080"/>
            </w:tcBorders>
            <w:noWrap/>
            <w:vAlign w:val="bottom"/>
            <w:hideMark/>
          </w:tcPr>
          <w:p w14:paraId="510A3C4F"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Potraživanje za tekuće Istarska županija</w:t>
            </w:r>
          </w:p>
        </w:tc>
        <w:tc>
          <w:tcPr>
            <w:tcW w:w="1620" w:type="dxa"/>
            <w:tcBorders>
              <w:top w:val="nil"/>
              <w:left w:val="nil"/>
              <w:bottom w:val="single" w:sz="4" w:space="0" w:color="808080"/>
              <w:right w:val="single" w:sz="4" w:space="0" w:color="808080"/>
            </w:tcBorders>
            <w:noWrap/>
            <w:vAlign w:val="bottom"/>
            <w:hideMark/>
          </w:tcPr>
          <w:p w14:paraId="10B8938C"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7.586,95</w:t>
            </w:r>
          </w:p>
        </w:tc>
        <w:tc>
          <w:tcPr>
            <w:tcW w:w="1280" w:type="dxa"/>
            <w:tcBorders>
              <w:top w:val="nil"/>
              <w:left w:val="nil"/>
              <w:bottom w:val="single" w:sz="4" w:space="0" w:color="808080"/>
              <w:right w:val="single" w:sz="4" w:space="0" w:color="808080"/>
            </w:tcBorders>
            <w:noWrap/>
            <w:vAlign w:val="bottom"/>
            <w:hideMark/>
          </w:tcPr>
          <w:p w14:paraId="14010F92"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7.586,95</w:t>
            </w:r>
          </w:p>
        </w:tc>
        <w:tc>
          <w:tcPr>
            <w:tcW w:w="1260" w:type="dxa"/>
            <w:tcBorders>
              <w:top w:val="nil"/>
              <w:left w:val="nil"/>
              <w:bottom w:val="single" w:sz="4" w:space="0" w:color="808080"/>
              <w:right w:val="single" w:sz="4" w:space="0" w:color="808080"/>
            </w:tcBorders>
            <w:noWrap/>
            <w:vAlign w:val="bottom"/>
            <w:hideMark/>
          </w:tcPr>
          <w:p w14:paraId="07BEFFE0"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 </w:t>
            </w:r>
          </w:p>
        </w:tc>
        <w:tc>
          <w:tcPr>
            <w:tcW w:w="1380" w:type="dxa"/>
            <w:tcBorders>
              <w:top w:val="nil"/>
              <w:left w:val="nil"/>
              <w:bottom w:val="single" w:sz="4" w:space="0" w:color="808080"/>
              <w:right w:val="single" w:sz="4" w:space="0" w:color="808080"/>
            </w:tcBorders>
            <w:noWrap/>
            <w:vAlign w:val="bottom"/>
            <w:hideMark/>
          </w:tcPr>
          <w:p w14:paraId="456AF1D1"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 </w:t>
            </w:r>
          </w:p>
        </w:tc>
      </w:tr>
      <w:tr w:rsidR="00416D67" w:rsidRPr="00416D67" w14:paraId="72F3E7B6" w14:textId="77777777" w:rsidTr="00BB1392">
        <w:trPr>
          <w:trHeight w:val="123"/>
          <w:jc w:val="center"/>
        </w:trPr>
        <w:tc>
          <w:tcPr>
            <w:tcW w:w="1120" w:type="dxa"/>
            <w:tcBorders>
              <w:top w:val="nil"/>
              <w:left w:val="single" w:sz="4" w:space="0" w:color="808080"/>
              <w:bottom w:val="single" w:sz="4" w:space="0" w:color="808080"/>
              <w:right w:val="single" w:sz="4" w:space="0" w:color="808080"/>
            </w:tcBorders>
            <w:noWrap/>
            <w:vAlign w:val="bottom"/>
            <w:hideMark/>
          </w:tcPr>
          <w:p w14:paraId="4C2B8C7F" w14:textId="77777777" w:rsidR="00416D67" w:rsidRPr="00416D67" w:rsidRDefault="00416D67" w:rsidP="00416D67">
            <w:pPr>
              <w:jc w:val="center"/>
              <w:rPr>
                <w:rFonts w:ascii="Calibri" w:hAnsi="Calibri" w:cs="Calibri"/>
                <w:b/>
                <w:bCs/>
                <w:i/>
                <w:iCs/>
                <w:sz w:val="16"/>
                <w:szCs w:val="16"/>
              </w:rPr>
            </w:pPr>
            <w:r w:rsidRPr="00416D67">
              <w:rPr>
                <w:rFonts w:ascii="Calibri" w:hAnsi="Calibri" w:cs="Calibri"/>
                <w:b/>
                <w:bCs/>
                <w:i/>
                <w:iCs/>
                <w:sz w:val="16"/>
                <w:szCs w:val="16"/>
              </w:rPr>
              <w:t>16332</w:t>
            </w:r>
          </w:p>
        </w:tc>
        <w:tc>
          <w:tcPr>
            <w:tcW w:w="3940" w:type="dxa"/>
            <w:tcBorders>
              <w:top w:val="nil"/>
              <w:left w:val="nil"/>
              <w:bottom w:val="single" w:sz="4" w:space="0" w:color="808080"/>
              <w:right w:val="single" w:sz="4" w:space="0" w:color="808080"/>
            </w:tcBorders>
            <w:noWrap/>
            <w:vAlign w:val="bottom"/>
            <w:hideMark/>
          </w:tcPr>
          <w:p w14:paraId="3DB9BDD4"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Potraživanje za kapitalne pomoći</w:t>
            </w:r>
          </w:p>
        </w:tc>
        <w:tc>
          <w:tcPr>
            <w:tcW w:w="1620" w:type="dxa"/>
            <w:tcBorders>
              <w:top w:val="nil"/>
              <w:left w:val="nil"/>
              <w:bottom w:val="single" w:sz="4" w:space="0" w:color="808080"/>
              <w:right w:val="single" w:sz="4" w:space="0" w:color="808080"/>
            </w:tcBorders>
            <w:noWrap/>
            <w:vAlign w:val="bottom"/>
            <w:hideMark/>
          </w:tcPr>
          <w:p w14:paraId="19B431C1"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32.000,00</w:t>
            </w:r>
          </w:p>
        </w:tc>
        <w:tc>
          <w:tcPr>
            <w:tcW w:w="1280" w:type="dxa"/>
            <w:tcBorders>
              <w:top w:val="nil"/>
              <w:left w:val="nil"/>
              <w:bottom w:val="single" w:sz="4" w:space="0" w:color="808080"/>
              <w:right w:val="single" w:sz="4" w:space="0" w:color="808080"/>
            </w:tcBorders>
            <w:noWrap/>
            <w:vAlign w:val="bottom"/>
            <w:hideMark/>
          </w:tcPr>
          <w:p w14:paraId="30E57462"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32.000,00</w:t>
            </w:r>
          </w:p>
        </w:tc>
        <w:tc>
          <w:tcPr>
            <w:tcW w:w="1260" w:type="dxa"/>
            <w:tcBorders>
              <w:top w:val="nil"/>
              <w:left w:val="nil"/>
              <w:bottom w:val="single" w:sz="4" w:space="0" w:color="808080"/>
              <w:right w:val="single" w:sz="4" w:space="0" w:color="808080"/>
            </w:tcBorders>
            <w:noWrap/>
            <w:vAlign w:val="bottom"/>
            <w:hideMark/>
          </w:tcPr>
          <w:p w14:paraId="6DAEA113"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 </w:t>
            </w:r>
          </w:p>
        </w:tc>
        <w:tc>
          <w:tcPr>
            <w:tcW w:w="1380" w:type="dxa"/>
            <w:tcBorders>
              <w:top w:val="nil"/>
              <w:left w:val="nil"/>
              <w:bottom w:val="single" w:sz="4" w:space="0" w:color="808080"/>
              <w:right w:val="single" w:sz="4" w:space="0" w:color="808080"/>
            </w:tcBorders>
            <w:noWrap/>
            <w:vAlign w:val="bottom"/>
            <w:hideMark/>
          </w:tcPr>
          <w:p w14:paraId="5F664F0F"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 </w:t>
            </w:r>
          </w:p>
        </w:tc>
      </w:tr>
      <w:tr w:rsidR="00416D67" w:rsidRPr="00416D67" w14:paraId="5363FF68" w14:textId="77777777" w:rsidTr="00BB1392">
        <w:trPr>
          <w:trHeight w:val="88"/>
          <w:jc w:val="center"/>
        </w:trPr>
        <w:tc>
          <w:tcPr>
            <w:tcW w:w="1120" w:type="dxa"/>
            <w:tcBorders>
              <w:top w:val="nil"/>
              <w:left w:val="single" w:sz="4" w:space="0" w:color="808080"/>
              <w:bottom w:val="single" w:sz="4" w:space="0" w:color="808080"/>
              <w:right w:val="single" w:sz="4" w:space="0" w:color="808080"/>
            </w:tcBorders>
            <w:noWrap/>
            <w:vAlign w:val="bottom"/>
            <w:hideMark/>
          </w:tcPr>
          <w:p w14:paraId="120D1539" w14:textId="77777777" w:rsidR="00416D67" w:rsidRPr="00416D67" w:rsidRDefault="00416D67" w:rsidP="00416D67">
            <w:pPr>
              <w:jc w:val="center"/>
              <w:rPr>
                <w:rFonts w:ascii="Calibri" w:hAnsi="Calibri" w:cs="Calibri"/>
                <w:sz w:val="16"/>
                <w:szCs w:val="16"/>
              </w:rPr>
            </w:pPr>
            <w:r w:rsidRPr="00416D67">
              <w:rPr>
                <w:rFonts w:ascii="Calibri" w:hAnsi="Calibri" w:cs="Calibri"/>
                <w:sz w:val="16"/>
                <w:szCs w:val="16"/>
              </w:rPr>
              <w:t>163320</w:t>
            </w:r>
          </w:p>
        </w:tc>
        <w:tc>
          <w:tcPr>
            <w:tcW w:w="3940" w:type="dxa"/>
            <w:tcBorders>
              <w:top w:val="nil"/>
              <w:left w:val="nil"/>
              <w:bottom w:val="single" w:sz="4" w:space="0" w:color="808080"/>
              <w:right w:val="single" w:sz="4" w:space="0" w:color="808080"/>
            </w:tcBorders>
            <w:noWrap/>
            <w:vAlign w:val="bottom"/>
            <w:hideMark/>
          </w:tcPr>
          <w:p w14:paraId="1AF3F8F6"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Potraživanje za kapitalne pomoći</w:t>
            </w:r>
          </w:p>
        </w:tc>
        <w:tc>
          <w:tcPr>
            <w:tcW w:w="1620" w:type="dxa"/>
            <w:tcBorders>
              <w:top w:val="nil"/>
              <w:left w:val="nil"/>
              <w:bottom w:val="single" w:sz="4" w:space="0" w:color="808080"/>
              <w:right w:val="single" w:sz="4" w:space="0" w:color="808080"/>
            </w:tcBorders>
            <w:noWrap/>
            <w:vAlign w:val="bottom"/>
            <w:hideMark/>
          </w:tcPr>
          <w:p w14:paraId="1CA2B343"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32.000,00</w:t>
            </w:r>
          </w:p>
        </w:tc>
        <w:tc>
          <w:tcPr>
            <w:tcW w:w="1280" w:type="dxa"/>
            <w:tcBorders>
              <w:top w:val="nil"/>
              <w:left w:val="nil"/>
              <w:bottom w:val="single" w:sz="4" w:space="0" w:color="808080"/>
              <w:right w:val="single" w:sz="4" w:space="0" w:color="808080"/>
            </w:tcBorders>
            <w:noWrap/>
            <w:vAlign w:val="bottom"/>
            <w:hideMark/>
          </w:tcPr>
          <w:p w14:paraId="28C3C62B"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32.000,00</w:t>
            </w:r>
          </w:p>
        </w:tc>
        <w:tc>
          <w:tcPr>
            <w:tcW w:w="1260" w:type="dxa"/>
            <w:tcBorders>
              <w:top w:val="nil"/>
              <w:left w:val="nil"/>
              <w:bottom w:val="single" w:sz="4" w:space="0" w:color="808080"/>
              <w:right w:val="single" w:sz="4" w:space="0" w:color="808080"/>
            </w:tcBorders>
            <w:noWrap/>
            <w:vAlign w:val="bottom"/>
            <w:hideMark/>
          </w:tcPr>
          <w:p w14:paraId="79961544"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 </w:t>
            </w:r>
          </w:p>
        </w:tc>
        <w:tc>
          <w:tcPr>
            <w:tcW w:w="1380" w:type="dxa"/>
            <w:tcBorders>
              <w:top w:val="nil"/>
              <w:left w:val="nil"/>
              <w:bottom w:val="single" w:sz="4" w:space="0" w:color="808080"/>
              <w:right w:val="single" w:sz="4" w:space="0" w:color="808080"/>
            </w:tcBorders>
            <w:noWrap/>
            <w:vAlign w:val="bottom"/>
            <w:hideMark/>
          </w:tcPr>
          <w:p w14:paraId="0DBAD402"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 </w:t>
            </w:r>
          </w:p>
        </w:tc>
      </w:tr>
      <w:tr w:rsidR="00416D67" w:rsidRPr="00416D67" w14:paraId="388556AB" w14:textId="77777777" w:rsidTr="00BB1392">
        <w:trPr>
          <w:trHeight w:val="205"/>
          <w:jc w:val="center"/>
        </w:trPr>
        <w:tc>
          <w:tcPr>
            <w:tcW w:w="1120" w:type="dxa"/>
            <w:tcBorders>
              <w:top w:val="nil"/>
              <w:left w:val="single" w:sz="4" w:space="0" w:color="808080"/>
              <w:bottom w:val="single" w:sz="4" w:space="0" w:color="808080"/>
              <w:right w:val="single" w:sz="4" w:space="0" w:color="808080"/>
            </w:tcBorders>
            <w:shd w:val="clear" w:color="000000" w:fill="BFBFBF"/>
            <w:noWrap/>
            <w:vAlign w:val="bottom"/>
            <w:hideMark/>
          </w:tcPr>
          <w:p w14:paraId="3E4A18D7" w14:textId="77777777" w:rsidR="00416D67" w:rsidRPr="00416D67" w:rsidRDefault="00416D67" w:rsidP="00416D67">
            <w:pPr>
              <w:jc w:val="center"/>
              <w:rPr>
                <w:rFonts w:ascii="Calibri" w:hAnsi="Calibri" w:cs="Calibri"/>
                <w:b/>
                <w:bCs/>
                <w:i/>
                <w:iCs/>
                <w:sz w:val="16"/>
                <w:szCs w:val="16"/>
              </w:rPr>
            </w:pPr>
            <w:r w:rsidRPr="00416D67">
              <w:rPr>
                <w:rFonts w:ascii="Calibri" w:hAnsi="Calibri" w:cs="Calibri"/>
                <w:b/>
                <w:bCs/>
                <w:i/>
                <w:iCs/>
                <w:sz w:val="16"/>
                <w:szCs w:val="16"/>
              </w:rPr>
              <w:t>164</w:t>
            </w:r>
          </w:p>
        </w:tc>
        <w:tc>
          <w:tcPr>
            <w:tcW w:w="3940" w:type="dxa"/>
            <w:tcBorders>
              <w:top w:val="nil"/>
              <w:left w:val="nil"/>
              <w:bottom w:val="single" w:sz="4" w:space="0" w:color="808080"/>
              <w:right w:val="single" w:sz="4" w:space="0" w:color="808080"/>
            </w:tcBorders>
            <w:shd w:val="clear" w:color="000000" w:fill="BFBFBF"/>
            <w:noWrap/>
            <w:vAlign w:val="bottom"/>
            <w:hideMark/>
          </w:tcPr>
          <w:p w14:paraId="3BA7C4B3"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Potraživanje za prihode od imovine</w:t>
            </w:r>
          </w:p>
        </w:tc>
        <w:tc>
          <w:tcPr>
            <w:tcW w:w="1620" w:type="dxa"/>
            <w:tcBorders>
              <w:top w:val="nil"/>
              <w:left w:val="nil"/>
              <w:bottom w:val="single" w:sz="4" w:space="0" w:color="808080"/>
              <w:right w:val="single" w:sz="4" w:space="0" w:color="808080"/>
            </w:tcBorders>
            <w:shd w:val="clear" w:color="000000" w:fill="BFBFBF"/>
            <w:vAlign w:val="bottom"/>
            <w:hideMark/>
          </w:tcPr>
          <w:p w14:paraId="2E31E3A4"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187.815,80</w:t>
            </w:r>
          </w:p>
        </w:tc>
        <w:tc>
          <w:tcPr>
            <w:tcW w:w="1280" w:type="dxa"/>
            <w:tcBorders>
              <w:top w:val="nil"/>
              <w:left w:val="nil"/>
              <w:bottom w:val="single" w:sz="4" w:space="0" w:color="808080"/>
              <w:right w:val="single" w:sz="4" w:space="0" w:color="808080"/>
            </w:tcBorders>
            <w:shd w:val="clear" w:color="000000" w:fill="BFBFBF"/>
            <w:vAlign w:val="bottom"/>
            <w:hideMark/>
          </w:tcPr>
          <w:p w14:paraId="4AF6D189"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113.770,66</w:t>
            </w:r>
          </w:p>
        </w:tc>
        <w:tc>
          <w:tcPr>
            <w:tcW w:w="1260" w:type="dxa"/>
            <w:tcBorders>
              <w:top w:val="nil"/>
              <w:left w:val="nil"/>
              <w:bottom w:val="single" w:sz="4" w:space="0" w:color="808080"/>
              <w:right w:val="single" w:sz="4" w:space="0" w:color="808080"/>
            </w:tcBorders>
            <w:shd w:val="clear" w:color="000000" w:fill="BFBFBF"/>
            <w:vAlign w:val="bottom"/>
            <w:hideMark/>
          </w:tcPr>
          <w:p w14:paraId="79D14F21"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74.045,14</w:t>
            </w:r>
          </w:p>
        </w:tc>
        <w:tc>
          <w:tcPr>
            <w:tcW w:w="1380" w:type="dxa"/>
            <w:tcBorders>
              <w:top w:val="nil"/>
              <w:left w:val="nil"/>
              <w:bottom w:val="single" w:sz="4" w:space="0" w:color="808080"/>
              <w:right w:val="single" w:sz="4" w:space="0" w:color="808080"/>
            </w:tcBorders>
            <w:shd w:val="clear" w:color="000000" w:fill="BFBFBF"/>
            <w:vAlign w:val="bottom"/>
            <w:hideMark/>
          </w:tcPr>
          <w:p w14:paraId="6DD5A770"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27.929,60</w:t>
            </w:r>
          </w:p>
        </w:tc>
      </w:tr>
      <w:tr w:rsidR="00416D67" w:rsidRPr="00416D67" w14:paraId="42D95B41" w14:textId="77777777" w:rsidTr="00BB1392">
        <w:trPr>
          <w:trHeight w:val="168"/>
          <w:jc w:val="center"/>
        </w:trPr>
        <w:tc>
          <w:tcPr>
            <w:tcW w:w="1120" w:type="dxa"/>
            <w:tcBorders>
              <w:top w:val="nil"/>
              <w:left w:val="single" w:sz="4" w:space="0" w:color="808080"/>
              <w:bottom w:val="single" w:sz="4" w:space="0" w:color="808080"/>
              <w:right w:val="single" w:sz="4" w:space="0" w:color="808080"/>
            </w:tcBorders>
            <w:noWrap/>
            <w:vAlign w:val="bottom"/>
            <w:hideMark/>
          </w:tcPr>
          <w:p w14:paraId="6E5AB602" w14:textId="77777777" w:rsidR="00416D67" w:rsidRPr="00416D67" w:rsidRDefault="00416D67" w:rsidP="00416D67">
            <w:pPr>
              <w:jc w:val="center"/>
              <w:rPr>
                <w:rFonts w:ascii="Calibri" w:hAnsi="Calibri" w:cs="Calibri"/>
                <w:b/>
                <w:bCs/>
                <w:i/>
                <w:iCs/>
                <w:sz w:val="16"/>
                <w:szCs w:val="16"/>
              </w:rPr>
            </w:pPr>
            <w:r w:rsidRPr="00416D67">
              <w:rPr>
                <w:rFonts w:ascii="Calibri" w:hAnsi="Calibri" w:cs="Calibri"/>
                <w:b/>
                <w:bCs/>
                <w:i/>
                <w:iCs/>
                <w:sz w:val="16"/>
                <w:szCs w:val="16"/>
              </w:rPr>
              <w:t>1642</w:t>
            </w:r>
          </w:p>
        </w:tc>
        <w:tc>
          <w:tcPr>
            <w:tcW w:w="3940" w:type="dxa"/>
            <w:tcBorders>
              <w:top w:val="nil"/>
              <w:left w:val="nil"/>
              <w:bottom w:val="single" w:sz="4" w:space="0" w:color="808080"/>
              <w:right w:val="single" w:sz="4" w:space="0" w:color="808080"/>
            </w:tcBorders>
            <w:noWrap/>
            <w:vAlign w:val="bottom"/>
            <w:hideMark/>
          </w:tcPr>
          <w:p w14:paraId="29056D67"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Potraživanje za prihode od nefinancijske imovine</w:t>
            </w:r>
          </w:p>
        </w:tc>
        <w:tc>
          <w:tcPr>
            <w:tcW w:w="1620" w:type="dxa"/>
            <w:tcBorders>
              <w:top w:val="nil"/>
              <w:left w:val="nil"/>
              <w:bottom w:val="single" w:sz="4" w:space="0" w:color="808080"/>
              <w:right w:val="single" w:sz="4" w:space="0" w:color="808080"/>
            </w:tcBorders>
            <w:noWrap/>
            <w:vAlign w:val="bottom"/>
            <w:hideMark/>
          </w:tcPr>
          <w:p w14:paraId="5042D9DD"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187.815,80</w:t>
            </w:r>
          </w:p>
        </w:tc>
        <w:tc>
          <w:tcPr>
            <w:tcW w:w="1280" w:type="dxa"/>
            <w:tcBorders>
              <w:top w:val="nil"/>
              <w:left w:val="nil"/>
              <w:bottom w:val="single" w:sz="4" w:space="0" w:color="808080"/>
              <w:right w:val="single" w:sz="4" w:space="0" w:color="808080"/>
            </w:tcBorders>
            <w:noWrap/>
            <w:vAlign w:val="bottom"/>
            <w:hideMark/>
          </w:tcPr>
          <w:p w14:paraId="2FACDE22"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113.770,66</w:t>
            </w:r>
          </w:p>
        </w:tc>
        <w:tc>
          <w:tcPr>
            <w:tcW w:w="1260" w:type="dxa"/>
            <w:tcBorders>
              <w:top w:val="nil"/>
              <w:left w:val="nil"/>
              <w:bottom w:val="single" w:sz="4" w:space="0" w:color="808080"/>
              <w:right w:val="single" w:sz="4" w:space="0" w:color="808080"/>
            </w:tcBorders>
            <w:noWrap/>
            <w:vAlign w:val="bottom"/>
            <w:hideMark/>
          </w:tcPr>
          <w:p w14:paraId="15D298F1"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74.045,14</w:t>
            </w:r>
          </w:p>
        </w:tc>
        <w:tc>
          <w:tcPr>
            <w:tcW w:w="1380" w:type="dxa"/>
            <w:tcBorders>
              <w:top w:val="nil"/>
              <w:left w:val="nil"/>
              <w:bottom w:val="single" w:sz="4" w:space="0" w:color="808080"/>
              <w:right w:val="single" w:sz="4" w:space="0" w:color="808080"/>
            </w:tcBorders>
            <w:noWrap/>
            <w:vAlign w:val="bottom"/>
            <w:hideMark/>
          </w:tcPr>
          <w:p w14:paraId="4B42202E"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27.929,60</w:t>
            </w:r>
          </w:p>
        </w:tc>
      </w:tr>
      <w:tr w:rsidR="00416D67" w:rsidRPr="00416D67" w14:paraId="4D07233F" w14:textId="77777777" w:rsidTr="00BB1392">
        <w:trPr>
          <w:trHeight w:val="143"/>
          <w:jc w:val="center"/>
        </w:trPr>
        <w:tc>
          <w:tcPr>
            <w:tcW w:w="1120" w:type="dxa"/>
            <w:tcBorders>
              <w:top w:val="nil"/>
              <w:left w:val="single" w:sz="4" w:space="0" w:color="808080"/>
              <w:bottom w:val="single" w:sz="4" w:space="0" w:color="808080"/>
              <w:right w:val="single" w:sz="4" w:space="0" w:color="808080"/>
            </w:tcBorders>
            <w:noWrap/>
            <w:vAlign w:val="bottom"/>
            <w:hideMark/>
          </w:tcPr>
          <w:p w14:paraId="278E9E96" w14:textId="77777777" w:rsidR="00416D67" w:rsidRPr="00416D67" w:rsidRDefault="00416D67" w:rsidP="00416D67">
            <w:pPr>
              <w:jc w:val="center"/>
              <w:rPr>
                <w:rFonts w:ascii="Calibri" w:hAnsi="Calibri" w:cs="Calibri"/>
                <w:i/>
                <w:iCs/>
                <w:sz w:val="16"/>
                <w:szCs w:val="16"/>
              </w:rPr>
            </w:pPr>
            <w:r w:rsidRPr="00416D67">
              <w:rPr>
                <w:rFonts w:ascii="Calibri" w:hAnsi="Calibri" w:cs="Calibri"/>
                <w:i/>
                <w:iCs/>
                <w:sz w:val="16"/>
                <w:szCs w:val="16"/>
              </w:rPr>
              <w:t>164217</w:t>
            </w:r>
          </w:p>
        </w:tc>
        <w:tc>
          <w:tcPr>
            <w:tcW w:w="3940" w:type="dxa"/>
            <w:tcBorders>
              <w:top w:val="nil"/>
              <w:left w:val="nil"/>
              <w:bottom w:val="single" w:sz="4" w:space="0" w:color="808080"/>
              <w:right w:val="single" w:sz="4" w:space="0" w:color="808080"/>
            </w:tcBorders>
            <w:noWrap/>
            <w:vAlign w:val="bottom"/>
            <w:hideMark/>
          </w:tcPr>
          <w:p w14:paraId="2566AF65" w14:textId="77777777" w:rsidR="00416D67" w:rsidRPr="00416D67" w:rsidRDefault="00416D67" w:rsidP="00416D67">
            <w:pPr>
              <w:rPr>
                <w:rFonts w:ascii="Calibri" w:hAnsi="Calibri" w:cs="Calibri"/>
                <w:i/>
                <w:iCs/>
                <w:sz w:val="16"/>
                <w:szCs w:val="16"/>
              </w:rPr>
            </w:pPr>
            <w:r w:rsidRPr="00416D67">
              <w:rPr>
                <w:rFonts w:ascii="Calibri" w:hAnsi="Calibri" w:cs="Calibri"/>
                <w:i/>
                <w:iCs/>
                <w:sz w:val="16"/>
                <w:szCs w:val="16"/>
              </w:rPr>
              <w:t>Potraživanje koncesije  7500</w:t>
            </w:r>
          </w:p>
        </w:tc>
        <w:tc>
          <w:tcPr>
            <w:tcW w:w="1620" w:type="dxa"/>
            <w:tcBorders>
              <w:top w:val="nil"/>
              <w:left w:val="nil"/>
              <w:bottom w:val="single" w:sz="4" w:space="0" w:color="808080"/>
              <w:right w:val="single" w:sz="4" w:space="0" w:color="808080"/>
            </w:tcBorders>
            <w:noWrap/>
            <w:vAlign w:val="bottom"/>
            <w:hideMark/>
          </w:tcPr>
          <w:p w14:paraId="6F63736E" w14:textId="77777777" w:rsidR="00416D67" w:rsidRPr="00416D67" w:rsidRDefault="00416D67" w:rsidP="00416D67">
            <w:pPr>
              <w:jc w:val="right"/>
              <w:rPr>
                <w:rFonts w:ascii="Calibri" w:hAnsi="Calibri" w:cs="Calibri"/>
                <w:i/>
                <w:iCs/>
                <w:sz w:val="16"/>
                <w:szCs w:val="16"/>
              </w:rPr>
            </w:pPr>
            <w:r w:rsidRPr="00416D67">
              <w:rPr>
                <w:rFonts w:ascii="Calibri" w:hAnsi="Calibri" w:cs="Calibri"/>
                <w:i/>
                <w:iCs/>
                <w:sz w:val="16"/>
                <w:szCs w:val="16"/>
              </w:rPr>
              <w:t>43.080,26</w:t>
            </w:r>
          </w:p>
        </w:tc>
        <w:tc>
          <w:tcPr>
            <w:tcW w:w="1280" w:type="dxa"/>
            <w:tcBorders>
              <w:top w:val="nil"/>
              <w:left w:val="nil"/>
              <w:bottom w:val="single" w:sz="4" w:space="0" w:color="808080"/>
              <w:right w:val="single" w:sz="4" w:space="0" w:color="808080"/>
            </w:tcBorders>
            <w:noWrap/>
            <w:vAlign w:val="bottom"/>
            <w:hideMark/>
          </w:tcPr>
          <w:p w14:paraId="55503693" w14:textId="77777777" w:rsidR="00416D67" w:rsidRPr="00416D67" w:rsidRDefault="00416D67" w:rsidP="00416D67">
            <w:pPr>
              <w:jc w:val="right"/>
              <w:rPr>
                <w:rFonts w:ascii="Calibri" w:hAnsi="Calibri" w:cs="Calibri"/>
                <w:i/>
                <w:iCs/>
                <w:sz w:val="16"/>
                <w:szCs w:val="16"/>
              </w:rPr>
            </w:pPr>
            <w:r w:rsidRPr="00416D67">
              <w:rPr>
                <w:rFonts w:ascii="Calibri" w:hAnsi="Calibri" w:cs="Calibri"/>
                <w:i/>
                <w:iCs/>
                <w:sz w:val="16"/>
                <w:szCs w:val="16"/>
              </w:rPr>
              <w:t>43.080,26</w:t>
            </w:r>
          </w:p>
        </w:tc>
        <w:tc>
          <w:tcPr>
            <w:tcW w:w="1260" w:type="dxa"/>
            <w:tcBorders>
              <w:top w:val="nil"/>
              <w:left w:val="nil"/>
              <w:bottom w:val="single" w:sz="4" w:space="0" w:color="808080"/>
              <w:right w:val="single" w:sz="4" w:space="0" w:color="808080"/>
            </w:tcBorders>
            <w:noWrap/>
            <w:vAlign w:val="bottom"/>
            <w:hideMark/>
          </w:tcPr>
          <w:p w14:paraId="014A89BC"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0,00</w:t>
            </w:r>
          </w:p>
        </w:tc>
        <w:tc>
          <w:tcPr>
            <w:tcW w:w="1380" w:type="dxa"/>
            <w:tcBorders>
              <w:top w:val="nil"/>
              <w:left w:val="nil"/>
              <w:bottom w:val="single" w:sz="4" w:space="0" w:color="808080"/>
              <w:right w:val="single" w:sz="4" w:space="0" w:color="808080"/>
            </w:tcBorders>
            <w:noWrap/>
            <w:vAlign w:val="bottom"/>
            <w:hideMark/>
          </w:tcPr>
          <w:p w14:paraId="2392AD17"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0,00</w:t>
            </w:r>
          </w:p>
        </w:tc>
      </w:tr>
      <w:tr w:rsidR="00416D67" w:rsidRPr="00416D67" w14:paraId="04272EC4" w14:textId="77777777" w:rsidTr="00BB1392">
        <w:trPr>
          <w:trHeight w:val="119"/>
          <w:jc w:val="center"/>
        </w:trPr>
        <w:tc>
          <w:tcPr>
            <w:tcW w:w="1120" w:type="dxa"/>
            <w:tcBorders>
              <w:top w:val="nil"/>
              <w:left w:val="single" w:sz="4" w:space="0" w:color="808080"/>
              <w:bottom w:val="single" w:sz="4" w:space="0" w:color="808080"/>
              <w:right w:val="single" w:sz="4" w:space="0" w:color="808080"/>
            </w:tcBorders>
            <w:noWrap/>
            <w:vAlign w:val="bottom"/>
            <w:hideMark/>
          </w:tcPr>
          <w:p w14:paraId="25E00FB4" w14:textId="77777777" w:rsidR="00416D67" w:rsidRPr="00416D67" w:rsidRDefault="00416D67" w:rsidP="00416D67">
            <w:pPr>
              <w:jc w:val="center"/>
              <w:rPr>
                <w:rFonts w:ascii="Calibri" w:hAnsi="Calibri" w:cs="Calibri"/>
                <w:sz w:val="16"/>
                <w:szCs w:val="16"/>
              </w:rPr>
            </w:pPr>
            <w:r w:rsidRPr="00416D67">
              <w:rPr>
                <w:rFonts w:ascii="Calibri" w:hAnsi="Calibri" w:cs="Calibri"/>
                <w:sz w:val="16"/>
                <w:szCs w:val="16"/>
              </w:rPr>
              <w:t>164221</w:t>
            </w:r>
          </w:p>
        </w:tc>
        <w:tc>
          <w:tcPr>
            <w:tcW w:w="3940" w:type="dxa"/>
            <w:tcBorders>
              <w:top w:val="nil"/>
              <w:left w:val="nil"/>
              <w:bottom w:val="single" w:sz="4" w:space="0" w:color="808080"/>
              <w:right w:val="single" w:sz="4" w:space="0" w:color="808080"/>
            </w:tcBorders>
            <w:noWrap/>
            <w:vAlign w:val="bottom"/>
            <w:hideMark/>
          </w:tcPr>
          <w:p w14:paraId="1FC72616"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Potraživanje zakup poslovnog prostora</w:t>
            </w:r>
          </w:p>
        </w:tc>
        <w:tc>
          <w:tcPr>
            <w:tcW w:w="1620" w:type="dxa"/>
            <w:tcBorders>
              <w:top w:val="nil"/>
              <w:left w:val="nil"/>
              <w:bottom w:val="single" w:sz="4" w:space="0" w:color="808080"/>
              <w:right w:val="single" w:sz="4" w:space="0" w:color="808080"/>
            </w:tcBorders>
            <w:noWrap/>
            <w:vAlign w:val="bottom"/>
            <w:hideMark/>
          </w:tcPr>
          <w:p w14:paraId="360CEE96"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11.919,68</w:t>
            </w:r>
          </w:p>
        </w:tc>
        <w:tc>
          <w:tcPr>
            <w:tcW w:w="1280" w:type="dxa"/>
            <w:tcBorders>
              <w:top w:val="nil"/>
              <w:left w:val="nil"/>
              <w:bottom w:val="single" w:sz="4" w:space="0" w:color="808080"/>
              <w:right w:val="single" w:sz="4" w:space="0" w:color="808080"/>
            </w:tcBorders>
            <w:noWrap/>
            <w:vAlign w:val="bottom"/>
            <w:hideMark/>
          </w:tcPr>
          <w:p w14:paraId="2929CD1B"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888,40</w:t>
            </w:r>
          </w:p>
        </w:tc>
        <w:tc>
          <w:tcPr>
            <w:tcW w:w="1260" w:type="dxa"/>
            <w:tcBorders>
              <w:top w:val="nil"/>
              <w:left w:val="nil"/>
              <w:bottom w:val="single" w:sz="4" w:space="0" w:color="808080"/>
              <w:right w:val="single" w:sz="4" w:space="0" w:color="808080"/>
            </w:tcBorders>
            <w:noWrap/>
            <w:vAlign w:val="bottom"/>
            <w:hideMark/>
          </w:tcPr>
          <w:p w14:paraId="43AE4BC4"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11.031,28</w:t>
            </w:r>
          </w:p>
        </w:tc>
        <w:tc>
          <w:tcPr>
            <w:tcW w:w="1380" w:type="dxa"/>
            <w:tcBorders>
              <w:top w:val="nil"/>
              <w:left w:val="nil"/>
              <w:bottom w:val="single" w:sz="4" w:space="0" w:color="808080"/>
              <w:right w:val="single" w:sz="4" w:space="0" w:color="808080"/>
            </w:tcBorders>
            <w:noWrap/>
            <w:vAlign w:val="bottom"/>
            <w:hideMark/>
          </w:tcPr>
          <w:p w14:paraId="109D7892"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9.984,66</w:t>
            </w:r>
          </w:p>
        </w:tc>
      </w:tr>
      <w:tr w:rsidR="00416D67" w:rsidRPr="00416D67" w14:paraId="005AAB4D" w14:textId="77777777" w:rsidTr="00BB1392">
        <w:trPr>
          <w:trHeight w:val="155"/>
          <w:jc w:val="center"/>
        </w:trPr>
        <w:tc>
          <w:tcPr>
            <w:tcW w:w="1120" w:type="dxa"/>
            <w:tcBorders>
              <w:top w:val="nil"/>
              <w:left w:val="single" w:sz="4" w:space="0" w:color="808080"/>
              <w:bottom w:val="single" w:sz="4" w:space="0" w:color="808080"/>
              <w:right w:val="single" w:sz="4" w:space="0" w:color="808080"/>
            </w:tcBorders>
            <w:noWrap/>
            <w:vAlign w:val="bottom"/>
            <w:hideMark/>
          </w:tcPr>
          <w:p w14:paraId="6E39D1BE" w14:textId="77777777" w:rsidR="00416D67" w:rsidRPr="00416D67" w:rsidRDefault="00416D67" w:rsidP="00416D67">
            <w:pPr>
              <w:jc w:val="center"/>
              <w:rPr>
                <w:rFonts w:ascii="Calibri" w:hAnsi="Calibri" w:cs="Calibri"/>
                <w:sz w:val="16"/>
                <w:szCs w:val="16"/>
              </w:rPr>
            </w:pPr>
            <w:r w:rsidRPr="00416D67">
              <w:rPr>
                <w:rFonts w:ascii="Calibri" w:hAnsi="Calibri" w:cs="Calibri"/>
                <w:sz w:val="16"/>
                <w:szCs w:val="16"/>
              </w:rPr>
              <w:t>164291</w:t>
            </w:r>
          </w:p>
        </w:tc>
        <w:tc>
          <w:tcPr>
            <w:tcW w:w="3940" w:type="dxa"/>
            <w:tcBorders>
              <w:top w:val="nil"/>
              <w:left w:val="nil"/>
              <w:bottom w:val="single" w:sz="4" w:space="0" w:color="808080"/>
              <w:right w:val="single" w:sz="4" w:space="0" w:color="808080"/>
            </w:tcBorders>
            <w:noWrap/>
            <w:vAlign w:val="bottom"/>
            <w:hideMark/>
          </w:tcPr>
          <w:p w14:paraId="3B305D3C"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Potraživanje od naknade za grobna mjesta</w:t>
            </w:r>
          </w:p>
        </w:tc>
        <w:tc>
          <w:tcPr>
            <w:tcW w:w="1620" w:type="dxa"/>
            <w:tcBorders>
              <w:top w:val="nil"/>
              <w:left w:val="nil"/>
              <w:bottom w:val="single" w:sz="4" w:space="0" w:color="808080"/>
              <w:right w:val="single" w:sz="4" w:space="0" w:color="808080"/>
            </w:tcBorders>
            <w:noWrap/>
            <w:vAlign w:val="bottom"/>
            <w:hideMark/>
          </w:tcPr>
          <w:p w14:paraId="4975A056"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8.305,03</w:t>
            </w:r>
          </w:p>
        </w:tc>
        <w:tc>
          <w:tcPr>
            <w:tcW w:w="1280" w:type="dxa"/>
            <w:tcBorders>
              <w:top w:val="nil"/>
              <w:left w:val="nil"/>
              <w:bottom w:val="single" w:sz="4" w:space="0" w:color="808080"/>
              <w:right w:val="single" w:sz="4" w:space="0" w:color="808080"/>
            </w:tcBorders>
            <w:noWrap/>
            <w:vAlign w:val="bottom"/>
            <w:hideMark/>
          </w:tcPr>
          <w:p w14:paraId="4094DF67"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0,00</w:t>
            </w:r>
          </w:p>
        </w:tc>
        <w:tc>
          <w:tcPr>
            <w:tcW w:w="1260" w:type="dxa"/>
            <w:tcBorders>
              <w:top w:val="nil"/>
              <w:left w:val="nil"/>
              <w:bottom w:val="single" w:sz="4" w:space="0" w:color="808080"/>
              <w:right w:val="single" w:sz="4" w:space="0" w:color="808080"/>
            </w:tcBorders>
            <w:noWrap/>
            <w:vAlign w:val="bottom"/>
            <w:hideMark/>
          </w:tcPr>
          <w:p w14:paraId="2A4B5C4B"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8.305,03</w:t>
            </w:r>
          </w:p>
        </w:tc>
        <w:tc>
          <w:tcPr>
            <w:tcW w:w="1380" w:type="dxa"/>
            <w:tcBorders>
              <w:top w:val="nil"/>
              <w:left w:val="nil"/>
              <w:bottom w:val="single" w:sz="4" w:space="0" w:color="808080"/>
              <w:right w:val="single" w:sz="4" w:space="0" w:color="808080"/>
            </w:tcBorders>
            <w:noWrap/>
            <w:vAlign w:val="bottom"/>
            <w:hideMark/>
          </w:tcPr>
          <w:p w14:paraId="282075F9"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6.093,29</w:t>
            </w:r>
          </w:p>
        </w:tc>
      </w:tr>
      <w:tr w:rsidR="00416D67" w:rsidRPr="00416D67" w14:paraId="15249F62" w14:textId="77777777" w:rsidTr="00BB1392">
        <w:trPr>
          <w:trHeight w:val="213"/>
          <w:jc w:val="center"/>
        </w:trPr>
        <w:tc>
          <w:tcPr>
            <w:tcW w:w="1120" w:type="dxa"/>
            <w:tcBorders>
              <w:top w:val="nil"/>
              <w:left w:val="single" w:sz="4" w:space="0" w:color="808080"/>
              <w:bottom w:val="single" w:sz="4" w:space="0" w:color="808080"/>
              <w:right w:val="single" w:sz="4" w:space="0" w:color="808080"/>
            </w:tcBorders>
            <w:noWrap/>
            <w:vAlign w:val="bottom"/>
            <w:hideMark/>
          </w:tcPr>
          <w:p w14:paraId="316A5448" w14:textId="77777777" w:rsidR="00416D67" w:rsidRPr="00416D67" w:rsidRDefault="00416D67" w:rsidP="00416D67">
            <w:pPr>
              <w:jc w:val="center"/>
              <w:rPr>
                <w:rFonts w:ascii="Calibri" w:hAnsi="Calibri" w:cs="Calibri"/>
                <w:sz w:val="16"/>
                <w:szCs w:val="16"/>
              </w:rPr>
            </w:pPr>
            <w:r w:rsidRPr="00416D67">
              <w:rPr>
                <w:rFonts w:ascii="Calibri" w:hAnsi="Calibri" w:cs="Calibri"/>
                <w:sz w:val="16"/>
                <w:szCs w:val="16"/>
              </w:rPr>
              <w:t>164292</w:t>
            </w:r>
          </w:p>
        </w:tc>
        <w:tc>
          <w:tcPr>
            <w:tcW w:w="3940" w:type="dxa"/>
            <w:tcBorders>
              <w:top w:val="nil"/>
              <w:left w:val="nil"/>
              <w:bottom w:val="single" w:sz="4" w:space="0" w:color="808080"/>
              <w:right w:val="single" w:sz="4" w:space="0" w:color="808080"/>
            </w:tcBorders>
            <w:noWrap/>
            <w:vAlign w:val="bottom"/>
            <w:hideMark/>
          </w:tcPr>
          <w:p w14:paraId="5730278C"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 xml:space="preserve">Naknada za </w:t>
            </w:r>
            <w:proofErr w:type="spellStart"/>
            <w:r w:rsidRPr="00416D67">
              <w:rPr>
                <w:rFonts w:ascii="Calibri" w:hAnsi="Calibri" w:cs="Calibri"/>
                <w:sz w:val="16"/>
                <w:szCs w:val="16"/>
              </w:rPr>
              <w:t>zadrž</w:t>
            </w:r>
            <w:proofErr w:type="spellEnd"/>
            <w:r w:rsidRPr="00416D67">
              <w:rPr>
                <w:rFonts w:ascii="Calibri" w:hAnsi="Calibri" w:cs="Calibri"/>
                <w:sz w:val="16"/>
                <w:szCs w:val="16"/>
              </w:rPr>
              <w:t>. 2963</w:t>
            </w:r>
          </w:p>
        </w:tc>
        <w:tc>
          <w:tcPr>
            <w:tcW w:w="1620" w:type="dxa"/>
            <w:tcBorders>
              <w:top w:val="nil"/>
              <w:left w:val="nil"/>
              <w:bottom w:val="single" w:sz="4" w:space="0" w:color="808080"/>
              <w:right w:val="single" w:sz="4" w:space="0" w:color="808080"/>
            </w:tcBorders>
            <w:noWrap/>
            <w:vAlign w:val="bottom"/>
            <w:hideMark/>
          </w:tcPr>
          <w:p w14:paraId="6D6A0278"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113.824,45</w:t>
            </w:r>
          </w:p>
        </w:tc>
        <w:tc>
          <w:tcPr>
            <w:tcW w:w="1280" w:type="dxa"/>
            <w:tcBorders>
              <w:top w:val="nil"/>
              <w:left w:val="nil"/>
              <w:bottom w:val="single" w:sz="4" w:space="0" w:color="808080"/>
              <w:right w:val="single" w:sz="4" w:space="0" w:color="808080"/>
            </w:tcBorders>
            <w:noWrap/>
            <w:vAlign w:val="bottom"/>
            <w:hideMark/>
          </w:tcPr>
          <w:p w14:paraId="16EDA2EB"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69.802,00</w:t>
            </w:r>
          </w:p>
        </w:tc>
        <w:tc>
          <w:tcPr>
            <w:tcW w:w="1260" w:type="dxa"/>
            <w:tcBorders>
              <w:top w:val="nil"/>
              <w:left w:val="nil"/>
              <w:bottom w:val="single" w:sz="4" w:space="0" w:color="808080"/>
              <w:right w:val="single" w:sz="4" w:space="0" w:color="808080"/>
            </w:tcBorders>
            <w:noWrap/>
            <w:vAlign w:val="bottom"/>
            <w:hideMark/>
          </w:tcPr>
          <w:p w14:paraId="358FC572"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44.022,45</w:t>
            </w:r>
          </w:p>
        </w:tc>
        <w:tc>
          <w:tcPr>
            <w:tcW w:w="1380" w:type="dxa"/>
            <w:tcBorders>
              <w:top w:val="nil"/>
              <w:left w:val="nil"/>
              <w:bottom w:val="single" w:sz="4" w:space="0" w:color="808080"/>
              <w:right w:val="single" w:sz="4" w:space="0" w:color="808080"/>
            </w:tcBorders>
            <w:noWrap/>
            <w:vAlign w:val="bottom"/>
            <w:hideMark/>
          </w:tcPr>
          <w:p w14:paraId="67968978"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1.165,27</w:t>
            </w:r>
          </w:p>
        </w:tc>
      </w:tr>
      <w:tr w:rsidR="00416D67" w:rsidRPr="00416D67" w14:paraId="3A23AE70" w14:textId="77777777" w:rsidTr="00BB1392">
        <w:trPr>
          <w:trHeight w:val="175"/>
          <w:jc w:val="center"/>
        </w:trPr>
        <w:tc>
          <w:tcPr>
            <w:tcW w:w="1120" w:type="dxa"/>
            <w:tcBorders>
              <w:top w:val="nil"/>
              <w:left w:val="single" w:sz="4" w:space="0" w:color="808080"/>
              <w:bottom w:val="single" w:sz="4" w:space="0" w:color="808080"/>
              <w:right w:val="single" w:sz="4" w:space="0" w:color="808080"/>
            </w:tcBorders>
            <w:noWrap/>
            <w:vAlign w:val="bottom"/>
            <w:hideMark/>
          </w:tcPr>
          <w:p w14:paraId="39031D76" w14:textId="77777777" w:rsidR="00416D67" w:rsidRPr="00416D67" w:rsidRDefault="00416D67" w:rsidP="00416D67">
            <w:pPr>
              <w:jc w:val="center"/>
              <w:rPr>
                <w:rFonts w:ascii="Calibri" w:hAnsi="Calibri" w:cs="Calibri"/>
                <w:sz w:val="16"/>
                <w:szCs w:val="16"/>
              </w:rPr>
            </w:pPr>
            <w:r w:rsidRPr="00416D67">
              <w:rPr>
                <w:rFonts w:ascii="Calibri" w:hAnsi="Calibri" w:cs="Calibri"/>
                <w:sz w:val="16"/>
                <w:szCs w:val="16"/>
              </w:rPr>
              <w:t>164294</w:t>
            </w:r>
          </w:p>
        </w:tc>
        <w:tc>
          <w:tcPr>
            <w:tcW w:w="3940" w:type="dxa"/>
            <w:tcBorders>
              <w:top w:val="nil"/>
              <w:left w:val="nil"/>
              <w:bottom w:val="single" w:sz="4" w:space="0" w:color="808080"/>
              <w:right w:val="single" w:sz="4" w:space="0" w:color="808080"/>
            </w:tcBorders>
            <w:noWrap/>
            <w:vAlign w:val="bottom"/>
            <w:hideMark/>
          </w:tcPr>
          <w:p w14:paraId="478E0DCF"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 xml:space="preserve">Naknada za </w:t>
            </w:r>
            <w:proofErr w:type="spellStart"/>
            <w:r w:rsidRPr="00416D67">
              <w:rPr>
                <w:rFonts w:ascii="Calibri" w:hAnsi="Calibri" w:cs="Calibri"/>
                <w:sz w:val="16"/>
                <w:szCs w:val="16"/>
              </w:rPr>
              <w:t>zadrž</w:t>
            </w:r>
            <w:proofErr w:type="spellEnd"/>
            <w:r w:rsidRPr="00416D67">
              <w:rPr>
                <w:rFonts w:ascii="Calibri" w:hAnsi="Calibri" w:cs="Calibri"/>
                <w:sz w:val="16"/>
                <w:szCs w:val="16"/>
              </w:rPr>
              <w:t>. 2964</w:t>
            </w:r>
          </w:p>
        </w:tc>
        <w:tc>
          <w:tcPr>
            <w:tcW w:w="1620" w:type="dxa"/>
            <w:tcBorders>
              <w:top w:val="nil"/>
              <w:left w:val="nil"/>
              <w:bottom w:val="single" w:sz="4" w:space="0" w:color="808080"/>
              <w:right w:val="single" w:sz="4" w:space="0" w:color="808080"/>
            </w:tcBorders>
            <w:noWrap/>
            <w:vAlign w:val="bottom"/>
            <w:hideMark/>
          </w:tcPr>
          <w:p w14:paraId="2FB4A527"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10.686,38</w:t>
            </w:r>
          </w:p>
        </w:tc>
        <w:tc>
          <w:tcPr>
            <w:tcW w:w="1280" w:type="dxa"/>
            <w:tcBorders>
              <w:top w:val="nil"/>
              <w:left w:val="nil"/>
              <w:bottom w:val="single" w:sz="4" w:space="0" w:color="808080"/>
              <w:right w:val="single" w:sz="4" w:space="0" w:color="808080"/>
            </w:tcBorders>
            <w:noWrap/>
            <w:vAlign w:val="bottom"/>
            <w:hideMark/>
          </w:tcPr>
          <w:p w14:paraId="403092AC"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0,00</w:t>
            </w:r>
          </w:p>
        </w:tc>
        <w:tc>
          <w:tcPr>
            <w:tcW w:w="1260" w:type="dxa"/>
            <w:tcBorders>
              <w:top w:val="nil"/>
              <w:left w:val="nil"/>
              <w:bottom w:val="single" w:sz="4" w:space="0" w:color="808080"/>
              <w:right w:val="single" w:sz="4" w:space="0" w:color="808080"/>
            </w:tcBorders>
            <w:noWrap/>
            <w:vAlign w:val="bottom"/>
            <w:hideMark/>
          </w:tcPr>
          <w:p w14:paraId="2277B198"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10.686,38</w:t>
            </w:r>
          </w:p>
        </w:tc>
        <w:tc>
          <w:tcPr>
            <w:tcW w:w="1380" w:type="dxa"/>
            <w:tcBorders>
              <w:top w:val="nil"/>
              <w:left w:val="nil"/>
              <w:bottom w:val="single" w:sz="4" w:space="0" w:color="808080"/>
              <w:right w:val="single" w:sz="4" w:space="0" w:color="808080"/>
            </w:tcBorders>
            <w:noWrap/>
            <w:vAlign w:val="bottom"/>
            <w:hideMark/>
          </w:tcPr>
          <w:p w14:paraId="64E4D747"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10.686,38</w:t>
            </w:r>
          </w:p>
        </w:tc>
      </w:tr>
      <w:tr w:rsidR="00416D67" w:rsidRPr="00416D67" w14:paraId="0D54151B" w14:textId="77777777" w:rsidTr="00BB1392">
        <w:trPr>
          <w:trHeight w:val="465"/>
          <w:jc w:val="center"/>
        </w:trPr>
        <w:tc>
          <w:tcPr>
            <w:tcW w:w="1120" w:type="dxa"/>
            <w:tcBorders>
              <w:top w:val="nil"/>
              <w:left w:val="single" w:sz="4" w:space="0" w:color="808080"/>
              <w:bottom w:val="single" w:sz="4" w:space="0" w:color="808080"/>
              <w:right w:val="single" w:sz="4" w:space="0" w:color="808080"/>
            </w:tcBorders>
            <w:shd w:val="clear" w:color="000000" w:fill="BFBFBF"/>
            <w:noWrap/>
            <w:vAlign w:val="bottom"/>
            <w:hideMark/>
          </w:tcPr>
          <w:p w14:paraId="05E7CAE5" w14:textId="77777777" w:rsidR="00416D67" w:rsidRPr="00416D67" w:rsidRDefault="00416D67" w:rsidP="00416D67">
            <w:pPr>
              <w:jc w:val="center"/>
              <w:rPr>
                <w:rFonts w:ascii="Calibri" w:hAnsi="Calibri" w:cs="Calibri"/>
                <w:b/>
                <w:bCs/>
                <w:i/>
                <w:iCs/>
                <w:sz w:val="16"/>
                <w:szCs w:val="16"/>
              </w:rPr>
            </w:pPr>
            <w:r w:rsidRPr="00416D67">
              <w:rPr>
                <w:rFonts w:ascii="Calibri" w:hAnsi="Calibri" w:cs="Calibri"/>
                <w:b/>
                <w:bCs/>
                <w:i/>
                <w:iCs/>
                <w:sz w:val="16"/>
                <w:szCs w:val="16"/>
              </w:rPr>
              <w:t>165</w:t>
            </w:r>
          </w:p>
        </w:tc>
        <w:tc>
          <w:tcPr>
            <w:tcW w:w="3940" w:type="dxa"/>
            <w:tcBorders>
              <w:top w:val="nil"/>
              <w:left w:val="nil"/>
              <w:bottom w:val="single" w:sz="4" w:space="0" w:color="808080"/>
              <w:right w:val="single" w:sz="4" w:space="0" w:color="808080"/>
            </w:tcBorders>
            <w:shd w:val="clear" w:color="000000" w:fill="BFBFBF"/>
            <w:vAlign w:val="bottom"/>
            <w:hideMark/>
          </w:tcPr>
          <w:p w14:paraId="285F5C41"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 xml:space="preserve">Potraživanja za upravne i administrativne pristojbe, </w:t>
            </w:r>
            <w:proofErr w:type="spellStart"/>
            <w:r w:rsidRPr="00416D67">
              <w:rPr>
                <w:rFonts w:ascii="Calibri" w:hAnsi="Calibri" w:cs="Calibri"/>
                <w:b/>
                <w:bCs/>
                <w:i/>
                <w:iCs/>
                <w:sz w:val="16"/>
                <w:szCs w:val="16"/>
              </w:rPr>
              <w:t>pristobe</w:t>
            </w:r>
            <w:proofErr w:type="spellEnd"/>
            <w:r w:rsidRPr="00416D67">
              <w:rPr>
                <w:rFonts w:ascii="Calibri" w:hAnsi="Calibri" w:cs="Calibri"/>
                <w:b/>
                <w:bCs/>
                <w:i/>
                <w:iCs/>
                <w:sz w:val="16"/>
                <w:szCs w:val="16"/>
              </w:rPr>
              <w:t xml:space="preserve"> po posebnim propisima i naknade</w:t>
            </w:r>
          </w:p>
        </w:tc>
        <w:tc>
          <w:tcPr>
            <w:tcW w:w="1620" w:type="dxa"/>
            <w:tcBorders>
              <w:top w:val="nil"/>
              <w:left w:val="nil"/>
              <w:bottom w:val="single" w:sz="4" w:space="0" w:color="808080"/>
              <w:right w:val="single" w:sz="4" w:space="0" w:color="808080"/>
            </w:tcBorders>
            <w:shd w:val="clear" w:color="000000" w:fill="BFBFBF"/>
            <w:vAlign w:val="bottom"/>
            <w:hideMark/>
          </w:tcPr>
          <w:p w14:paraId="6D62F1C4"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762.927,52</w:t>
            </w:r>
          </w:p>
        </w:tc>
        <w:tc>
          <w:tcPr>
            <w:tcW w:w="1280" w:type="dxa"/>
            <w:tcBorders>
              <w:top w:val="nil"/>
              <w:left w:val="nil"/>
              <w:bottom w:val="single" w:sz="4" w:space="0" w:color="808080"/>
              <w:right w:val="single" w:sz="4" w:space="0" w:color="808080"/>
            </w:tcBorders>
            <w:shd w:val="clear" w:color="000000" w:fill="BFBFBF"/>
            <w:vAlign w:val="bottom"/>
            <w:hideMark/>
          </w:tcPr>
          <w:p w14:paraId="07E1E956"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448.265,13</w:t>
            </w:r>
          </w:p>
        </w:tc>
        <w:tc>
          <w:tcPr>
            <w:tcW w:w="1260" w:type="dxa"/>
            <w:tcBorders>
              <w:top w:val="nil"/>
              <w:left w:val="nil"/>
              <w:bottom w:val="single" w:sz="4" w:space="0" w:color="808080"/>
              <w:right w:val="single" w:sz="4" w:space="0" w:color="808080"/>
            </w:tcBorders>
            <w:shd w:val="clear" w:color="000000" w:fill="BFBFBF"/>
            <w:vAlign w:val="bottom"/>
            <w:hideMark/>
          </w:tcPr>
          <w:p w14:paraId="00C148E9"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314.662,39</w:t>
            </w:r>
          </w:p>
        </w:tc>
        <w:tc>
          <w:tcPr>
            <w:tcW w:w="1380" w:type="dxa"/>
            <w:tcBorders>
              <w:top w:val="nil"/>
              <w:left w:val="nil"/>
              <w:bottom w:val="single" w:sz="4" w:space="0" w:color="808080"/>
              <w:right w:val="single" w:sz="4" w:space="0" w:color="808080"/>
            </w:tcBorders>
            <w:shd w:val="clear" w:color="000000" w:fill="BFBFBF"/>
            <w:vAlign w:val="bottom"/>
            <w:hideMark/>
          </w:tcPr>
          <w:p w14:paraId="1216BCC2"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86.248,88</w:t>
            </w:r>
          </w:p>
        </w:tc>
      </w:tr>
      <w:tr w:rsidR="00416D67" w:rsidRPr="00416D67" w14:paraId="18D4CBF5" w14:textId="77777777" w:rsidTr="00BB1392">
        <w:trPr>
          <w:trHeight w:val="136"/>
          <w:jc w:val="center"/>
        </w:trPr>
        <w:tc>
          <w:tcPr>
            <w:tcW w:w="1120" w:type="dxa"/>
            <w:tcBorders>
              <w:top w:val="nil"/>
              <w:left w:val="single" w:sz="4" w:space="0" w:color="808080"/>
              <w:bottom w:val="single" w:sz="4" w:space="0" w:color="808080"/>
              <w:right w:val="single" w:sz="4" w:space="0" w:color="808080"/>
            </w:tcBorders>
            <w:noWrap/>
            <w:vAlign w:val="bottom"/>
            <w:hideMark/>
          </w:tcPr>
          <w:p w14:paraId="6DBA5561" w14:textId="77777777" w:rsidR="00416D67" w:rsidRPr="00416D67" w:rsidRDefault="00416D67" w:rsidP="00416D67">
            <w:pPr>
              <w:jc w:val="center"/>
              <w:rPr>
                <w:rFonts w:ascii="Calibri" w:hAnsi="Calibri" w:cs="Calibri"/>
                <w:b/>
                <w:bCs/>
                <w:i/>
                <w:iCs/>
                <w:sz w:val="16"/>
                <w:szCs w:val="16"/>
              </w:rPr>
            </w:pPr>
            <w:r w:rsidRPr="00416D67">
              <w:rPr>
                <w:rFonts w:ascii="Calibri" w:hAnsi="Calibri" w:cs="Calibri"/>
                <w:b/>
                <w:bCs/>
                <w:i/>
                <w:iCs/>
                <w:sz w:val="16"/>
                <w:szCs w:val="16"/>
              </w:rPr>
              <w:t>1651</w:t>
            </w:r>
          </w:p>
        </w:tc>
        <w:tc>
          <w:tcPr>
            <w:tcW w:w="3940" w:type="dxa"/>
            <w:tcBorders>
              <w:top w:val="nil"/>
              <w:left w:val="nil"/>
              <w:bottom w:val="single" w:sz="4" w:space="0" w:color="808080"/>
              <w:right w:val="single" w:sz="4" w:space="0" w:color="808080"/>
            </w:tcBorders>
            <w:noWrap/>
            <w:vAlign w:val="bottom"/>
            <w:hideMark/>
          </w:tcPr>
          <w:p w14:paraId="206A6503"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 xml:space="preserve">Potraživanja za upravne i </w:t>
            </w:r>
            <w:proofErr w:type="spellStart"/>
            <w:r w:rsidRPr="00416D67">
              <w:rPr>
                <w:rFonts w:ascii="Calibri" w:hAnsi="Calibri" w:cs="Calibri"/>
                <w:b/>
                <w:bCs/>
                <w:i/>
                <w:iCs/>
                <w:sz w:val="16"/>
                <w:szCs w:val="16"/>
              </w:rPr>
              <w:t>administr.pristojbe</w:t>
            </w:r>
            <w:proofErr w:type="spellEnd"/>
          </w:p>
        </w:tc>
        <w:tc>
          <w:tcPr>
            <w:tcW w:w="1620" w:type="dxa"/>
            <w:tcBorders>
              <w:top w:val="nil"/>
              <w:left w:val="nil"/>
              <w:bottom w:val="single" w:sz="4" w:space="0" w:color="808080"/>
              <w:right w:val="single" w:sz="4" w:space="0" w:color="808080"/>
            </w:tcBorders>
            <w:noWrap/>
            <w:vAlign w:val="bottom"/>
            <w:hideMark/>
          </w:tcPr>
          <w:p w14:paraId="2CB1DC36"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39,81</w:t>
            </w:r>
          </w:p>
        </w:tc>
        <w:tc>
          <w:tcPr>
            <w:tcW w:w="1280" w:type="dxa"/>
            <w:tcBorders>
              <w:top w:val="nil"/>
              <w:left w:val="nil"/>
              <w:bottom w:val="single" w:sz="4" w:space="0" w:color="808080"/>
              <w:right w:val="single" w:sz="4" w:space="0" w:color="808080"/>
            </w:tcBorders>
            <w:noWrap/>
            <w:vAlign w:val="bottom"/>
            <w:hideMark/>
          </w:tcPr>
          <w:p w14:paraId="3E59DF54"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39,81</w:t>
            </w:r>
          </w:p>
        </w:tc>
        <w:tc>
          <w:tcPr>
            <w:tcW w:w="1260" w:type="dxa"/>
            <w:tcBorders>
              <w:top w:val="nil"/>
              <w:left w:val="nil"/>
              <w:bottom w:val="single" w:sz="4" w:space="0" w:color="808080"/>
              <w:right w:val="single" w:sz="4" w:space="0" w:color="808080"/>
            </w:tcBorders>
            <w:noWrap/>
            <w:vAlign w:val="bottom"/>
            <w:hideMark/>
          </w:tcPr>
          <w:p w14:paraId="18D97FF2"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0,00</w:t>
            </w:r>
          </w:p>
        </w:tc>
        <w:tc>
          <w:tcPr>
            <w:tcW w:w="1380" w:type="dxa"/>
            <w:tcBorders>
              <w:top w:val="nil"/>
              <w:left w:val="nil"/>
              <w:bottom w:val="single" w:sz="4" w:space="0" w:color="808080"/>
              <w:right w:val="single" w:sz="4" w:space="0" w:color="808080"/>
            </w:tcBorders>
            <w:noWrap/>
            <w:vAlign w:val="bottom"/>
            <w:hideMark/>
          </w:tcPr>
          <w:p w14:paraId="6B0E2600"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0,00</w:t>
            </w:r>
          </w:p>
        </w:tc>
      </w:tr>
      <w:tr w:rsidR="00416D67" w:rsidRPr="00416D67" w14:paraId="2C45B721" w14:textId="77777777" w:rsidTr="00BB1392">
        <w:trPr>
          <w:trHeight w:val="111"/>
          <w:jc w:val="center"/>
        </w:trPr>
        <w:tc>
          <w:tcPr>
            <w:tcW w:w="1120" w:type="dxa"/>
            <w:tcBorders>
              <w:top w:val="nil"/>
              <w:left w:val="single" w:sz="4" w:space="0" w:color="808080"/>
              <w:bottom w:val="single" w:sz="4" w:space="0" w:color="808080"/>
              <w:right w:val="single" w:sz="4" w:space="0" w:color="808080"/>
            </w:tcBorders>
            <w:noWrap/>
            <w:vAlign w:val="bottom"/>
            <w:hideMark/>
          </w:tcPr>
          <w:p w14:paraId="36A13685" w14:textId="77777777" w:rsidR="00416D67" w:rsidRPr="00416D67" w:rsidRDefault="00416D67" w:rsidP="00416D67">
            <w:pPr>
              <w:jc w:val="center"/>
              <w:rPr>
                <w:rFonts w:ascii="Calibri" w:hAnsi="Calibri" w:cs="Calibri"/>
                <w:sz w:val="16"/>
                <w:szCs w:val="16"/>
              </w:rPr>
            </w:pPr>
            <w:r w:rsidRPr="00416D67">
              <w:rPr>
                <w:rFonts w:ascii="Calibri" w:hAnsi="Calibri" w:cs="Calibri"/>
                <w:sz w:val="16"/>
                <w:szCs w:val="16"/>
              </w:rPr>
              <w:t>165123</w:t>
            </w:r>
          </w:p>
        </w:tc>
        <w:tc>
          <w:tcPr>
            <w:tcW w:w="3940" w:type="dxa"/>
            <w:tcBorders>
              <w:top w:val="nil"/>
              <w:left w:val="nil"/>
              <w:bottom w:val="single" w:sz="4" w:space="0" w:color="808080"/>
              <w:right w:val="single" w:sz="4" w:space="0" w:color="808080"/>
            </w:tcBorders>
            <w:noWrap/>
            <w:vAlign w:val="bottom"/>
            <w:hideMark/>
          </w:tcPr>
          <w:p w14:paraId="61B54EDA"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Potraživanje naknada korištenje javne površine</w:t>
            </w:r>
          </w:p>
        </w:tc>
        <w:tc>
          <w:tcPr>
            <w:tcW w:w="1620" w:type="dxa"/>
            <w:tcBorders>
              <w:top w:val="nil"/>
              <w:left w:val="nil"/>
              <w:bottom w:val="single" w:sz="4" w:space="0" w:color="808080"/>
              <w:right w:val="single" w:sz="4" w:space="0" w:color="808080"/>
            </w:tcBorders>
            <w:noWrap/>
            <w:vAlign w:val="bottom"/>
            <w:hideMark/>
          </w:tcPr>
          <w:p w14:paraId="039EE66D"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39,81</w:t>
            </w:r>
          </w:p>
        </w:tc>
        <w:tc>
          <w:tcPr>
            <w:tcW w:w="1280" w:type="dxa"/>
            <w:tcBorders>
              <w:top w:val="nil"/>
              <w:left w:val="nil"/>
              <w:bottom w:val="single" w:sz="4" w:space="0" w:color="808080"/>
              <w:right w:val="single" w:sz="4" w:space="0" w:color="808080"/>
            </w:tcBorders>
            <w:noWrap/>
            <w:vAlign w:val="bottom"/>
            <w:hideMark/>
          </w:tcPr>
          <w:p w14:paraId="01FAA64A"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39,81</w:t>
            </w:r>
          </w:p>
        </w:tc>
        <w:tc>
          <w:tcPr>
            <w:tcW w:w="1260" w:type="dxa"/>
            <w:tcBorders>
              <w:top w:val="nil"/>
              <w:left w:val="nil"/>
              <w:bottom w:val="single" w:sz="4" w:space="0" w:color="808080"/>
              <w:right w:val="single" w:sz="4" w:space="0" w:color="808080"/>
            </w:tcBorders>
            <w:noWrap/>
            <w:vAlign w:val="bottom"/>
            <w:hideMark/>
          </w:tcPr>
          <w:p w14:paraId="07CA0B53"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0,00</w:t>
            </w:r>
          </w:p>
        </w:tc>
        <w:tc>
          <w:tcPr>
            <w:tcW w:w="1380" w:type="dxa"/>
            <w:tcBorders>
              <w:top w:val="nil"/>
              <w:left w:val="nil"/>
              <w:bottom w:val="single" w:sz="4" w:space="0" w:color="808080"/>
              <w:right w:val="single" w:sz="4" w:space="0" w:color="808080"/>
            </w:tcBorders>
            <w:noWrap/>
            <w:vAlign w:val="bottom"/>
            <w:hideMark/>
          </w:tcPr>
          <w:p w14:paraId="6D212999"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0,00</w:t>
            </w:r>
          </w:p>
        </w:tc>
      </w:tr>
      <w:tr w:rsidR="00416D67" w:rsidRPr="00416D67" w14:paraId="7A3E00E7" w14:textId="77777777" w:rsidTr="00BB1392">
        <w:trPr>
          <w:trHeight w:val="64"/>
          <w:jc w:val="center"/>
        </w:trPr>
        <w:tc>
          <w:tcPr>
            <w:tcW w:w="1120" w:type="dxa"/>
            <w:tcBorders>
              <w:top w:val="nil"/>
              <w:left w:val="single" w:sz="4" w:space="0" w:color="808080"/>
              <w:bottom w:val="single" w:sz="4" w:space="0" w:color="808080"/>
              <w:right w:val="single" w:sz="4" w:space="0" w:color="808080"/>
            </w:tcBorders>
            <w:noWrap/>
            <w:vAlign w:val="bottom"/>
            <w:hideMark/>
          </w:tcPr>
          <w:p w14:paraId="098F2E8E" w14:textId="77777777" w:rsidR="00416D67" w:rsidRPr="00416D67" w:rsidRDefault="00416D67" w:rsidP="00416D67">
            <w:pPr>
              <w:jc w:val="center"/>
              <w:rPr>
                <w:rFonts w:ascii="Calibri" w:hAnsi="Calibri" w:cs="Calibri"/>
                <w:b/>
                <w:bCs/>
                <w:i/>
                <w:iCs/>
                <w:sz w:val="16"/>
                <w:szCs w:val="16"/>
              </w:rPr>
            </w:pPr>
            <w:r w:rsidRPr="00416D67">
              <w:rPr>
                <w:rFonts w:ascii="Calibri" w:hAnsi="Calibri" w:cs="Calibri"/>
                <w:b/>
                <w:bCs/>
                <w:i/>
                <w:iCs/>
                <w:sz w:val="16"/>
                <w:szCs w:val="16"/>
              </w:rPr>
              <w:t>1652</w:t>
            </w:r>
          </w:p>
        </w:tc>
        <w:tc>
          <w:tcPr>
            <w:tcW w:w="3940" w:type="dxa"/>
            <w:tcBorders>
              <w:top w:val="nil"/>
              <w:left w:val="nil"/>
              <w:bottom w:val="single" w:sz="4" w:space="0" w:color="808080"/>
              <w:right w:val="single" w:sz="4" w:space="0" w:color="808080"/>
            </w:tcBorders>
            <w:noWrap/>
            <w:vAlign w:val="bottom"/>
            <w:hideMark/>
          </w:tcPr>
          <w:p w14:paraId="54F9AE97"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Potraživanje za prihode po posebnim propisima</w:t>
            </w:r>
          </w:p>
        </w:tc>
        <w:tc>
          <w:tcPr>
            <w:tcW w:w="1620" w:type="dxa"/>
            <w:tcBorders>
              <w:top w:val="nil"/>
              <w:left w:val="nil"/>
              <w:bottom w:val="single" w:sz="4" w:space="0" w:color="808080"/>
              <w:right w:val="single" w:sz="4" w:space="0" w:color="808080"/>
            </w:tcBorders>
            <w:noWrap/>
            <w:vAlign w:val="bottom"/>
            <w:hideMark/>
          </w:tcPr>
          <w:p w14:paraId="09ABA8C1"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36.722,06</w:t>
            </w:r>
          </w:p>
        </w:tc>
        <w:tc>
          <w:tcPr>
            <w:tcW w:w="1280" w:type="dxa"/>
            <w:tcBorders>
              <w:top w:val="nil"/>
              <w:left w:val="nil"/>
              <w:bottom w:val="single" w:sz="4" w:space="0" w:color="808080"/>
              <w:right w:val="single" w:sz="4" w:space="0" w:color="808080"/>
            </w:tcBorders>
            <w:noWrap/>
            <w:vAlign w:val="bottom"/>
            <w:hideMark/>
          </w:tcPr>
          <w:p w14:paraId="1975BC0C"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18.722,62</w:t>
            </w:r>
          </w:p>
        </w:tc>
        <w:tc>
          <w:tcPr>
            <w:tcW w:w="1260" w:type="dxa"/>
            <w:tcBorders>
              <w:top w:val="nil"/>
              <w:left w:val="nil"/>
              <w:bottom w:val="single" w:sz="4" w:space="0" w:color="808080"/>
              <w:right w:val="single" w:sz="4" w:space="0" w:color="808080"/>
            </w:tcBorders>
            <w:noWrap/>
            <w:vAlign w:val="bottom"/>
            <w:hideMark/>
          </w:tcPr>
          <w:p w14:paraId="54BBDA38"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17.999,44</w:t>
            </w:r>
          </w:p>
        </w:tc>
        <w:tc>
          <w:tcPr>
            <w:tcW w:w="1380" w:type="dxa"/>
            <w:tcBorders>
              <w:top w:val="nil"/>
              <w:left w:val="nil"/>
              <w:bottom w:val="single" w:sz="4" w:space="0" w:color="808080"/>
              <w:right w:val="single" w:sz="4" w:space="0" w:color="808080"/>
            </w:tcBorders>
            <w:noWrap/>
            <w:vAlign w:val="bottom"/>
            <w:hideMark/>
          </w:tcPr>
          <w:p w14:paraId="45AF8995"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3.800,31</w:t>
            </w:r>
          </w:p>
        </w:tc>
      </w:tr>
      <w:tr w:rsidR="00416D67" w:rsidRPr="00416D67" w14:paraId="3C634773" w14:textId="77777777" w:rsidTr="00BB1392">
        <w:trPr>
          <w:trHeight w:val="171"/>
          <w:jc w:val="center"/>
        </w:trPr>
        <w:tc>
          <w:tcPr>
            <w:tcW w:w="1120" w:type="dxa"/>
            <w:tcBorders>
              <w:top w:val="nil"/>
              <w:left w:val="single" w:sz="4" w:space="0" w:color="808080"/>
              <w:bottom w:val="single" w:sz="4" w:space="0" w:color="808080"/>
              <w:right w:val="single" w:sz="4" w:space="0" w:color="808080"/>
            </w:tcBorders>
            <w:noWrap/>
            <w:vAlign w:val="bottom"/>
            <w:hideMark/>
          </w:tcPr>
          <w:p w14:paraId="37B58DB6" w14:textId="77777777" w:rsidR="00416D67" w:rsidRPr="00416D67" w:rsidRDefault="00416D67" w:rsidP="00416D67">
            <w:pPr>
              <w:jc w:val="center"/>
              <w:rPr>
                <w:rFonts w:ascii="Calibri" w:hAnsi="Calibri" w:cs="Calibri"/>
                <w:sz w:val="16"/>
                <w:szCs w:val="16"/>
              </w:rPr>
            </w:pPr>
            <w:r w:rsidRPr="00416D67">
              <w:rPr>
                <w:rFonts w:ascii="Calibri" w:hAnsi="Calibri" w:cs="Calibri"/>
                <w:sz w:val="16"/>
                <w:szCs w:val="16"/>
              </w:rPr>
              <w:t>165222</w:t>
            </w:r>
          </w:p>
        </w:tc>
        <w:tc>
          <w:tcPr>
            <w:tcW w:w="3940" w:type="dxa"/>
            <w:tcBorders>
              <w:top w:val="nil"/>
              <w:left w:val="nil"/>
              <w:bottom w:val="single" w:sz="4" w:space="0" w:color="808080"/>
              <w:right w:val="single" w:sz="4" w:space="0" w:color="808080"/>
            </w:tcBorders>
            <w:noWrap/>
            <w:vAlign w:val="bottom"/>
            <w:hideMark/>
          </w:tcPr>
          <w:p w14:paraId="4B0A5941"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Naknada NUV poslovni</w:t>
            </w:r>
          </w:p>
        </w:tc>
        <w:tc>
          <w:tcPr>
            <w:tcW w:w="1620" w:type="dxa"/>
            <w:tcBorders>
              <w:top w:val="nil"/>
              <w:left w:val="nil"/>
              <w:bottom w:val="single" w:sz="4" w:space="0" w:color="808080"/>
              <w:right w:val="single" w:sz="4" w:space="0" w:color="808080"/>
            </w:tcBorders>
            <w:noWrap/>
            <w:vAlign w:val="bottom"/>
            <w:hideMark/>
          </w:tcPr>
          <w:p w14:paraId="670F0028"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6.158,51</w:t>
            </w:r>
          </w:p>
        </w:tc>
        <w:tc>
          <w:tcPr>
            <w:tcW w:w="1280" w:type="dxa"/>
            <w:tcBorders>
              <w:top w:val="nil"/>
              <w:left w:val="nil"/>
              <w:bottom w:val="single" w:sz="4" w:space="0" w:color="808080"/>
              <w:right w:val="single" w:sz="4" w:space="0" w:color="808080"/>
            </w:tcBorders>
            <w:noWrap/>
            <w:vAlign w:val="bottom"/>
            <w:hideMark/>
          </w:tcPr>
          <w:p w14:paraId="4585EDCD" w14:textId="77777777" w:rsidR="00416D67" w:rsidRPr="00416D67" w:rsidRDefault="00416D67" w:rsidP="00416D67">
            <w:pPr>
              <w:jc w:val="right"/>
              <w:rPr>
                <w:rFonts w:ascii="Calibri" w:hAnsi="Calibri" w:cs="Calibri"/>
                <w:i/>
                <w:iCs/>
                <w:sz w:val="16"/>
                <w:szCs w:val="16"/>
              </w:rPr>
            </w:pPr>
            <w:r w:rsidRPr="00416D67">
              <w:rPr>
                <w:rFonts w:ascii="Calibri" w:hAnsi="Calibri" w:cs="Calibri"/>
                <w:i/>
                <w:iCs/>
                <w:sz w:val="16"/>
                <w:szCs w:val="16"/>
              </w:rPr>
              <w:t>0,00</w:t>
            </w:r>
          </w:p>
        </w:tc>
        <w:tc>
          <w:tcPr>
            <w:tcW w:w="1260" w:type="dxa"/>
            <w:tcBorders>
              <w:top w:val="nil"/>
              <w:left w:val="nil"/>
              <w:bottom w:val="single" w:sz="4" w:space="0" w:color="808080"/>
              <w:right w:val="single" w:sz="4" w:space="0" w:color="808080"/>
            </w:tcBorders>
            <w:noWrap/>
            <w:vAlign w:val="bottom"/>
            <w:hideMark/>
          </w:tcPr>
          <w:p w14:paraId="3E00A132" w14:textId="77777777" w:rsidR="00416D67" w:rsidRPr="00416D67" w:rsidRDefault="00416D67" w:rsidP="00416D67">
            <w:pPr>
              <w:jc w:val="right"/>
              <w:rPr>
                <w:rFonts w:ascii="Calibri" w:hAnsi="Calibri" w:cs="Calibri"/>
                <w:i/>
                <w:iCs/>
                <w:sz w:val="16"/>
                <w:szCs w:val="16"/>
              </w:rPr>
            </w:pPr>
            <w:r w:rsidRPr="00416D67">
              <w:rPr>
                <w:rFonts w:ascii="Calibri" w:hAnsi="Calibri" w:cs="Calibri"/>
                <w:i/>
                <w:iCs/>
                <w:sz w:val="16"/>
                <w:szCs w:val="16"/>
              </w:rPr>
              <w:t>6.158,51</w:t>
            </w:r>
          </w:p>
        </w:tc>
        <w:tc>
          <w:tcPr>
            <w:tcW w:w="1380" w:type="dxa"/>
            <w:tcBorders>
              <w:top w:val="nil"/>
              <w:left w:val="nil"/>
              <w:bottom w:val="single" w:sz="4" w:space="0" w:color="808080"/>
              <w:right w:val="single" w:sz="4" w:space="0" w:color="808080"/>
            </w:tcBorders>
            <w:noWrap/>
            <w:vAlign w:val="bottom"/>
            <w:hideMark/>
          </w:tcPr>
          <w:p w14:paraId="3934DF32"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310,96</w:t>
            </w:r>
          </w:p>
        </w:tc>
      </w:tr>
      <w:tr w:rsidR="00416D67" w:rsidRPr="00416D67" w14:paraId="19B0A690" w14:textId="77777777" w:rsidTr="00BB1392">
        <w:trPr>
          <w:trHeight w:val="133"/>
          <w:jc w:val="center"/>
        </w:trPr>
        <w:tc>
          <w:tcPr>
            <w:tcW w:w="1120" w:type="dxa"/>
            <w:tcBorders>
              <w:top w:val="nil"/>
              <w:left w:val="single" w:sz="4" w:space="0" w:color="808080"/>
              <w:bottom w:val="single" w:sz="4" w:space="0" w:color="808080"/>
              <w:right w:val="single" w:sz="4" w:space="0" w:color="808080"/>
            </w:tcBorders>
            <w:noWrap/>
            <w:vAlign w:val="bottom"/>
            <w:hideMark/>
          </w:tcPr>
          <w:p w14:paraId="47B8C8CA" w14:textId="77777777" w:rsidR="00416D67" w:rsidRPr="00416D67" w:rsidRDefault="00416D67" w:rsidP="00416D67">
            <w:pPr>
              <w:jc w:val="center"/>
              <w:rPr>
                <w:rFonts w:ascii="Calibri" w:hAnsi="Calibri" w:cs="Calibri"/>
                <w:sz w:val="16"/>
                <w:szCs w:val="16"/>
              </w:rPr>
            </w:pPr>
            <w:r w:rsidRPr="00416D67">
              <w:rPr>
                <w:rFonts w:ascii="Calibri" w:hAnsi="Calibri" w:cs="Calibri"/>
                <w:sz w:val="16"/>
                <w:szCs w:val="16"/>
              </w:rPr>
              <w:t>165223</w:t>
            </w:r>
          </w:p>
        </w:tc>
        <w:tc>
          <w:tcPr>
            <w:tcW w:w="3940" w:type="dxa"/>
            <w:tcBorders>
              <w:top w:val="nil"/>
              <w:left w:val="nil"/>
              <w:bottom w:val="single" w:sz="4" w:space="0" w:color="808080"/>
              <w:right w:val="single" w:sz="4" w:space="0" w:color="808080"/>
            </w:tcBorders>
            <w:noWrap/>
            <w:vAlign w:val="bottom"/>
            <w:hideMark/>
          </w:tcPr>
          <w:p w14:paraId="16FBC833"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Naknada NUV stambeni</w:t>
            </w:r>
          </w:p>
        </w:tc>
        <w:tc>
          <w:tcPr>
            <w:tcW w:w="1620" w:type="dxa"/>
            <w:tcBorders>
              <w:top w:val="nil"/>
              <w:left w:val="nil"/>
              <w:bottom w:val="single" w:sz="4" w:space="0" w:color="808080"/>
              <w:right w:val="single" w:sz="4" w:space="0" w:color="808080"/>
            </w:tcBorders>
            <w:noWrap/>
            <w:vAlign w:val="bottom"/>
            <w:hideMark/>
          </w:tcPr>
          <w:p w14:paraId="543C05B2"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11.688,94</w:t>
            </w:r>
          </w:p>
        </w:tc>
        <w:tc>
          <w:tcPr>
            <w:tcW w:w="1280" w:type="dxa"/>
            <w:tcBorders>
              <w:top w:val="nil"/>
              <w:left w:val="nil"/>
              <w:bottom w:val="single" w:sz="4" w:space="0" w:color="808080"/>
              <w:right w:val="single" w:sz="4" w:space="0" w:color="808080"/>
            </w:tcBorders>
            <w:noWrap/>
            <w:vAlign w:val="bottom"/>
            <w:hideMark/>
          </w:tcPr>
          <w:p w14:paraId="1DB36E35" w14:textId="77777777" w:rsidR="00416D67" w:rsidRPr="00416D67" w:rsidRDefault="00416D67" w:rsidP="00416D67">
            <w:pPr>
              <w:jc w:val="right"/>
              <w:rPr>
                <w:rFonts w:ascii="Calibri" w:hAnsi="Calibri" w:cs="Calibri"/>
                <w:i/>
                <w:iCs/>
                <w:sz w:val="16"/>
                <w:szCs w:val="16"/>
              </w:rPr>
            </w:pPr>
            <w:r w:rsidRPr="00416D67">
              <w:rPr>
                <w:rFonts w:ascii="Calibri" w:hAnsi="Calibri" w:cs="Calibri"/>
                <w:i/>
                <w:iCs/>
                <w:sz w:val="16"/>
                <w:szCs w:val="16"/>
              </w:rPr>
              <w:t>0,00</w:t>
            </w:r>
          </w:p>
        </w:tc>
        <w:tc>
          <w:tcPr>
            <w:tcW w:w="1260" w:type="dxa"/>
            <w:tcBorders>
              <w:top w:val="nil"/>
              <w:left w:val="nil"/>
              <w:bottom w:val="single" w:sz="4" w:space="0" w:color="808080"/>
              <w:right w:val="single" w:sz="4" w:space="0" w:color="808080"/>
            </w:tcBorders>
            <w:noWrap/>
            <w:vAlign w:val="bottom"/>
            <w:hideMark/>
          </w:tcPr>
          <w:p w14:paraId="0797BA5A" w14:textId="77777777" w:rsidR="00416D67" w:rsidRPr="00416D67" w:rsidRDefault="00416D67" w:rsidP="00416D67">
            <w:pPr>
              <w:jc w:val="right"/>
              <w:rPr>
                <w:rFonts w:ascii="Calibri" w:hAnsi="Calibri" w:cs="Calibri"/>
                <w:i/>
                <w:iCs/>
                <w:sz w:val="16"/>
                <w:szCs w:val="16"/>
              </w:rPr>
            </w:pPr>
            <w:r w:rsidRPr="00416D67">
              <w:rPr>
                <w:rFonts w:ascii="Calibri" w:hAnsi="Calibri" w:cs="Calibri"/>
                <w:i/>
                <w:iCs/>
                <w:sz w:val="16"/>
                <w:szCs w:val="16"/>
              </w:rPr>
              <w:t>11.688,94</w:t>
            </w:r>
          </w:p>
        </w:tc>
        <w:tc>
          <w:tcPr>
            <w:tcW w:w="1380" w:type="dxa"/>
            <w:tcBorders>
              <w:top w:val="nil"/>
              <w:left w:val="nil"/>
              <w:bottom w:val="single" w:sz="4" w:space="0" w:color="808080"/>
              <w:right w:val="single" w:sz="4" w:space="0" w:color="808080"/>
            </w:tcBorders>
            <w:noWrap/>
            <w:vAlign w:val="bottom"/>
            <w:hideMark/>
          </w:tcPr>
          <w:p w14:paraId="62D4D307"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3.489,35</w:t>
            </w:r>
          </w:p>
        </w:tc>
      </w:tr>
      <w:tr w:rsidR="00416D67" w:rsidRPr="00416D67" w14:paraId="589FFA9B" w14:textId="77777777" w:rsidTr="00BB1392">
        <w:trPr>
          <w:trHeight w:val="157"/>
          <w:jc w:val="center"/>
        </w:trPr>
        <w:tc>
          <w:tcPr>
            <w:tcW w:w="1120" w:type="dxa"/>
            <w:tcBorders>
              <w:top w:val="nil"/>
              <w:left w:val="single" w:sz="4" w:space="0" w:color="808080"/>
              <w:bottom w:val="single" w:sz="4" w:space="0" w:color="808080"/>
              <w:right w:val="single" w:sz="4" w:space="0" w:color="808080"/>
            </w:tcBorders>
            <w:noWrap/>
            <w:vAlign w:val="bottom"/>
            <w:hideMark/>
          </w:tcPr>
          <w:p w14:paraId="28F28ED2" w14:textId="77777777" w:rsidR="00416D67" w:rsidRPr="00416D67" w:rsidRDefault="00416D67" w:rsidP="00416D67">
            <w:pPr>
              <w:jc w:val="center"/>
              <w:rPr>
                <w:rFonts w:ascii="Calibri" w:hAnsi="Calibri" w:cs="Calibri"/>
                <w:sz w:val="16"/>
                <w:szCs w:val="16"/>
              </w:rPr>
            </w:pPr>
            <w:r w:rsidRPr="00416D67">
              <w:rPr>
                <w:rFonts w:ascii="Calibri" w:hAnsi="Calibri" w:cs="Calibri"/>
                <w:sz w:val="16"/>
                <w:szCs w:val="16"/>
              </w:rPr>
              <w:t>165261</w:t>
            </w:r>
          </w:p>
        </w:tc>
        <w:tc>
          <w:tcPr>
            <w:tcW w:w="3940" w:type="dxa"/>
            <w:tcBorders>
              <w:top w:val="nil"/>
              <w:left w:val="nil"/>
              <w:bottom w:val="single" w:sz="4" w:space="0" w:color="808080"/>
              <w:right w:val="single" w:sz="4" w:space="0" w:color="808080"/>
            </w:tcBorders>
            <w:noWrap/>
            <w:vAlign w:val="bottom"/>
            <w:hideMark/>
          </w:tcPr>
          <w:p w14:paraId="7C5DE414"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Potraživanja refundacija računa (struja, voda)</w:t>
            </w:r>
          </w:p>
        </w:tc>
        <w:tc>
          <w:tcPr>
            <w:tcW w:w="1620" w:type="dxa"/>
            <w:tcBorders>
              <w:top w:val="nil"/>
              <w:left w:val="nil"/>
              <w:bottom w:val="single" w:sz="4" w:space="0" w:color="808080"/>
              <w:right w:val="single" w:sz="4" w:space="0" w:color="808080"/>
            </w:tcBorders>
            <w:noWrap/>
            <w:vAlign w:val="bottom"/>
            <w:hideMark/>
          </w:tcPr>
          <w:p w14:paraId="3903D2A5"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18.874,61</w:t>
            </w:r>
          </w:p>
        </w:tc>
        <w:tc>
          <w:tcPr>
            <w:tcW w:w="1280" w:type="dxa"/>
            <w:tcBorders>
              <w:top w:val="nil"/>
              <w:left w:val="nil"/>
              <w:bottom w:val="single" w:sz="4" w:space="0" w:color="808080"/>
              <w:right w:val="single" w:sz="4" w:space="0" w:color="808080"/>
            </w:tcBorders>
            <w:noWrap/>
            <w:vAlign w:val="bottom"/>
            <w:hideMark/>
          </w:tcPr>
          <w:p w14:paraId="62B4D5B0" w14:textId="77777777" w:rsidR="00416D67" w:rsidRPr="00416D67" w:rsidRDefault="00416D67" w:rsidP="00416D67">
            <w:pPr>
              <w:jc w:val="right"/>
              <w:rPr>
                <w:rFonts w:ascii="Calibri" w:hAnsi="Calibri" w:cs="Calibri"/>
                <w:i/>
                <w:iCs/>
                <w:sz w:val="16"/>
                <w:szCs w:val="16"/>
              </w:rPr>
            </w:pPr>
            <w:r w:rsidRPr="00416D67">
              <w:rPr>
                <w:rFonts w:ascii="Calibri" w:hAnsi="Calibri" w:cs="Calibri"/>
                <w:i/>
                <w:iCs/>
                <w:sz w:val="16"/>
                <w:szCs w:val="16"/>
              </w:rPr>
              <w:t>18.722,62</w:t>
            </w:r>
          </w:p>
        </w:tc>
        <w:tc>
          <w:tcPr>
            <w:tcW w:w="1260" w:type="dxa"/>
            <w:tcBorders>
              <w:top w:val="nil"/>
              <w:left w:val="nil"/>
              <w:bottom w:val="single" w:sz="4" w:space="0" w:color="808080"/>
              <w:right w:val="single" w:sz="4" w:space="0" w:color="808080"/>
            </w:tcBorders>
            <w:noWrap/>
            <w:vAlign w:val="bottom"/>
            <w:hideMark/>
          </w:tcPr>
          <w:p w14:paraId="4E76A14B" w14:textId="77777777" w:rsidR="00416D67" w:rsidRPr="00416D67" w:rsidRDefault="00416D67" w:rsidP="00416D67">
            <w:pPr>
              <w:jc w:val="right"/>
              <w:rPr>
                <w:rFonts w:ascii="Calibri" w:hAnsi="Calibri" w:cs="Calibri"/>
                <w:i/>
                <w:iCs/>
                <w:sz w:val="16"/>
                <w:szCs w:val="16"/>
              </w:rPr>
            </w:pPr>
            <w:r w:rsidRPr="00416D67">
              <w:rPr>
                <w:rFonts w:ascii="Calibri" w:hAnsi="Calibri" w:cs="Calibri"/>
                <w:i/>
                <w:iCs/>
                <w:sz w:val="16"/>
                <w:szCs w:val="16"/>
              </w:rPr>
              <w:t>151,99</w:t>
            </w:r>
          </w:p>
        </w:tc>
        <w:tc>
          <w:tcPr>
            <w:tcW w:w="1380" w:type="dxa"/>
            <w:tcBorders>
              <w:top w:val="nil"/>
              <w:left w:val="nil"/>
              <w:bottom w:val="single" w:sz="4" w:space="0" w:color="808080"/>
              <w:right w:val="single" w:sz="4" w:space="0" w:color="808080"/>
            </w:tcBorders>
            <w:noWrap/>
            <w:vAlign w:val="bottom"/>
            <w:hideMark/>
          </w:tcPr>
          <w:p w14:paraId="3816AAB7" w14:textId="77777777" w:rsidR="00416D67" w:rsidRPr="00416D67" w:rsidRDefault="00416D67" w:rsidP="00416D67">
            <w:pPr>
              <w:jc w:val="right"/>
              <w:rPr>
                <w:rFonts w:ascii="Calibri" w:hAnsi="Calibri" w:cs="Calibri"/>
                <w:i/>
                <w:iCs/>
                <w:sz w:val="16"/>
                <w:szCs w:val="16"/>
              </w:rPr>
            </w:pPr>
            <w:r w:rsidRPr="00416D67">
              <w:rPr>
                <w:rFonts w:ascii="Calibri" w:hAnsi="Calibri" w:cs="Calibri"/>
                <w:i/>
                <w:iCs/>
                <w:sz w:val="16"/>
                <w:szCs w:val="16"/>
              </w:rPr>
              <w:t>0,00</w:t>
            </w:r>
          </w:p>
        </w:tc>
      </w:tr>
      <w:tr w:rsidR="00416D67" w:rsidRPr="00416D67" w14:paraId="246D8D35" w14:textId="77777777" w:rsidTr="00BB1392">
        <w:trPr>
          <w:trHeight w:val="89"/>
          <w:jc w:val="center"/>
        </w:trPr>
        <w:tc>
          <w:tcPr>
            <w:tcW w:w="1120" w:type="dxa"/>
            <w:tcBorders>
              <w:top w:val="nil"/>
              <w:left w:val="single" w:sz="4" w:space="0" w:color="808080"/>
              <w:bottom w:val="single" w:sz="4" w:space="0" w:color="808080"/>
              <w:right w:val="single" w:sz="4" w:space="0" w:color="808080"/>
            </w:tcBorders>
            <w:noWrap/>
            <w:vAlign w:val="bottom"/>
            <w:hideMark/>
          </w:tcPr>
          <w:p w14:paraId="0C5DFB22" w14:textId="77777777" w:rsidR="00416D67" w:rsidRPr="00416D67" w:rsidRDefault="00416D67" w:rsidP="00416D67">
            <w:pPr>
              <w:jc w:val="center"/>
              <w:rPr>
                <w:rFonts w:ascii="Calibri" w:hAnsi="Calibri" w:cs="Calibri"/>
                <w:b/>
                <w:bCs/>
                <w:i/>
                <w:iCs/>
                <w:sz w:val="16"/>
                <w:szCs w:val="16"/>
              </w:rPr>
            </w:pPr>
            <w:r w:rsidRPr="00416D67">
              <w:rPr>
                <w:rFonts w:ascii="Calibri" w:hAnsi="Calibri" w:cs="Calibri"/>
                <w:b/>
                <w:bCs/>
                <w:i/>
                <w:iCs/>
                <w:sz w:val="16"/>
                <w:szCs w:val="16"/>
              </w:rPr>
              <w:t>1653</w:t>
            </w:r>
          </w:p>
        </w:tc>
        <w:tc>
          <w:tcPr>
            <w:tcW w:w="3940" w:type="dxa"/>
            <w:tcBorders>
              <w:top w:val="nil"/>
              <w:left w:val="nil"/>
              <w:bottom w:val="single" w:sz="4" w:space="0" w:color="808080"/>
              <w:right w:val="single" w:sz="4" w:space="0" w:color="808080"/>
            </w:tcBorders>
            <w:noWrap/>
            <w:vAlign w:val="bottom"/>
            <w:hideMark/>
          </w:tcPr>
          <w:p w14:paraId="0C77ED45"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 xml:space="preserve">Potraživanje za </w:t>
            </w:r>
            <w:proofErr w:type="spellStart"/>
            <w:r w:rsidRPr="00416D67">
              <w:rPr>
                <w:rFonts w:ascii="Calibri" w:hAnsi="Calibri" w:cs="Calibri"/>
                <w:b/>
                <w:bCs/>
                <w:i/>
                <w:iCs/>
                <w:sz w:val="16"/>
                <w:szCs w:val="16"/>
              </w:rPr>
              <w:t>kom.doprinose</w:t>
            </w:r>
            <w:proofErr w:type="spellEnd"/>
            <w:r w:rsidRPr="00416D67">
              <w:rPr>
                <w:rFonts w:ascii="Calibri" w:hAnsi="Calibri" w:cs="Calibri"/>
                <w:b/>
                <w:bCs/>
                <w:i/>
                <w:iCs/>
                <w:sz w:val="16"/>
                <w:szCs w:val="16"/>
              </w:rPr>
              <w:t xml:space="preserve"> i naknade</w:t>
            </w:r>
          </w:p>
        </w:tc>
        <w:tc>
          <w:tcPr>
            <w:tcW w:w="1620" w:type="dxa"/>
            <w:tcBorders>
              <w:top w:val="nil"/>
              <w:left w:val="nil"/>
              <w:bottom w:val="single" w:sz="4" w:space="0" w:color="808080"/>
              <w:right w:val="single" w:sz="4" w:space="0" w:color="808080"/>
            </w:tcBorders>
            <w:noWrap/>
            <w:vAlign w:val="bottom"/>
            <w:hideMark/>
          </w:tcPr>
          <w:p w14:paraId="6FD62018"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726.165,65</w:t>
            </w:r>
          </w:p>
        </w:tc>
        <w:tc>
          <w:tcPr>
            <w:tcW w:w="1280" w:type="dxa"/>
            <w:tcBorders>
              <w:top w:val="nil"/>
              <w:left w:val="nil"/>
              <w:bottom w:val="single" w:sz="4" w:space="0" w:color="808080"/>
              <w:right w:val="single" w:sz="4" w:space="0" w:color="808080"/>
            </w:tcBorders>
            <w:noWrap/>
            <w:vAlign w:val="bottom"/>
            <w:hideMark/>
          </w:tcPr>
          <w:p w14:paraId="049A231F"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429.502,70</w:t>
            </w:r>
          </w:p>
        </w:tc>
        <w:tc>
          <w:tcPr>
            <w:tcW w:w="1260" w:type="dxa"/>
            <w:tcBorders>
              <w:top w:val="nil"/>
              <w:left w:val="nil"/>
              <w:bottom w:val="single" w:sz="4" w:space="0" w:color="808080"/>
              <w:right w:val="single" w:sz="4" w:space="0" w:color="808080"/>
            </w:tcBorders>
            <w:noWrap/>
            <w:vAlign w:val="bottom"/>
            <w:hideMark/>
          </w:tcPr>
          <w:p w14:paraId="28420D0B"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296.662,95</w:t>
            </w:r>
          </w:p>
        </w:tc>
        <w:tc>
          <w:tcPr>
            <w:tcW w:w="1380" w:type="dxa"/>
            <w:tcBorders>
              <w:top w:val="nil"/>
              <w:left w:val="nil"/>
              <w:bottom w:val="single" w:sz="4" w:space="0" w:color="808080"/>
              <w:right w:val="single" w:sz="4" w:space="0" w:color="808080"/>
            </w:tcBorders>
            <w:noWrap/>
            <w:vAlign w:val="bottom"/>
            <w:hideMark/>
          </w:tcPr>
          <w:p w14:paraId="08FB1BFE"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82.448,57</w:t>
            </w:r>
          </w:p>
        </w:tc>
      </w:tr>
      <w:tr w:rsidR="00416D67" w:rsidRPr="00416D67" w14:paraId="14AE7AD9" w14:textId="77777777" w:rsidTr="00BB1392">
        <w:trPr>
          <w:trHeight w:val="99"/>
          <w:jc w:val="center"/>
        </w:trPr>
        <w:tc>
          <w:tcPr>
            <w:tcW w:w="1120" w:type="dxa"/>
            <w:tcBorders>
              <w:top w:val="nil"/>
              <w:left w:val="single" w:sz="4" w:space="0" w:color="808080"/>
              <w:bottom w:val="single" w:sz="4" w:space="0" w:color="808080"/>
              <w:right w:val="single" w:sz="4" w:space="0" w:color="808080"/>
            </w:tcBorders>
            <w:noWrap/>
            <w:vAlign w:val="bottom"/>
            <w:hideMark/>
          </w:tcPr>
          <w:p w14:paraId="19CEEAFF" w14:textId="77777777" w:rsidR="00416D67" w:rsidRPr="00416D67" w:rsidRDefault="00416D67" w:rsidP="00416D67">
            <w:pPr>
              <w:jc w:val="center"/>
              <w:rPr>
                <w:rFonts w:ascii="Calibri" w:hAnsi="Calibri" w:cs="Calibri"/>
                <w:sz w:val="16"/>
                <w:szCs w:val="16"/>
              </w:rPr>
            </w:pPr>
            <w:r w:rsidRPr="00416D67">
              <w:rPr>
                <w:rFonts w:ascii="Calibri" w:hAnsi="Calibri" w:cs="Calibri"/>
                <w:sz w:val="16"/>
                <w:szCs w:val="16"/>
              </w:rPr>
              <w:t>165310</w:t>
            </w:r>
          </w:p>
        </w:tc>
        <w:tc>
          <w:tcPr>
            <w:tcW w:w="3940" w:type="dxa"/>
            <w:tcBorders>
              <w:top w:val="nil"/>
              <w:left w:val="nil"/>
              <w:bottom w:val="single" w:sz="4" w:space="0" w:color="808080"/>
              <w:right w:val="single" w:sz="4" w:space="0" w:color="808080"/>
            </w:tcBorders>
            <w:noWrap/>
            <w:vAlign w:val="bottom"/>
            <w:hideMark/>
          </w:tcPr>
          <w:p w14:paraId="3219E9B7"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Komunalni doprinos</w:t>
            </w:r>
          </w:p>
        </w:tc>
        <w:tc>
          <w:tcPr>
            <w:tcW w:w="1620" w:type="dxa"/>
            <w:tcBorders>
              <w:top w:val="nil"/>
              <w:left w:val="nil"/>
              <w:bottom w:val="single" w:sz="4" w:space="0" w:color="808080"/>
              <w:right w:val="single" w:sz="4" w:space="0" w:color="808080"/>
            </w:tcBorders>
            <w:noWrap/>
            <w:vAlign w:val="bottom"/>
            <w:hideMark/>
          </w:tcPr>
          <w:p w14:paraId="2727EA59"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682.253,08</w:t>
            </w:r>
          </w:p>
        </w:tc>
        <w:tc>
          <w:tcPr>
            <w:tcW w:w="1280" w:type="dxa"/>
            <w:tcBorders>
              <w:top w:val="nil"/>
              <w:left w:val="nil"/>
              <w:bottom w:val="single" w:sz="4" w:space="0" w:color="808080"/>
              <w:right w:val="single" w:sz="4" w:space="0" w:color="808080"/>
            </w:tcBorders>
            <w:noWrap/>
            <w:vAlign w:val="bottom"/>
            <w:hideMark/>
          </w:tcPr>
          <w:p w14:paraId="41561C24"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429.502,70</w:t>
            </w:r>
          </w:p>
        </w:tc>
        <w:tc>
          <w:tcPr>
            <w:tcW w:w="1260" w:type="dxa"/>
            <w:tcBorders>
              <w:top w:val="nil"/>
              <w:left w:val="nil"/>
              <w:bottom w:val="single" w:sz="4" w:space="0" w:color="808080"/>
              <w:right w:val="single" w:sz="4" w:space="0" w:color="808080"/>
            </w:tcBorders>
            <w:noWrap/>
            <w:vAlign w:val="bottom"/>
            <w:hideMark/>
          </w:tcPr>
          <w:p w14:paraId="1F8279AE" w14:textId="77777777" w:rsidR="00416D67" w:rsidRPr="00416D67" w:rsidRDefault="00416D67" w:rsidP="00416D67">
            <w:pPr>
              <w:jc w:val="right"/>
              <w:rPr>
                <w:rFonts w:ascii="Calibri" w:hAnsi="Calibri" w:cs="Calibri"/>
                <w:i/>
                <w:iCs/>
                <w:sz w:val="16"/>
                <w:szCs w:val="16"/>
              </w:rPr>
            </w:pPr>
            <w:r w:rsidRPr="00416D67">
              <w:rPr>
                <w:rFonts w:ascii="Calibri" w:hAnsi="Calibri" w:cs="Calibri"/>
                <w:i/>
                <w:iCs/>
                <w:sz w:val="16"/>
                <w:szCs w:val="16"/>
              </w:rPr>
              <w:t>252.750,38</w:t>
            </w:r>
          </w:p>
        </w:tc>
        <w:tc>
          <w:tcPr>
            <w:tcW w:w="1380" w:type="dxa"/>
            <w:tcBorders>
              <w:top w:val="nil"/>
              <w:left w:val="nil"/>
              <w:bottom w:val="single" w:sz="4" w:space="0" w:color="808080"/>
              <w:right w:val="single" w:sz="4" w:space="0" w:color="808080"/>
            </w:tcBorders>
            <w:noWrap/>
            <w:vAlign w:val="bottom"/>
            <w:hideMark/>
          </w:tcPr>
          <w:p w14:paraId="6B82D190"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57.165,82</w:t>
            </w:r>
          </w:p>
        </w:tc>
      </w:tr>
      <w:tr w:rsidR="00416D67" w:rsidRPr="00416D67" w14:paraId="29EEEB63" w14:textId="77777777" w:rsidTr="00BB1392">
        <w:trPr>
          <w:trHeight w:val="64"/>
          <w:jc w:val="center"/>
        </w:trPr>
        <w:tc>
          <w:tcPr>
            <w:tcW w:w="1120" w:type="dxa"/>
            <w:tcBorders>
              <w:top w:val="nil"/>
              <w:left w:val="single" w:sz="4" w:space="0" w:color="808080"/>
              <w:bottom w:val="single" w:sz="4" w:space="0" w:color="808080"/>
              <w:right w:val="single" w:sz="4" w:space="0" w:color="808080"/>
            </w:tcBorders>
            <w:noWrap/>
            <w:vAlign w:val="bottom"/>
            <w:hideMark/>
          </w:tcPr>
          <w:p w14:paraId="04ABA24A" w14:textId="77777777" w:rsidR="00416D67" w:rsidRPr="00416D67" w:rsidRDefault="00416D67" w:rsidP="00416D67">
            <w:pPr>
              <w:jc w:val="center"/>
              <w:rPr>
                <w:rFonts w:ascii="Calibri" w:hAnsi="Calibri" w:cs="Calibri"/>
                <w:sz w:val="16"/>
                <w:szCs w:val="16"/>
              </w:rPr>
            </w:pPr>
            <w:r w:rsidRPr="00416D67">
              <w:rPr>
                <w:rFonts w:ascii="Calibri" w:hAnsi="Calibri" w:cs="Calibri"/>
                <w:sz w:val="16"/>
                <w:szCs w:val="16"/>
              </w:rPr>
              <w:t>165321</w:t>
            </w:r>
          </w:p>
        </w:tc>
        <w:tc>
          <w:tcPr>
            <w:tcW w:w="3940" w:type="dxa"/>
            <w:tcBorders>
              <w:top w:val="nil"/>
              <w:left w:val="nil"/>
              <w:bottom w:val="single" w:sz="4" w:space="0" w:color="808080"/>
              <w:right w:val="single" w:sz="4" w:space="0" w:color="808080"/>
            </w:tcBorders>
            <w:noWrap/>
            <w:vAlign w:val="bottom"/>
            <w:hideMark/>
          </w:tcPr>
          <w:p w14:paraId="477DA0FD"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 xml:space="preserve">Komunalna naknada </w:t>
            </w:r>
          </w:p>
        </w:tc>
        <w:tc>
          <w:tcPr>
            <w:tcW w:w="1620" w:type="dxa"/>
            <w:tcBorders>
              <w:top w:val="nil"/>
              <w:left w:val="nil"/>
              <w:bottom w:val="single" w:sz="4" w:space="0" w:color="808080"/>
              <w:right w:val="single" w:sz="4" w:space="0" w:color="808080"/>
            </w:tcBorders>
            <w:noWrap/>
            <w:vAlign w:val="bottom"/>
            <w:hideMark/>
          </w:tcPr>
          <w:p w14:paraId="3995D4EA"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43.912,57</w:t>
            </w:r>
          </w:p>
        </w:tc>
        <w:tc>
          <w:tcPr>
            <w:tcW w:w="1280" w:type="dxa"/>
            <w:tcBorders>
              <w:top w:val="nil"/>
              <w:left w:val="nil"/>
              <w:bottom w:val="single" w:sz="4" w:space="0" w:color="808080"/>
              <w:right w:val="single" w:sz="4" w:space="0" w:color="808080"/>
            </w:tcBorders>
            <w:noWrap/>
            <w:vAlign w:val="bottom"/>
            <w:hideMark/>
          </w:tcPr>
          <w:p w14:paraId="4415E807"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0,00</w:t>
            </w:r>
          </w:p>
        </w:tc>
        <w:tc>
          <w:tcPr>
            <w:tcW w:w="1260" w:type="dxa"/>
            <w:tcBorders>
              <w:top w:val="nil"/>
              <w:left w:val="nil"/>
              <w:bottom w:val="single" w:sz="4" w:space="0" w:color="808080"/>
              <w:right w:val="single" w:sz="4" w:space="0" w:color="808080"/>
            </w:tcBorders>
            <w:noWrap/>
            <w:vAlign w:val="bottom"/>
            <w:hideMark/>
          </w:tcPr>
          <w:p w14:paraId="17733846" w14:textId="77777777" w:rsidR="00416D67" w:rsidRPr="00416D67" w:rsidRDefault="00416D67" w:rsidP="00416D67">
            <w:pPr>
              <w:jc w:val="right"/>
              <w:rPr>
                <w:rFonts w:ascii="Calibri" w:hAnsi="Calibri" w:cs="Calibri"/>
                <w:i/>
                <w:iCs/>
                <w:sz w:val="16"/>
                <w:szCs w:val="16"/>
              </w:rPr>
            </w:pPr>
            <w:r w:rsidRPr="00416D67">
              <w:rPr>
                <w:rFonts w:ascii="Calibri" w:hAnsi="Calibri" w:cs="Calibri"/>
                <w:i/>
                <w:iCs/>
                <w:sz w:val="16"/>
                <w:szCs w:val="16"/>
              </w:rPr>
              <w:t>43.912,57</w:t>
            </w:r>
          </w:p>
        </w:tc>
        <w:tc>
          <w:tcPr>
            <w:tcW w:w="1380" w:type="dxa"/>
            <w:tcBorders>
              <w:top w:val="nil"/>
              <w:left w:val="nil"/>
              <w:bottom w:val="single" w:sz="4" w:space="0" w:color="808080"/>
              <w:right w:val="single" w:sz="4" w:space="0" w:color="808080"/>
            </w:tcBorders>
            <w:noWrap/>
            <w:vAlign w:val="bottom"/>
            <w:hideMark/>
          </w:tcPr>
          <w:p w14:paraId="3A42A634"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25.282,75</w:t>
            </w:r>
          </w:p>
        </w:tc>
      </w:tr>
      <w:tr w:rsidR="00416D67" w:rsidRPr="00416D67" w14:paraId="1BF19949" w14:textId="77777777" w:rsidTr="00BB1392">
        <w:trPr>
          <w:trHeight w:val="281"/>
          <w:jc w:val="center"/>
        </w:trPr>
        <w:tc>
          <w:tcPr>
            <w:tcW w:w="1120" w:type="dxa"/>
            <w:tcBorders>
              <w:top w:val="nil"/>
              <w:left w:val="single" w:sz="4" w:space="0" w:color="808080"/>
              <w:bottom w:val="single" w:sz="4" w:space="0" w:color="808080"/>
              <w:right w:val="single" w:sz="4" w:space="0" w:color="808080"/>
            </w:tcBorders>
            <w:shd w:val="clear" w:color="000000" w:fill="BFBFBF"/>
            <w:noWrap/>
            <w:vAlign w:val="bottom"/>
            <w:hideMark/>
          </w:tcPr>
          <w:p w14:paraId="4DC90E47" w14:textId="77777777" w:rsidR="00416D67" w:rsidRPr="00416D67" w:rsidRDefault="00416D67" w:rsidP="00416D67">
            <w:pPr>
              <w:jc w:val="center"/>
              <w:rPr>
                <w:rFonts w:ascii="Calibri" w:hAnsi="Calibri" w:cs="Calibri"/>
                <w:b/>
                <w:bCs/>
                <w:i/>
                <w:iCs/>
                <w:sz w:val="16"/>
                <w:szCs w:val="16"/>
              </w:rPr>
            </w:pPr>
            <w:r w:rsidRPr="00416D67">
              <w:rPr>
                <w:rFonts w:ascii="Calibri" w:hAnsi="Calibri" w:cs="Calibri"/>
                <w:b/>
                <w:bCs/>
                <w:i/>
                <w:iCs/>
                <w:sz w:val="16"/>
                <w:szCs w:val="16"/>
              </w:rPr>
              <w:t>166</w:t>
            </w:r>
          </w:p>
        </w:tc>
        <w:tc>
          <w:tcPr>
            <w:tcW w:w="3940" w:type="dxa"/>
            <w:tcBorders>
              <w:top w:val="nil"/>
              <w:left w:val="nil"/>
              <w:bottom w:val="single" w:sz="4" w:space="0" w:color="808080"/>
              <w:right w:val="single" w:sz="4" w:space="0" w:color="808080"/>
            </w:tcBorders>
            <w:shd w:val="clear" w:color="000000" w:fill="BFBFBF"/>
            <w:vAlign w:val="bottom"/>
            <w:hideMark/>
          </w:tcPr>
          <w:p w14:paraId="3535A76A"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Potraživanje za prihode od prodaje proizvoda i roba, te pruženih usluga</w:t>
            </w:r>
          </w:p>
        </w:tc>
        <w:tc>
          <w:tcPr>
            <w:tcW w:w="1620" w:type="dxa"/>
            <w:tcBorders>
              <w:top w:val="nil"/>
              <w:left w:val="nil"/>
              <w:bottom w:val="single" w:sz="4" w:space="0" w:color="808080"/>
              <w:right w:val="single" w:sz="4" w:space="0" w:color="808080"/>
            </w:tcBorders>
            <w:shd w:val="clear" w:color="000000" w:fill="BFBFBF"/>
            <w:vAlign w:val="bottom"/>
            <w:hideMark/>
          </w:tcPr>
          <w:p w14:paraId="66645D61"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712,35</w:t>
            </w:r>
          </w:p>
        </w:tc>
        <w:tc>
          <w:tcPr>
            <w:tcW w:w="1280" w:type="dxa"/>
            <w:tcBorders>
              <w:top w:val="nil"/>
              <w:left w:val="nil"/>
              <w:bottom w:val="single" w:sz="4" w:space="0" w:color="808080"/>
              <w:right w:val="single" w:sz="4" w:space="0" w:color="808080"/>
            </w:tcBorders>
            <w:shd w:val="clear" w:color="000000" w:fill="BFBFBF"/>
            <w:vAlign w:val="bottom"/>
            <w:hideMark/>
          </w:tcPr>
          <w:p w14:paraId="335F4435"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712,35</w:t>
            </w:r>
          </w:p>
        </w:tc>
        <w:tc>
          <w:tcPr>
            <w:tcW w:w="1260" w:type="dxa"/>
            <w:tcBorders>
              <w:top w:val="nil"/>
              <w:left w:val="nil"/>
              <w:bottom w:val="single" w:sz="4" w:space="0" w:color="808080"/>
              <w:right w:val="single" w:sz="4" w:space="0" w:color="808080"/>
            </w:tcBorders>
            <w:shd w:val="clear" w:color="000000" w:fill="BFBFBF"/>
            <w:vAlign w:val="bottom"/>
            <w:hideMark/>
          </w:tcPr>
          <w:p w14:paraId="68C8634B"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0,00</w:t>
            </w:r>
          </w:p>
        </w:tc>
        <w:tc>
          <w:tcPr>
            <w:tcW w:w="1380" w:type="dxa"/>
            <w:tcBorders>
              <w:top w:val="nil"/>
              <w:left w:val="nil"/>
              <w:bottom w:val="single" w:sz="4" w:space="0" w:color="808080"/>
              <w:right w:val="single" w:sz="4" w:space="0" w:color="808080"/>
            </w:tcBorders>
            <w:shd w:val="clear" w:color="000000" w:fill="BFBFBF"/>
            <w:vAlign w:val="bottom"/>
            <w:hideMark/>
          </w:tcPr>
          <w:p w14:paraId="6A961D5E"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 </w:t>
            </w:r>
          </w:p>
        </w:tc>
      </w:tr>
      <w:tr w:rsidR="00416D67" w:rsidRPr="00416D67" w14:paraId="0F459F4C" w14:textId="77777777" w:rsidTr="00BB1392">
        <w:trPr>
          <w:trHeight w:val="203"/>
          <w:jc w:val="center"/>
        </w:trPr>
        <w:tc>
          <w:tcPr>
            <w:tcW w:w="1120" w:type="dxa"/>
            <w:tcBorders>
              <w:top w:val="nil"/>
              <w:left w:val="single" w:sz="4" w:space="0" w:color="808080"/>
              <w:bottom w:val="single" w:sz="4" w:space="0" w:color="808080"/>
              <w:right w:val="single" w:sz="4" w:space="0" w:color="808080"/>
            </w:tcBorders>
            <w:noWrap/>
            <w:vAlign w:val="bottom"/>
            <w:hideMark/>
          </w:tcPr>
          <w:p w14:paraId="1E923BD8" w14:textId="77777777" w:rsidR="00416D67" w:rsidRPr="00416D67" w:rsidRDefault="00416D67" w:rsidP="00416D67">
            <w:pPr>
              <w:jc w:val="center"/>
              <w:rPr>
                <w:rFonts w:ascii="Calibri" w:hAnsi="Calibri" w:cs="Calibri"/>
                <w:b/>
                <w:bCs/>
                <w:i/>
                <w:iCs/>
                <w:sz w:val="16"/>
                <w:szCs w:val="16"/>
              </w:rPr>
            </w:pPr>
            <w:r w:rsidRPr="00416D67">
              <w:rPr>
                <w:rFonts w:ascii="Calibri" w:hAnsi="Calibri" w:cs="Calibri"/>
                <w:b/>
                <w:bCs/>
                <w:i/>
                <w:iCs/>
                <w:sz w:val="16"/>
                <w:szCs w:val="16"/>
              </w:rPr>
              <w:t>1661</w:t>
            </w:r>
          </w:p>
        </w:tc>
        <w:tc>
          <w:tcPr>
            <w:tcW w:w="3940" w:type="dxa"/>
            <w:tcBorders>
              <w:top w:val="nil"/>
              <w:left w:val="nil"/>
              <w:bottom w:val="single" w:sz="4" w:space="0" w:color="808080"/>
              <w:right w:val="single" w:sz="4" w:space="0" w:color="808080"/>
            </w:tcBorders>
            <w:vAlign w:val="bottom"/>
            <w:hideMark/>
          </w:tcPr>
          <w:p w14:paraId="6B0E9B64"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Potraživanje za prihode od prodaje proizvoda i roba, te pruženih usluga</w:t>
            </w:r>
          </w:p>
        </w:tc>
        <w:tc>
          <w:tcPr>
            <w:tcW w:w="1620" w:type="dxa"/>
            <w:tcBorders>
              <w:top w:val="nil"/>
              <w:left w:val="nil"/>
              <w:bottom w:val="single" w:sz="4" w:space="0" w:color="808080"/>
              <w:right w:val="single" w:sz="4" w:space="0" w:color="808080"/>
            </w:tcBorders>
            <w:noWrap/>
            <w:vAlign w:val="bottom"/>
            <w:hideMark/>
          </w:tcPr>
          <w:p w14:paraId="2A6C47EF"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712,35</w:t>
            </w:r>
          </w:p>
        </w:tc>
        <w:tc>
          <w:tcPr>
            <w:tcW w:w="1280" w:type="dxa"/>
            <w:tcBorders>
              <w:top w:val="nil"/>
              <w:left w:val="nil"/>
              <w:bottom w:val="single" w:sz="4" w:space="0" w:color="808080"/>
              <w:right w:val="single" w:sz="4" w:space="0" w:color="808080"/>
            </w:tcBorders>
            <w:noWrap/>
            <w:vAlign w:val="bottom"/>
            <w:hideMark/>
          </w:tcPr>
          <w:p w14:paraId="1710785D"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712,35</w:t>
            </w:r>
          </w:p>
        </w:tc>
        <w:tc>
          <w:tcPr>
            <w:tcW w:w="1260" w:type="dxa"/>
            <w:tcBorders>
              <w:top w:val="nil"/>
              <w:left w:val="nil"/>
              <w:bottom w:val="single" w:sz="4" w:space="0" w:color="808080"/>
              <w:right w:val="single" w:sz="4" w:space="0" w:color="808080"/>
            </w:tcBorders>
            <w:noWrap/>
            <w:vAlign w:val="bottom"/>
            <w:hideMark/>
          </w:tcPr>
          <w:p w14:paraId="6DE647C5"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0,00</w:t>
            </w:r>
          </w:p>
        </w:tc>
        <w:tc>
          <w:tcPr>
            <w:tcW w:w="1380" w:type="dxa"/>
            <w:tcBorders>
              <w:top w:val="nil"/>
              <w:left w:val="nil"/>
              <w:bottom w:val="single" w:sz="4" w:space="0" w:color="808080"/>
              <w:right w:val="single" w:sz="4" w:space="0" w:color="808080"/>
            </w:tcBorders>
            <w:noWrap/>
            <w:vAlign w:val="bottom"/>
            <w:hideMark/>
          </w:tcPr>
          <w:p w14:paraId="365C556A"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 </w:t>
            </w:r>
          </w:p>
        </w:tc>
      </w:tr>
      <w:tr w:rsidR="00416D67" w:rsidRPr="00416D67" w14:paraId="29EFD406" w14:textId="77777777" w:rsidTr="00BB1392">
        <w:trPr>
          <w:trHeight w:val="153"/>
          <w:jc w:val="center"/>
        </w:trPr>
        <w:tc>
          <w:tcPr>
            <w:tcW w:w="1120" w:type="dxa"/>
            <w:tcBorders>
              <w:top w:val="nil"/>
              <w:left w:val="single" w:sz="4" w:space="0" w:color="808080"/>
              <w:bottom w:val="single" w:sz="4" w:space="0" w:color="808080"/>
              <w:right w:val="single" w:sz="4" w:space="0" w:color="808080"/>
            </w:tcBorders>
            <w:noWrap/>
            <w:vAlign w:val="bottom"/>
            <w:hideMark/>
          </w:tcPr>
          <w:p w14:paraId="7CFCEDA3" w14:textId="77777777" w:rsidR="00416D67" w:rsidRPr="00416D67" w:rsidRDefault="00416D67" w:rsidP="00416D67">
            <w:pPr>
              <w:jc w:val="center"/>
              <w:rPr>
                <w:rFonts w:ascii="Calibri" w:hAnsi="Calibri" w:cs="Calibri"/>
                <w:sz w:val="16"/>
                <w:szCs w:val="16"/>
              </w:rPr>
            </w:pPr>
            <w:r w:rsidRPr="00416D67">
              <w:rPr>
                <w:rFonts w:ascii="Calibri" w:hAnsi="Calibri" w:cs="Calibri"/>
                <w:sz w:val="16"/>
                <w:szCs w:val="16"/>
              </w:rPr>
              <w:t>166155</w:t>
            </w:r>
          </w:p>
        </w:tc>
        <w:tc>
          <w:tcPr>
            <w:tcW w:w="3940" w:type="dxa"/>
            <w:tcBorders>
              <w:top w:val="nil"/>
              <w:left w:val="nil"/>
              <w:bottom w:val="single" w:sz="4" w:space="0" w:color="808080"/>
              <w:right w:val="single" w:sz="4" w:space="0" w:color="808080"/>
            </w:tcBorders>
            <w:noWrap/>
            <w:vAlign w:val="bottom"/>
            <w:hideMark/>
          </w:tcPr>
          <w:p w14:paraId="0E358DEA"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Potraživanje  za 10% naplaćenih prihoda NUV</w:t>
            </w:r>
          </w:p>
        </w:tc>
        <w:tc>
          <w:tcPr>
            <w:tcW w:w="1620" w:type="dxa"/>
            <w:tcBorders>
              <w:top w:val="nil"/>
              <w:left w:val="nil"/>
              <w:bottom w:val="single" w:sz="4" w:space="0" w:color="808080"/>
              <w:right w:val="single" w:sz="4" w:space="0" w:color="808080"/>
            </w:tcBorders>
            <w:noWrap/>
            <w:vAlign w:val="bottom"/>
            <w:hideMark/>
          </w:tcPr>
          <w:p w14:paraId="3791FBB0"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712,35</w:t>
            </w:r>
          </w:p>
        </w:tc>
        <w:tc>
          <w:tcPr>
            <w:tcW w:w="1280" w:type="dxa"/>
            <w:tcBorders>
              <w:top w:val="nil"/>
              <w:left w:val="nil"/>
              <w:bottom w:val="single" w:sz="4" w:space="0" w:color="808080"/>
              <w:right w:val="single" w:sz="4" w:space="0" w:color="808080"/>
            </w:tcBorders>
            <w:noWrap/>
            <w:vAlign w:val="bottom"/>
            <w:hideMark/>
          </w:tcPr>
          <w:p w14:paraId="767152D2"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712,35</w:t>
            </w:r>
          </w:p>
        </w:tc>
        <w:tc>
          <w:tcPr>
            <w:tcW w:w="1260" w:type="dxa"/>
            <w:tcBorders>
              <w:top w:val="nil"/>
              <w:left w:val="nil"/>
              <w:bottom w:val="single" w:sz="4" w:space="0" w:color="808080"/>
              <w:right w:val="single" w:sz="4" w:space="0" w:color="808080"/>
            </w:tcBorders>
            <w:noWrap/>
            <w:vAlign w:val="bottom"/>
            <w:hideMark/>
          </w:tcPr>
          <w:p w14:paraId="748331DB"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0,00</w:t>
            </w:r>
          </w:p>
        </w:tc>
        <w:tc>
          <w:tcPr>
            <w:tcW w:w="1380" w:type="dxa"/>
            <w:tcBorders>
              <w:top w:val="nil"/>
              <w:left w:val="nil"/>
              <w:bottom w:val="single" w:sz="4" w:space="0" w:color="808080"/>
              <w:right w:val="single" w:sz="4" w:space="0" w:color="808080"/>
            </w:tcBorders>
            <w:noWrap/>
            <w:vAlign w:val="bottom"/>
            <w:hideMark/>
          </w:tcPr>
          <w:p w14:paraId="681C8A3A"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 </w:t>
            </w:r>
          </w:p>
        </w:tc>
      </w:tr>
      <w:tr w:rsidR="00416D67" w:rsidRPr="00416D67" w14:paraId="1B0CB4C0" w14:textId="77777777" w:rsidTr="00BB1392">
        <w:trPr>
          <w:trHeight w:val="99"/>
          <w:jc w:val="center"/>
        </w:trPr>
        <w:tc>
          <w:tcPr>
            <w:tcW w:w="1120" w:type="dxa"/>
            <w:tcBorders>
              <w:top w:val="nil"/>
              <w:left w:val="single" w:sz="4" w:space="0" w:color="808080"/>
              <w:bottom w:val="single" w:sz="4" w:space="0" w:color="808080"/>
              <w:right w:val="single" w:sz="4" w:space="0" w:color="808080"/>
            </w:tcBorders>
            <w:shd w:val="clear" w:color="000000" w:fill="BFBFBF"/>
            <w:noWrap/>
            <w:vAlign w:val="bottom"/>
            <w:hideMark/>
          </w:tcPr>
          <w:p w14:paraId="70A5B4CE" w14:textId="77777777" w:rsidR="00416D67" w:rsidRPr="00416D67" w:rsidRDefault="00416D67" w:rsidP="00416D67">
            <w:pPr>
              <w:jc w:val="center"/>
              <w:rPr>
                <w:rFonts w:ascii="Calibri" w:hAnsi="Calibri" w:cs="Calibri"/>
                <w:b/>
                <w:bCs/>
                <w:i/>
                <w:iCs/>
                <w:sz w:val="16"/>
                <w:szCs w:val="16"/>
              </w:rPr>
            </w:pPr>
            <w:r w:rsidRPr="00416D67">
              <w:rPr>
                <w:rFonts w:ascii="Calibri" w:hAnsi="Calibri" w:cs="Calibri"/>
                <w:b/>
                <w:bCs/>
                <w:i/>
                <w:iCs/>
                <w:sz w:val="16"/>
                <w:szCs w:val="16"/>
              </w:rPr>
              <w:t>168</w:t>
            </w:r>
          </w:p>
        </w:tc>
        <w:tc>
          <w:tcPr>
            <w:tcW w:w="3940" w:type="dxa"/>
            <w:tcBorders>
              <w:top w:val="nil"/>
              <w:left w:val="nil"/>
              <w:bottom w:val="single" w:sz="4" w:space="0" w:color="808080"/>
              <w:right w:val="single" w:sz="4" w:space="0" w:color="808080"/>
            </w:tcBorders>
            <w:shd w:val="clear" w:color="000000" w:fill="BFBFBF"/>
            <w:vAlign w:val="bottom"/>
            <w:hideMark/>
          </w:tcPr>
          <w:p w14:paraId="20163FBE"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Potraživanje za kazne i upravne mjere, te ostale prihode</w:t>
            </w:r>
          </w:p>
        </w:tc>
        <w:tc>
          <w:tcPr>
            <w:tcW w:w="1620" w:type="dxa"/>
            <w:tcBorders>
              <w:top w:val="nil"/>
              <w:left w:val="nil"/>
              <w:bottom w:val="single" w:sz="4" w:space="0" w:color="808080"/>
              <w:right w:val="single" w:sz="4" w:space="0" w:color="808080"/>
            </w:tcBorders>
            <w:shd w:val="clear" w:color="000000" w:fill="BFBFBF"/>
            <w:vAlign w:val="bottom"/>
            <w:hideMark/>
          </w:tcPr>
          <w:p w14:paraId="10982E13"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571,61</w:t>
            </w:r>
          </w:p>
        </w:tc>
        <w:tc>
          <w:tcPr>
            <w:tcW w:w="1280" w:type="dxa"/>
            <w:tcBorders>
              <w:top w:val="nil"/>
              <w:left w:val="nil"/>
              <w:bottom w:val="single" w:sz="4" w:space="0" w:color="808080"/>
              <w:right w:val="single" w:sz="4" w:space="0" w:color="808080"/>
            </w:tcBorders>
            <w:shd w:val="clear" w:color="000000" w:fill="BFBFBF"/>
            <w:vAlign w:val="bottom"/>
            <w:hideMark/>
          </w:tcPr>
          <w:p w14:paraId="392C3E68"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571,61</w:t>
            </w:r>
          </w:p>
        </w:tc>
        <w:tc>
          <w:tcPr>
            <w:tcW w:w="1260" w:type="dxa"/>
            <w:tcBorders>
              <w:top w:val="nil"/>
              <w:left w:val="nil"/>
              <w:bottom w:val="single" w:sz="4" w:space="0" w:color="808080"/>
              <w:right w:val="single" w:sz="4" w:space="0" w:color="808080"/>
            </w:tcBorders>
            <w:shd w:val="clear" w:color="000000" w:fill="BFBFBF"/>
            <w:vAlign w:val="bottom"/>
            <w:hideMark/>
          </w:tcPr>
          <w:p w14:paraId="7162FBC3"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0,00</w:t>
            </w:r>
          </w:p>
        </w:tc>
        <w:tc>
          <w:tcPr>
            <w:tcW w:w="1380" w:type="dxa"/>
            <w:tcBorders>
              <w:top w:val="nil"/>
              <w:left w:val="nil"/>
              <w:bottom w:val="single" w:sz="4" w:space="0" w:color="808080"/>
              <w:right w:val="single" w:sz="4" w:space="0" w:color="808080"/>
            </w:tcBorders>
            <w:shd w:val="clear" w:color="000000" w:fill="BFBFBF"/>
            <w:vAlign w:val="bottom"/>
            <w:hideMark/>
          </w:tcPr>
          <w:p w14:paraId="7D615BD3"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0,00</w:t>
            </w:r>
          </w:p>
        </w:tc>
      </w:tr>
      <w:tr w:rsidR="00416D67" w:rsidRPr="00416D67" w14:paraId="70D7EA73" w14:textId="77777777" w:rsidTr="00BB1392">
        <w:trPr>
          <w:trHeight w:val="102"/>
          <w:jc w:val="center"/>
        </w:trPr>
        <w:tc>
          <w:tcPr>
            <w:tcW w:w="1120" w:type="dxa"/>
            <w:tcBorders>
              <w:top w:val="nil"/>
              <w:left w:val="single" w:sz="4" w:space="0" w:color="808080"/>
              <w:bottom w:val="single" w:sz="4" w:space="0" w:color="808080"/>
              <w:right w:val="single" w:sz="4" w:space="0" w:color="808080"/>
            </w:tcBorders>
            <w:noWrap/>
            <w:vAlign w:val="bottom"/>
            <w:hideMark/>
          </w:tcPr>
          <w:p w14:paraId="517EF068" w14:textId="77777777" w:rsidR="00416D67" w:rsidRPr="00416D67" w:rsidRDefault="00416D67" w:rsidP="00416D67">
            <w:pPr>
              <w:jc w:val="center"/>
              <w:rPr>
                <w:rFonts w:ascii="Calibri" w:hAnsi="Calibri" w:cs="Calibri"/>
                <w:b/>
                <w:bCs/>
                <w:i/>
                <w:iCs/>
                <w:sz w:val="16"/>
                <w:szCs w:val="16"/>
              </w:rPr>
            </w:pPr>
            <w:r w:rsidRPr="00416D67">
              <w:rPr>
                <w:rFonts w:ascii="Calibri" w:hAnsi="Calibri" w:cs="Calibri"/>
                <w:b/>
                <w:bCs/>
                <w:i/>
                <w:iCs/>
                <w:sz w:val="16"/>
                <w:szCs w:val="16"/>
              </w:rPr>
              <w:t>1683</w:t>
            </w:r>
          </w:p>
        </w:tc>
        <w:tc>
          <w:tcPr>
            <w:tcW w:w="3940" w:type="dxa"/>
            <w:tcBorders>
              <w:top w:val="nil"/>
              <w:left w:val="nil"/>
              <w:bottom w:val="single" w:sz="4" w:space="0" w:color="808080"/>
              <w:right w:val="single" w:sz="4" w:space="0" w:color="808080"/>
            </w:tcBorders>
            <w:vAlign w:val="bottom"/>
            <w:hideMark/>
          </w:tcPr>
          <w:p w14:paraId="0DD9AAA3"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Potraživanja za ostale prihode</w:t>
            </w:r>
          </w:p>
        </w:tc>
        <w:tc>
          <w:tcPr>
            <w:tcW w:w="1620" w:type="dxa"/>
            <w:tcBorders>
              <w:top w:val="nil"/>
              <w:left w:val="nil"/>
              <w:bottom w:val="single" w:sz="4" w:space="0" w:color="808080"/>
              <w:right w:val="single" w:sz="4" w:space="0" w:color="808080"/>
            </w:tcBorders>
            <w:noWrap/>
            <w:vAlign w:val="bottom"/>
            <w:hideMark/>
          </w:tcPr>
          <w:p w14:paraId="7273F56B"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571,61</w:t>
            </w:r>
          </w:p>
        </w:tc>
        <w:tc>
          <w:tcPr>
            <w:tcW w:w="1280" w:type="dxa"/>
            <w:tcBorders>
              <w:top w:val="nil"/>
              <w:left w:val="nil"/>
              <w:bottom w:val="single" w:sz="4" w:space="0" w:color="808080"/>
              <w:right w:val="single" w:sz="4" w:space="0" w:color="808080"/>
            </w:tcBorders>
            <w:noWrap/>
            <w:vAlign w:val="bottom"/>
            <w:hideMark/>
          </w:tcPr>
          <w:p w14:paraId="659B11A4"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571,61</w:t>
            </w:r>
          </w:p>
        </w:tc>
        <w:tc>
          <w:tcPr>
            <w:tcW w:w="1260" w:type="dxa"/>
            <w:tcBorders>
              <w:top w:val="nil"/>
              <w:left w:val="nil"/>
              <w:bottom w:val="single" w:sz="4" w:space="0" w:color="808080"/>
              <w:right w:val="single" w:sz="4" w:space="0" w:color="808080"/>
            </w:tcBorders>
            <w:noWrap/>
            <w:vAlign w:val="bottom"/>
            <w:hideMark/>
          </w:tcPr>
          <w:p w14:paraId="09009F84"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0,00</w:t>
            </w:r>
          </w:p>
        </w:tc>
        <w:tc>
          <w:tcPr>
            <w:tcW w:w="1380" w:type="dxa"/>
            <w:tcBorders>
              <w:top w:val="nil"/>
              <w:left w:val="nil"/>
              <w:bottom w:val="single" w:sz="4" w:space="0" w:color="808080"/>
              <w:right w:val="single" w:sz="4" w:space="0" w:color="808080"/>
            </w:tcBorders>
            <w:noWrap/>
            <w:vAlign w:val="bottom"/>
            <w:hideMark/>
          </w:tcPr>
          <w:p w14:paraId="77F443BF"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0,00</w:t>
            </w:r>
          </w:p>
        </w:tc>
      </w:tr>
      <w:tr w:rsidR="00416D67" w:rsidRPr="00416D67" w14:paraId="6D160033" w14:textId="77777777" w:rsidTr="00BB1392">
        <w:trPr>
          <w:trHeight w:val="72"/>
          <w:jc w:val="center"/>
        </w:trPr>
        <w:tc>
          <w:tcPr>
            <w:tcW w:w="1120" w:type="dxa"/>
            <w:tcBorders>
              <w:top w:val="nil"/>
              <w:left w:val="single" w:sz="4" w:space="0" w:color="808080"/>
              <w:bottom w:val="single" w:sz="4" w:space="0" w:color="808080"/>
              <w:right w:val="single" w:sz="4" w:space="0" w:color="808080"/>
            </w:tcBorders>
            <w:noWrap/>
            <w:vAlign w:val="bottom"/>
            <w:hideMark/>
          </w:tcPr>
          <w:p w14:paraId="264A258E" w14:textId="77777777" w:rsidR="00416D67" w:rsidRPr="00416D67" w:rsidRDefault="00416D67" w:rsidP="00416D67">
            <w:pPr>
              <w:jc w:val="center"/>
              <w:rPr>
                <w:rFonts w:ascii="Calibri" w:hAnsi="Calibri" w:cs="Calibri"/>
                <w:sz w:val="16"/>
                <w:szCs w:val="16"/>
              </w:rPr>
            </w:pPr>
            <w:r w:rsidRPr="00416D67">
              <w:rPr>
                <w:rFonts w:ascii="Calibri" w:hAnsi="Calibri" w:cs="Calibri"/>
                <w:sz w:val="16"/>
                <w:szCs w:val="16"/>
              </w:rPr>
              <w:t>168310</w:t>
            </w:r>
          </w:p>
        </w:tc>
        <w:tc>
          <w:tcPr>
            <w:tcW w:w="3940" w:type="dxa"/>
            <w:tcBorders>
              <w:top w:val="nil"/>
              <w:left w:val="nil"/>
              <w:bottom w:val="single" w:sz="4" w:space="0" w:color="808080"/>
              <w:right w:val="single" w:sz="4" w:space="0" w:color="808080"/>
            </w:tcBorders>
            <w:noWrap/>
            <w:vAlign w:val="bottom"/>
            <w:hideMark/>
          </w:tcPr>
          <w:p w14:paraId="058F8218"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Ostali prihodi</w:t>
            </w:r>
          </w:p>
        </w:tc>
        <w:tc>
          <w:tcPr>
            <w:tcW w:w="1620" w:type="dxa"/>
            <w:tcBorders>
              <w:top w:val="nil"/>
              <w:left w:val="nil"/>
              <w:bottom w:val="single" w:sz="4" w:space="0" w:color="808080"/>
              <w:right w:val="single" w:sz="4" w:space="0" w:color="808080"/>
            </w:tcBorders>
            <w:noWrap/>
            <w:vAlign w:val="bottom"/>
            <w:hideMark/>
          </w:tcPr>
          <w:p w14:paraId="6D7E8D76"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571,61</w:t>
            </w:r>
          </w:p>
        </w:tc>
        <w:tc>
          <w:tcPr>
            <w:tcW w:w="1280" w:type="dxa"/>
            <w:tcBorders>
              <w:top w:val="nil"/>
              <w:left w:val="nil"/>
              <w:bottom w:val="single" w:sz="4" w:space="0" w:color="808080"/>
              <w:right w:val="single" w:sz="4" w:space="0" w:color="808080"/>
            </w:tcBorders>
            <w:noWrap/>
            <w:vAlign w:val="bottom"/>
            <w:hideMark/>
          </w:tcPr>
          <w:p w14:paraId="2B05D14B"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571,61</w:t>
            </w:r>
          </w:p>
        </w:tc>
        <w:tc>
          <w:tcPr>
            <w:tcW w:w="1260" w:type="dxa"/>
            <w:tcBorders>
              <w:top w:val="nil"/>
              <w:left w:val="nil"/>
              <w:bottom w:val="single" w:sz="4" w:space="0" w:color="808080"/>
              <w:right w:val="single" w:sz="4" w:space="0" w:color="808080"/>
            </w:tcBorders>
            <w:noWrap/>
            <w:vAlign w:val="bottom"/>
            <w:hideMark/>
          </w:tcPr>
          <w:p w14:paraId="193AF39B"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0,00</w:t>
            </w:r>
          </w:p>
        </w:tc>
        <w:tc>
          <w:tcPr>
            <w:tcW w:w="1380" w:type="dxa"/>
            <w:tcBorders>
              <w:top w:val="nil"/>
              <w:left w:val="nil"/>
              <w:bottom w:val="single" w:sz="4" w:space="0" w:color="808080"/>
              <w:right w:val="single" w:sz="4" w:space="0" w:color="808080"/>
            </w:tcBorders>
            <w:noWrap/>
            <w:vAlign w:val="bottom"/>
            <w:hideMark/>
          </w:tcPr>
          <w:p w14:paraId="05A02E1F"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 </w:t>
            </w:r>
          </w:p>
        </w:tc>
      </w:tr>
      <w:tr w:rsidR="00416D67" w:rsidRPr="00416D67" w14:paraId="237AB2FE" w14:textId="77777777" w:rsidTr="00BB1392">
        <w:trPr>
          <w:trHeight w:val="111"/>
          <w:jc w:val="center"/>
        </w:trPr>
        <w:tc>
          <w:tcPr>
            <w:tcW w:w="5060" w:type="dxa"/>
            <w:gridSpan w:val="2"/>
            <w:tcBorders>
              <w:top w:val="single" w:sz="4" w:space="0" w:color="808080"/>
              <w:left w:val="single" w:sz="4" w:space="0" w:color="808080"/>
              <w:bottom w:val="single" w:sz="4" w:space="0" w:color="808080"/>
              <w:right w:val="single" w:sz="4" w:space="0" w:color="808080"/>
            </w:tcBorders>
            <w:noWrap/>
            <w:vAlign w:val="bottom"/>
            <w:hideMark/>
          </w:tcPr>
          <w:p w14:paraId="0012936D" w14:textId="77777777" w:rsidR="00416D67" w:rsidRPr="00416D67" w:rsidRDefault="00416D67" w:rsidP="00416D67">
            <w:pPr>
              <w:jc w:val="center"/>
              <w:rPr>
                <w:rFonts w:ascii="Calibri" w:hAnsi="Calibri" w:cs="Calibri"/>
                <w:b/>
                <w:sz w:val="16"/>
                <w:szCs w:val="16"/>
              </w:rPr>
            </w:pPr>
            <w:r w:rsidRPr="00416D67">
              <w:rPr>
                <w:rFonts w:ascii="Calibri" w:hAnsi="Calibri" w:cs="Calibri"/>
                <w:b/>
                <w:sz w:val="16"/>
                <w:szCs w:val="16"/>
              </w:rPr>
              <w:t>POTRAŽIVANJA PRORAČUNSKI KORISNIK</w:t>
            </w:r>
          </w:p>
        </w:tc>
        <w:tc>
          <w:tcPr>
            <w:tcW w:w="1620" w:type="dxa"/>
            <w:tcBorders>
              <w:top w:val="nil"/>
              <w:left w:val="nil"/>
              <w:bottom w:val="single" w:sz="4" w:space="0" w:color="808080"/>
              <w:right w:val="single" w:sz="4" w:space="0" w:color="808080"/>
            </w:tcBorders>
            <w:vAlign w:val="bottom"/>
            <w:hideMark/>
          </w:tcPr>
          <w:p w14:paraId="63AE697A" w14:textId="77777777" w:rsidR="00416D67" w:rsidRPr="00416D67" w:rsidRDefault="00416D67" w:rsidP="00416D67">
            <w:pPr>
              <w:jc w:val="center"/>
              <w:rPr>
                <w:rFonts w:ascii="Calibri" w:hAnsi="Calibri" w:cs="Calibri"/>
                <w:b/>
                <w:bCs/>
                <w:sz w:val="16"/>
                <w:szCs w:val="16"/>
              </w:rPr>
            </w:pPr>
            <w:r w:rsidRPr="00416D67">
              <w:rPr>
                <w:rFonts w:ascii="Calibri" w:hAnsi="Calibri" w:cs="Calibri"/>
                <w:b/>
                <w:bCs/>
                <w:sz w:val="16"/>
                <w:szCs w:val="16"/>
              </w:rPr>
              <w:t>75.505,89</w:t>
            </w:r>
          </w:p>
        </w:tc>
        <w:tc>
          <w:tcPr>
            <w:tcW w:w="1280" w:type="dxa"/>
            <w:tcBorders>
              <w:top w:val="nil"/>
              <w:left w:val="nil"/>
              <w:bottom w:val="single" w:sz="4" w:space="0" w:color="808080"/>
              <w:right w:val="single" w:sz="4" w:space="0" w:color="808080"/>
            </w:tcBorders>
            <w:vAlign w:val="bottom"/>
            <w:hideMark/>
          </w:tcPr>
          <w:p w14:paraId="351165F5" w14:textId="77777777" w:rsidR="00416D67" w:rsidRPr="00416D67" w:rsidRDefault="00416D67" w:rsidP="00416D67">
            <w:pPr>
              <w:jc w:val="center"/>
              <w:rPr>
                <w:rFonts w:ascii="Calibri" w:hAnsi="Calibri" w:cs="Calibri"/>
                <w:b/>
                <w:bCs/>
                <w:sz w:val="16"/>
                <w:szCs w:val="16"/>
              </w:rPr>
            </w:pPr>
            <w:r w:rsidRPr="00416D67">
              <w:rPr>
                <w:rFonts w:ascii="Calibri" w:hAnsi="Calibri" w:cs="Calibri"/>
                <w:b/>
                <w:bCs/>
                <w:sz w:val="16"/>
                <w:szCs w:val="16"/>
              </w:rPr>
              <w:t>77.034,11</w:t>
            </w:r>
          </w:p>
        </w:tc>
        <w:tc>
          <w:tcPr>
            <w:tcW w:w="1260" w:type="dxa"/>
            <w:tcBorders>
              <w:top w:val="nil"/>
              <w:left w:val="nil"/>
              <w:bottom w:val="single" w:sz="4" w:space="0" w:color="808080"/>
              <w:right w:val="single" w:sz="4" w:space="0" w:color="808080"/>
            </w:tcBorders>
            <w:vAlign w:val="bottom"/>
            <w:hideMark/>
          </w:tcPr>
          <w:p w14:paraId="77813A0C" w14:textId="77777777" w:rsidR="00416D67" w:rsidRPr="00416D67" w:rsidRDefault="00416D67" w:rsidP="00416D67">
            <w:pPr>
              <w:jc w:val="center"/>
              <w:rPr>
                <w:rFonts w:ascii="Calibri" w:hAnsi="Calibri" w:cs="Calibri"/>
                <w:b/>
                <w:bCs/>
                <w:sz w:val="16"/>
                <w:szCs w:val="16"/>
              </w:rPr>
            </w:pPr>
            <w:r w:rsidRPr="00416D67">
              <w:rPr>
                <w:rFonts w:ascii="Calibri" w:hAnsi="Calibri" w:cs="Calibri"/>
                <w:b/>
                <w:bCs/>
                <w:sz w:val="16"/>
                <w:szCs w:val="16"/>
              </w:rPr>
              <w:t>0,00</w:t>
            </w:r>
          </w:p>
        </w:tc>
        <w:tc>
          <w:tcPr>
            <w:tcW w:w="1380" w:type="dxa"/>
            <w:tcBorders>
              <w:top w:val="nil"/>
              <w:left w:val="nil"/>
              <w:bottom w:val="single" w:sz="4" w:space="0" w:color="808080"/>
              <w:right w:val="single" w:sz="4" w:space="0" w:color="808080"/>
            </w:tcBorders>
            <w:vAlign w:val="bottom"/>
            <w:hideMark/>
          </w:tcPr>
          <w:p w14:paraId="339CDA97" w14:textId="77777777" w:rsidR="00416D67" w:rsidRPr="00416D67" w:rsidRDefault="00416D67" w:rsidP="00416D67">
            <w:pPr>
              <w:jc w:val="center"/>
              <w:rPr>
                <w:rFonts w:ascii="Calibri" w:hAnsi="Calibri" w:cs="Calibri"/>
                <w:b/>
                <w:bCs/>
                <w:sz w:val="16"/>
                <w:szCs w:val="16"/>
              </w:rPr>
            </w:pPr>
            <w:r w:rsidRPr="00416D67">
              <w:rPr>
                <w:rFonts w:ascii="Calibri" w:hAnsi="Calibri" w:cs="Calibri"/>
                <w:b/>
                <w:bCs/>
                <w:sz w:val="16"/>
                <w:szCs w:val="16"/>
              </w:rPr>
              <w:t>0,00</w:t>
            </w:r>
          </w:p>
        </w:tc>
      </w:tr>
      <w:tr w:rsidR="00416D67" w:rsidRPr="00416D67" w14:paraId="1A70038D" w14:textId="77777777" w:rsidTr="00BB1392">
        <w:trPr>
          <w:trHeight w:val="64"/>
          <w:jc w:val="center"/>
        </w:trPr>
        <w:tc>
          <w:tcPr>
            <w:tcW w:w="1120" w:type="dxa"/>
            <w:tcBorders>
              <w:top w:val="nil"/>
              <w:left w:val="single" w:sz="4" w:space="0" w:color="808080"/>
              <w:bottom w:val="single" w:sz="4" w:space="0" w:color="808080"/>
              <w:right w:val="single" w:sz="4" w:space="0" w:color="808080"/>
            </w:tcBorders>
            <w:shd w:val="clear" w:color="000000" w:fill="BFBFBF"/>
            <w:noWrap/>
            <w:vAlign w:val="bottom"/>
            <w:hideMark/>
          </w:tcPr>
          <w:p w14:paraId="35316F79" w14:textId="77777777" w:rsidR="00416D67" w:rsidRPr="00416D67" w:rsidRDefault="00416D67" w:rsidP="00416D67">
            <w:pPr>
              <w:jc w:val="center"/>
              <w:rPr>
                <w:rFonts w:ascii="Calibri" w:hAnsi="Calibri" w:cs="Calibri"/>
                <w:b/>
                <w:bCs/>
                <w:i/>
                <w:iCs/>
                <w:sz w:val="16"/>
                <w:szCs w:val="16"/>
              </w:rPr>
            </w:pPr>
            <w:r w:rsidRPr="00416D67">
              <w:rPr>
                <w:rFonts w:ascii="Calibri" w:hAnsi="Calibri" w:cs="Calibri"/>
                <w:b/>
                <w:bCs/>
                <w:i/>
                <w:iCs/>
                <w:sz w:val="16"/>
                <w:szCs w:val="16"/>
              </w:rPr>
              <w:t>163</w:t>
            </w:r>
          </w:p>
        </w:tc>
        <w:tc>
          <w:tcPr>
            <w:tcW w:w="3940" w:type="dxa"/>
            <w:tcBorders>
              <w:top w:val="nil"/>
              <w:left w:val="nil"/>
              <w:bottom w:val="single" w:sz="4" w:space="0" w:color="808080"/>
              <w:right w:val="single" w:sz="4" w:space="0" w:color="808080"/>
            </w:tcBorders>
            <w:shd w:val="clear" w:color="000000" w:fill="BFBFBF"/>
            <w:noWrap/>
            <w:vAlign w:val="bottom"/>
            <w:hideMark/>
          </w:tcPr>
          <w:p w14:paraId="448E4D73"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Potraživanja za pomoći proračunu</w:t>
            </w:r>
          </w:p>
        </w:tc>
        <w:tc>
          <w:tcPr>
            <w:tcW w:w="1620" w:type="dxa"/>
            <w:tcBorders>
              <w:top w:val="nil"/>
              <w:left w:val="nil"/>
              <w:bottom w:val="single" w:sz="4" w:space="0" w:color="808080"/>
              <w:right w:val="single" w:sz="4" w:space="0" w:color="808080"/>
            </w:tcBorders>
            <w:shd w:val="clear" w:color="000000" w:fill="BFBFBF"/>
            <w:vAlign w:val="bottom"/>
            <w:hideMark/>
          </w:tcPr>
          <w:p w14:paraId="223DFC1C"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1.105,00</w:t>
            </w:r>
          </w:p>
        </w:tc>
        <w:tc>
          <w:tcPr>
            <w:tcW w:w="1280" w:type="dxa"/>
            <w:tcBorders>
              <w:top w:val="nil"/>
              <w:left w:val="nil"/>
              <w:bottom w:val="single" w:sz="4" w:space="0" w:color="808080"/>
              <w:right w:val="single" w:sz="4" w:space="0" w:color="808080"/>
            </w:tcBorders>
            <w:shd w:val="clear" w:color="000000" w:fill="BFBFBF"/>
            <w:vAlign w:val="bottom"/>
            <w:hideMark/>
          </w:tcPr>
          <w:p w14:paraId="3EFD9504"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1.105,00</w:t>
            </w:r>
          </w:p>
        </w:tc>
        <w:tc>
          <w:tcPr>
            <w:tcW w:w="1260" w:type="dxa"/>
            <w:tcBorders>
              <w:top w:val="nil"/>
              <w:left w:val="nil"/>
              <w:bottom w:val="single" w:sz="4" w:space="0" w:color="808080"/>
              <w:right w:val="single" w:sz="4" w:space="0" w:color="808080"/>
            </w:tcBorders>
            <w:shd w:val="clear" w:color="000000" w:fill="BFBFBF"/>
            <w:vAlign w:val="bottom"/>
            <w:hideMark/>
          </w:tcPr>
          <w:p w14:paraId="214A81F0"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0,00</w:t>
            </w:r>
          </w:p>
        </w:tc>
        <w:tc>
          <w:tcPr>
            <w:tcW w:w="1380" w:type="dxa"/>
            <w:tcBorders>
              <w:top w:val="nil"/>
              <w:left w:val="nil"/>
              <w:bottom w:val="single" w:sz="4" w:space="0" w:color="808080"/>
              <w:right w:val="single" w:sz="4" w:space="0" w:color="808080"/>
            </w:tcBorders>
            <w:shd w:val="clear" w:color="000000" w:fill="BFBFBF"/>
            <w:vAlign w:val="bottom"/>
            <w:hideMark/>
          </w:tcPr>
          <w:p w14:paraId="4267929A"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0,00</w:t>
            </w:r>
          </w:p>
        </w:tc>
      </w:tr>
      <w:tr w:rsidR="00416D67" w:rsidRPr="00416D67" w14:paraId="326CD102" w14:textId="77777777" w:rsidTr="00BB1392">
        <w:trPr>
          <w:trHeight w:val="64"/>
          <w:jc w:val="center"/>
        </w:trPr>
        <w:tc>
          <w:tcPr>
            <w:tcW w:w="1120" w:type="dxa"/>
            <w:tcBorders>
              <w:top w:val="nil"/>
              <w:left w:val="single" w:sz="4" w:space="0" w:color="808080"/>
              <w:bottom w:val="single" w:sz="4" w:space="0" w:color="808080"/>
              <w:right w:val="single" w:sz="4" w:space="0" w:color="808080"/>
            </w:tcBorders>
            <w:noWrap/>
            <w:vAlign w:val="bottom"/>
            <w:hideMark/>
          </w:tcPr>
          <w:p w14:paraId="5644F763" w14:textId="77777777" w:rsidR="00416D67" w:rsidRPr="00416D67" w:rsidRDefault="00416D67" w:rsidP="00416D67">
            <w:pPr>
              <w:jc w:val="center"/>
              <w:rPr>
                <w:rFonts w:ascii="Calibri" w:hAnsi="Calibri" w:cs="Calibri"/>
                <w:b/>
                <w:bCs/>
                <w:i/>
                <w:iCs/>
                <w:sz w:val="16"/>
                <w:szCs w:val="16"/>
              </w:rPr>
            </w:pPr>
            <w:r w:rsidRPr="00416D67">
              <w:rPr>
                <w:rFonts w:ascii="Calibri" w:hAnsi="Calibri" w:cs="Calibri"/>
                <w:b/>
                <w:bCs/>
                <w:i/>
                <w:iCs/>
                <w:sz w:val="16"/>
                <w:szCs w:val="16"/>
              </w:rPr>
              <w:t>16331</w:t>
            </w:r>
          </w:p>
        </w:tc>
        <w:tc>
          <w:tcPr>
            <w:tcW w:w="3940" w:type="dxa"/>
            <w:tcBorders>
              <w:top w:val="nil"/>
              <w:left w:val="nil"/>
              <w:bottom w:val="single" w:sz="4" w:space="0" w:color="808080"/>
              <w:right w:val="single" w:sz="4" w:space="0" w:color="808080"/>
            </w:tcBorders>
            <w:noWrap/>
            <w:vAlign w:val="bottom"/>
            <w:hideMark/>
          </w:tcPr>
          <w:p w14:paraId="2ED36F87"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Potraživanje proračuna za tekuće pomoći</w:t>
            </w:r>
          </w:p>
        </w:tc>
        <w:tc>
          <w:tcPr>
            <w:tcW w:w="1620" w:type="dxa"/>
            <w:tcBorders>
              <w:top w:val="nil"/>
              <w:left w:val="nil"/>
              <w:bottom w:val="single" w:sz="4" w:space="0" w:color="808080"/>
              <w:right w:val="single" w:sz="4" w:space="0" w:color="808080"/>
            </w:tcBorders>
            <w:vAlign w:val="bottom"/>
            <w:hideMark/>
          </w:tcPr>
          <w:p w14:paraId="006A4A5D"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1.105,00</w:t>
            </w:r>
          </w:p>
        </w:tc>
        <w:tc>
          <w:tcPr>
            <w:tcW w:w="1280" w:type="dxa"/>
            <w:tcBorders>
              <w:top w:val="nil"/>
              <w:left w:val="nil"/>
              <w:bottom w:val="single" w:sz="4" w:space="0" w:color="808080"/>
              <w:right w:val="single" w:sz="4" w:space="0" w:color="808080"/>
            </w:tcBorders>
            <w:vAlign w:val="bottom"/>
            <w:hideMark/>
          </w:tcPr>
          <w:p w14:paraId="08B38DBB"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1.105,00</w:t>
            </w:r>
          </w:p>
        </w:tc>
        <w:tc>
          <w:tcPr>
            <w:tcW w:w="1260" w:type="dxa"/>
            <w:tcBorders>
              <w:top w:val="nil"/>
              <w:left w:val="nil"/>
              <w:bottom w:val="single" w:sz="4" w:space="0" w:color="808080"/>
              <w:right w:val="single" w:sz="4" w:space="0" w:color="808080"/>
            </w:tcBorders>
            <w:vAlign w:val="bottom"/>
            <w:hideMark/>
          </w:tcPr>
          <w:p w14:paraId="6B50FE66"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 </w:t>
            </w:r>
          </w:p>
        </w:tc>
        <w:tc>
          <w:tcPr>
            <w:tcW w:w="1380" w:type="dxa"/>
            <w:tcBorders>
              <w:top w:val="nil"/>
              <w:left w:val="nil"/>
              <w:bottom w:val="single" w:sz="4" w:space="0" w:color="808080"/>
              <w:right w:val="single" w:sz="4" w:space="0" w:color="808080"/>
            </w:tcBorders>
            <w:vAlign w:val="bottom"/>
            <w:hideMark/>
          </w:tcPr>
          <w:p w14:paraId="1D3C6EA1"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 </w:t>
            </w:r>
          </w:p>
        </w:tc>
      </w:tr>
      <w:tr w:rsidR="00416D67" w:rsidRPr="00416D67" w14:paraId="29717671" w14:textId="77777777" w:rsidTr="00BB1392">
        <w:trPr>
          <w:trHeight w:val="162"/>
          <w:jc w:val="center"/>
        </w:trPr>
        <w:tc>
          <w:tcPr>
            <w:tcW w:w="1120" w:type="dxa"/>
            <w:tcBorders>
              <w:top w:val="nil"/>
              <w:left w:val="single" w:sz="4" w:space="0" w:color="808080"/>
              <w:bottom w:val="single" w:sz="4" w:space="0" w:color="808080"/>
              <w:right w:val="single" w:sz="4" w:space="0" w:color="808080"/>
            </w:tcBorders>
            <w:noWrap/>
            <w:vAlign w:val="bottom"/>
            <w:hideMark/>
          </w:tcPr>
          <w:p w14:paraId="139B0E40" w14:textId="77777777" w:rsidR="00416D67" w:rsidRPr="00416D67" w:rsidRDefault="00416D67" w:rsidP="00416D67">
            <w:pPr>
              <w:jc w:val="center"/>
              <w:rPr>
                <w:rFonts w:ascii="Calibri" w:hAnsi="Calibri" w:cs="Calibri"/>
                <w:sz w:val="16"/>
                <w:szCs w:val="16"/>
              </w:rPr>
            </w:pPr>
            <w:r w:rsidRPr="00416D67">
              <w:rPr>
                <w:rFonts w:ascii="Calibri" w:hAnsi="Calibri" w:cs="Calibri"/>
                <w:sz w:val="16"/>
                <w:szCs w:val="16"/>
              </w:rPr>
              <w:t>16331</w:t>
            </w:r>
          </w:p>
        </w:tc>
        <w:tc>
          <w:tcPr>
            <w:tcW w:w="3940" w:type="dxa"/>
            <w:tcBorders>
              <w:top w:val="nil"/>
              <w:left w:val="nil"/>
              <w:bottom w:val="single" w:sz="4" w:space="0" w:color="808080"/>
              <w:right w:val="single" w:sz="4" w:space="0" w:color="808080"/>
            </w:tcBorders>
            <w:noWrap/>
            <w:vAlign w:val="bottom"/>
            <w:hideMark/>
          </w:tcPr>
          <w:p w14:paraId="3E7E5C88"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 xml:space="preserve">Potraživanja za pomoći  </w:t>
            </w:r>
          </w:p>
        </w:tc>
        <w:tc>
          <w:tcPr>
            <w:tcW w:w="1620" w:type="dxa"/>
            <w:tcBorders>
              <w:top w:val="nil"/>
              <w:left w:val="nil"/>
              <w:bottom w:val="single" w:sz="4" w:space="0" w:color="808080"/>
              <w:right w:val="single" w:sz="4" w:space="0" w:color="808080"/>
            </w:tcBorders>
            <w:noWrap/>
            <w:vAlign w:val="bottom"/>
            <w:hideMark/>
          </w:tcPr>
          <w:p w14:paraId="10B0987D"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1.105,00</w:t>
            </w:r>
          </w:p>
        </w:tc>
        <w:tc>
          <w:tcPr>
            <w:tcW w:w="1280" w:type="dxa"/>
            <w:tcBorders>
              <w:top w:val="nil"/>
              <w:left w:val="nil"/>
              <w:bottom w:val="single" w:sz="4" w:space="0" w:color="808080"/>
              <w:right w:val="single" w:sz="4" w:space="0" w:color="808080"/>
            </w:tcBorders>
            <w:noWrap/>
            <w:vAlign w:val="bottom"/>
            <w:hideMark/>
          </w:tcPr>
          <w:p w14:paraId="61D6A709"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1.105,00</w:t>
            </w:r>
          </w:p>
        </w:tc>
        <w:tc>
          <w:tcPr>
            <w:tcW w:w="1260" w:type="dxa"/>
            <w:tcBorders>
              <w:top w:val="nil"/>
              <w:left w:val="nil"/>
              <w:bottom w:val="single" w:sz="4" w:space="0" w:color="808080"/>
              <w:right w:val="single" w:sz="4" w:space="0" w:color="808080"/>
            </w:tcBorders>
            <w:noWrap/>
            <w:vAlign w:val="bottom"/>
            <w:hideMark/>
          </w:tcPr>
          <w:p w14:paraId="02D2E3E2"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 </w:t>
            </w:r>
          </w:p>
        </w:tc>
        <w:tc>
          <w:tcPr>
            <w:tcW w:w="1380" w:type="dxa"/>
            <w:tcBorders>
              <w:top w:val="nil"/>
              <w:left w:val="nil"/>
              <w:bottom w:val="single" w:sz="4" w:space="0" w:color="808080"/>
              <w:right w:val="single" w:sz="4" w:space="0" w:color="808080"/>
            </w:tcBorders>
            <w:noWrap/>
            <w:vAlign w:val="bottom"/>
            <w:hideMark/>
          </w:tcPr>
          <w:p w14:paraId="6F7CFFE2"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 </w:t>
            </w:r>
          </w:p>
        </w:tc>
      </w:tr>
      <w:tr w:rsidR="00416D67" w:rsidRPr="00416D67" w14:paraId="75DEC74A" w14:textId="77777777" w:rsidTr="00BB1392">
        <w:trPr>
          <w:trHeight w:val="465"/>
          <w:jc w:val="center"/>
        </w:trPr>
        <w:tc>
          <w:tcPr>
            <w:tcW w:w="1120" w:type="dxa"/>
            <w:tcBorders>
              <w:top w:val="nil"/>
              <w:left w:val="single" w:sz="4" w:space="0" w:color="808080"/>
              <w:bottom w:val="single" w:sz="4" w:space="0" w:color="808080"/>
              <w:right w:val="single" w:sz="4" w:space="0" w:color="808080"/>
            </w:tcBorders>
            <w:shd w:val="clear" w:color="000000" w:fill="BFBFBF"/>
            <w:noWrap/>
            <w:vAlign w:val="bottom"/>
            <w:hideMark/>
          </w:tcPr>
          <w:p w14:paraId="00D9A8D8" w14:textId="77777777" w:rsidR="00416D67" w:rsidRPr="00416D67" w:rsidRDefault="00416D67" w:rsidP="00416D67">
            <w:pPr>
              <w:jc w:val="center"/>
              <w:rPr>
                <w:rFonts w:ascii="Calibri" w:hAnsi="Calibri" w:cs="Calibri"/>
                <w:b/>
                <w:bCs/>
                <w:i/>
                <w:iCs/>
                <w:sz w:val="16"/>
                <w:szCs w:val="16"/>
              </w:rPr>
            </w:pPr>
            <w:r w:rsidRPr="00416D67">
              <w:rPr>
                <w:rFonts w:ascii="Calibri" w:hAnsi="Calibri" w:cs="Calibri"/>
                <w:b/>
                <w:bCs/>
                <w:i/>
                <w:iCs/>
                <w:sz w:val="16"/>
                <w:szCs w:val="16"/>
              </w:rPr>
              <w:t>165</w:t>
            </w:r>
          </w:p>
        </w:tc>
        <w:tc>
          <w:tcPr>
            <w:tcW w:w="3940" w:type="dxa"/>
            <w:tcBorders>
              <w:top w:val="nil"/>
              <w:left w:val="nil"/>
              <w:bottom w:val="single" w:sz="4" w:space="0" w:color="808080"/>
              <w:right w:val="single" w:sz="4" w:space="0" w:color="808080"/>
            </w:tcBorders>
            <w:shd w:val="clear" w:color="000000" w:fill="BFBFBF"/>
            <w:vAlign w:val="bottom"/>
            <w:hideMark/>
          </w:tcPr>
          <w:p w14:paraId="392F0723"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 xml:space="preserve">Potraživanja za upravne i administrativne pristojbe, </w:t>
            </w:r>
            <w:proofErr w:type="spellStart"/>
            <w:r w:rsidRPr="00416D67">
              <w:rPr>
                <w:rFonts w:ascii="Calibri" w:hAnsi="Calibri" w:cs="Calibri"/>
                <w:b/>
                <w:bCs/>
                <w:i/>
                <w:iCs/>
                <w:sz w:val="16"/>
                <w:szCs w:val="16"/>
              </w:rPr>
              <w:t>pristobe</w:t>
            </w:r>
            <w:proofErr w:type="spellEnd"/>
            <w:r w:rsidRPr="00416D67">
              <w:rPr>
                <w:rFonts w:ascii="Calibri" w:hAnsi="Calibri" w:cs="Calibri"/>
                <w:b/>
                <w:bCs/>
                <w:i/>
                <w:iCs/>
                <w:sz w:val="16"/>
                <w:szCs w:val="16"/>
              </w:rPr>
              <w:t xml:space="preserve"> po posebnim propisima i naknade</w:t>
            </w:r>
          </w:p>
        </w:tc>
        <w:tc>
          <w:tcPr>
            <w:tcW w:w="1620" w:type="dxa"/>
            <w:tcBorders>
              <w:top w:val="nil"/>
              <w:left w:val="nil"/>
              <w:bottom w:val="single" w:sz="4" w:space="0" w:color="808080"/>
              <w:right w:val="single" w:sz="4" w:space="0" w:color="808080"/>
            </w:tcBorders>
            <w:shd w:val="clear" w:color="000000" w:fill="BFBFBF"/>
            <w:vAlign w:val="bottom"/>
            <w:hideMark/>
          </w:tcPr>
          <w:p w14:paraId="5C31AB0C"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9.381,49</w:t>
            </w:r>
          </w:p>
        </w:tc>
        <w:tc>
          <w:tcPr>
            <w:tcW w:w="1280" w:type="dxa"/>
            <w:tcBorders>
              <w:top w:val="nil"/>
              <w:left w:val="nil"/>
              <w:bottom w:val="single" w:sz="4" w:space="0" w:color="808080"/>
              <w:right w:val="single" w:sz="4" w:space="0" w:color="808080"/>
            </w:tcBorders>
            <w:shd w:val="clear" w:color="000000" w:fill="BFBFBF"/>
            <w:vAlign w:val="bottom"/>
            <w:hideMark/>
          </w:tcPr>
          <w:p w14:paraId="787BCEC9"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73.853,71</w:t>
            </w:r>
          </w:p>
        </w:tc>
        <w:tc>
          <w:tcPr>
            <w:tcW w:w="1260" w:type="dxa"/>
            <w:tcBorders>
              <w:top w:val="nil"/>
              <w:left w:val="nil"/>
              <w:bottom w:val="single" w:sz="4" w:space="0" w:color="808080"/>
              <w:right w:val="single" w:sz="4" w:space="0" w:color="808080"/>
            </w:tcBorders>
            <w:shd w:val="clear" w:color="000000" w:fill="BFBFBF"/>
            <w:vAlign w:val="bottom"/>
            <w:hideMark/>
          </w:tcPr>
          <w:p w14:paraId="40B8F6A5"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547,18</w:t>
            </w:r>
          </w:p>
        </w:tc>
        <w:tc>
          <w:tcPr>
            <w:tcW w:w="1380" w:type="dxa"/>
            <w:tcBorders>
              <w:top w:val="nil"/>
              <w:left w:val="nil"/>
              <w:bottom w:val="single" w:sz="4" w:space="0" w:color="808080"/>
              <w:right w:val="single" w:sz="4" w:space="0" w:color="808080"/>
            </w:tcBorders>
            <w:shd w:val="clear" w:color="000000" w:fill="BFBFBF"/>
            <w:vAlign w:val="bottom"/>
            <w:hideMark/>
          </w:tcPr>
          <w:p w14:paraId="12DAFB13"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0,00</w:t>
            </w:r>
          </w:p>
        </w:tc>
      </w:tr>
      <w:tr w:rsidR="00416D67" w:rsidRPr="00416D67" w14:paraId="26BCF8EC" w14:textId="77777777" w:rsidTr="00BB1392">
        <w:trPr>
          <w:trHeight w:val="300"/>
          <w:jc w:val="center"/>
        </w:trPr>
        <w:tc>
          <w:tcPr>
            <w:tcW w:w="1120" w:type="dxa"/>
            <w:tcBorders>
              <w:top w:val="nil"/>
              <w:left w:val="single" w:sz="4" w:space="0" w:color="808080"/>
              <w:bottom w:val="single" w:sz="4" w:space="0" w:color="808080"/>
              <w:right w:val="single" w:sz="4" w:space="0" w:color="808080"/>
            </w:tcBorders>
            <w:noWrap/>
            <w:vAlign w:val="bottom"/>
            <w:hideMark/>
          </w:tcPr>
          <w:p w14:paraId="7E905558" w14:textId="77777777" w:rsidR="00416D67" w:rsidRPr="00416D67" w:rsidRDefault="00416D67" w:rsidP="00416D67">
            <w:pPr>
              <w:jc w:val="center"/>
              <w:rPr>
                <w:rFonts w:ascii="Calibri" w:hAnsi="Calibri" w:cs="Calibri"/>
                <w:b/>
                <w:bCs/>
                <w:i/>
                <w:iCs/>
                <w:sz w:val="16"/>
                <w:szCs w:val="16"/>
              </w:rPr>
            </w:pPr>
            <w:r w:rsidRPr="00416D67">
              <w:rPr>
                <w:rFonts w:ascii="Calibri" w:hAnsi="Calibri" w:cs="Calibri"/>
                <w:b/>
                <w:bCs/>
                <w:i/>
                <w:iCs/>
                <w:sz w:val="16"/>
                <w:szCs w:val="16"/>
              </w:rPr>
              <w:t>1652</w:t>
            </w:r>
          </w:p>
        </w:tc>
        <w:tc>
          <w:tcPr>
            <w:tcW w:w="3940" w:type="dxa"/>
            <w:tcBorders>
              <w:top w:val="nil"/>
              <w:left w:val="nil"/>
              <w:bottom w:val="single" w:sz="4" w:space="0" w:color="808080"/>
              <w:right w:val="single" w:sz="4" w:space="0" w:color="808080"/>
            </w:tcBorders>
            <w:noWrap/>
            <w:vAlign w:val="bottom"/>
            <w:hideMark/>
          </w:tcPr>
          <w:p w14:paraId="02270DBA"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Potraživanje za prihode po posebnim propisima</w:t>
            </w:r>
          </w:p>
        </w:tc>
        <w:tc>
          <w:tcPr>
            <w:tcW w:w="1620" w:type="dxa"/>
            <w:tcBorders>
              <w:top w:val="nil"/>
              <w:left w:val="nil"/>
              <w:bottom w:val="single" w:sz="4" w:space="0" w:color="808080"/>
              <w:right w:val="single" w:sz="4" w:space="0" w:color="808080"/>
            </w:tcBorders>
            <w:noWrap/>
            <w:vAlign w:val="bottom"/>
            <w:hideMark/>
          </w:tcPr>
          <w:p w14:paraId="2F465CAE"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9.381,49</w:t>
            </w:r>
          </w:p>
        </w:tc>
        <w:tc>
          <w:tcPr>
            <w:tcW w:w="1280" w:type="dxa"/>
            <w:tcBorders>
              <w:top w:val="nil"/>
              <w:left w:val="nil"/>
              <w:bottom w:val="single" w:sz="4" w:space="0" w:color="808080"/>
              <w:right w:val="single" w:sz="4" w:space="0" w:color="808080"/>
            </w:tcBorders>
            <w:noWrap/>
            <w:vAlign w:val="bottom"/>
            <w:hideMark/>
          </w:tcPr>
          <w:p w14:paraId="395E5D53"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8.834,31</w:t>
            </w:r>
          </w:p>
        </w:tc>
        <w:tc>
          <w:tcPr>
            <w:tcW w:w="1260" w:type="dxa"/>
            <w:tcBorders>
              <w:top w:val="nil"/>
              <w:left w:val="nil"/>
              <w:bottom w:val="single" w:sz="4" w:space="0" w:color="808080"/>
              <w:right w:val="single" w:sz="4" w:space="0" w:color="808080"/>
            </w:tcBorders>
            <w:noWrap/>
            <w:vAlign w:val="bottom"/>
            <w:hideMark/>
          </w:tcPr>
          <w:p w14:paraId="742F0906"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547,18</w:t>
            </w:r>
          </w:p>
        </w:tc>
        <w:tc>
          <w:tcPr>
            <w:tcW w:w="1380" w:type="dxa"/>
            <w:tcBorders>
              <w:top w:val="nil"/>
              <w:left w:val="nil"/>
              <w:bottom w:val="single" w:sz="4" w:space="0" w:color="808080"/>
              <w:right w:val="single" w:sz="4" w:space="0" w:color="808080"/>
            </w:tcBorders>
            <w:noWrap/>
            <w:vAlign w:val="bottom"/>
            <w:hideMark/>
          </w:tcPr>
          <w:p w14:paraId="4B7A1D25"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0,00</w:t>
            </w:r>
          </w:p>
        </w:tc>
      </w:tr>
      <w:tr w:rsidR="00416D67" w:rsidRPr="00416D67" w14:paraId="23A9DC65" w14:textId="77777777" w:rsidTr="00BB1392">
        <w:trPr>
          <w:trHeight w:val="258"/>
          <w:jc w:val="center"/>
        </w:trPr>
        <w:tc>
          <w:tcPr>
            <w:tcW w:w="1120" w:type="dxa"/>
            <w:tcBorders>
              <w:top w:val="nil"/>
              <w:left w:val="single" w:sz="4" w:space="0" w:color="808080"/>
              <w:bottom w:val="single" w:sz="4" w:space="0" w:color="808080"/>
              <w:right w:val="single" w:sz="4" w:space="0" w:color="808080"/>
            </w:tcBorders>
            <w:noWrap/>
            <w:vAlign w:val="bottom"/>
            <w:hideMark/>
          </w:tcPr>
          <w:p w14:paraId="3AA63F77" w14:textId="77777777" w:rsidR="00416D67" w:rsidRPr="00416D67" w:rsidRDefault="00416D67" w:rsidP="00416D67">
            <w:pPr>
              <w:jc w:val="center"/>
              <w:rPr>
                <w:rFonts w:ascii="Calibri" w:hAnsi="Calibri" w:cs="Calibri"/>
                <w:sz w:val="16"/>
                <w:szCs w:val="16"/>
              </w:rPr>
            </w:pPr>
            <w:r w:rsidRPr="00416D67">
              <w:rPr>
                <w:rFonts w:ascii="Calibri" w:hAnsi="Calibri" w:cs="Calibri"/>
                <w:sz w:val="16"/>
                <w:szCs w:val="16"/>
              </w:rPr>
              <w:t>16526</w:t>
            </w:r>
          </w:p>
        </w:tc>
        <w:tc>
          <w:tcPr>
            <w:tcW w:w="3940" w:type="dxa"/>
            <w:tcBorders>
              <w:top w:val="nil"/>
              <w:left w:val="nil"/>
              <w:bottom w:val="single" w:sz="4" w:space="0" w:color="808080"/>
              <w:right w:val="single" w:sz="4" w:space="0" w:color="808080"/>
            </w:tcBorders>
            <w:vAlign w:val="bottom"/>
            <w:hideMark/>
          </w:tcPr>
          <w:p w14:paraId="16DD87E2"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Potraživanja za prihode po posebnim propisima sufinanciranje boravka</w:t>
            </w:r>
          </w:p>
        </w:tc>
        <w:tc>
          <w:tcPr>
            <w:tcW w:w="1620" w:type="dxa"/>
            <w:tcBorders>
              <w:top w:val="nil"/>
              <w:left w:val="nil"/>
              <w:bottom w:val="single" w:sz="4" w:space="0" w:color="808080"/>
              <w:right w:val="single" w:sz="4" w:space="0" w:color="808080"/>
            </w:tcBorders>
            <w:noWrap/>
            <w:vAlign w:val="bottom"/>
            <w:hideMark/>
          </w:tcPr>
          <w:p w14:paraId="4BB29FCD"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9.381,49</w:t>
            </w:r>
          </w:p>
        </w:tc>
        <w:tc>
          <w:tcPr>
            <w:tcW w:w="1280" w:type="dxa"/>
            <w:tcBorders>
              <w:top w:val="nil"/>
              <w:left w:val="nil"/>
              <w:bottom w:val="single" w:sz="4" w:space="0" w:color="808080"/>
              <w:right w:val="single" w:sz="4" w:space="0" w:color="808080"/>
            </w:tcBorders>
            <w:noWrap/>
            <w:vAlign w:val="bottom"/>
            <w:hideMark/>
          </w:tcPr>
          <w:p w14:paraId="1EA945E1"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8.834,31</w:t>
            </w:r>
          </w:p>
        </w:tc>
        <w:tc>
          <w:tcPr>
            <w:tcW w:w="1260" w:type="dxa"/>
            <w:tcBorders>
              <w:top w:val="nil"/>
              <w:left w:val="nil"/>
              <w:bottom w:val="single" w:sz="4" w:space="0" w:color="808080"/>
              <w:right w:val="single" w:sz="4" w:space="0" w:color="808080"/>
            </w:tcBorders>
            <w:noWrap/>
            <w:vAlign w:val="bottom"/>
            <w:hideMark/>
          </w:tcPr>
          <w:p w14:paraId="5EEA8A60"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547,18</w:t>
            </w:r>
          </w:p>
        </w:tc>
        <w:tc>
          <w:tcPr>
            <w:tcW w:w="1380" w:type="dxa"/>
            <w:tcBorders>
              <w:top w:val="nil"/>
              <w:left w:val="nil"/>
              <w:bottom w:val="single" w:sz="4" w:space="0" w:color="808080"/>
              <w:right w:val="single" w:sz="4" w:space="0" w:color="808080"/>
            </w:tcBorders>
            <w:noWrap/>
            <w:vAlign w:val="bottom"/>
            <w:hideMark/>
          </w:tcPr>
          <w:p w14:paraId="66CB6335"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0,00</w:t>
            </w:r>
          </w:p>
        </w:tc>
      </w:tr>
      <w:tr w:rsidR="00416D67" w:rsidRPr="00416D67" w14:paraId="78409961" w14:textId="77777777" w:rsidTr="00BB1392">
        <w:trPr>
          <w:trHeight w:val="136"/>
          <w:jc w:val="center"/>
        </w:trPr>
        <w:tc>
          <w:tcPr>
            <w:tcW w:w="1120" w:type="dxa"/>
            <w:tcBorders>
              <w:top w:val="nil"/>
              <w:left w:val="single" w:sz="4" w:space="0" w:color="808080"/>
              <w:bottom w:val="single" w:sz="4" w:space="0" w:color="808080"/>
              <w:right w:val="single" w:sz="4" w:space="0" w:color="808080"/>
            </w:tcBorders>
            <w:shd w:val="clear" w:color="000000" w:fill="BFBFBF"/>
            <w:noWrap/>
            <w:vAlign w:val="bottom"/>
            <w:hideMark/>
          </w:tcPr>
          <w:p w14:paraId="4678D6FF" w14:textId="77777777" w:rsidR="00416D67" w:rsidRPr="00416D67" w:rsidRDefault="00416D67" w:rsidP="00416D67">
            <w:pPr>
              <w:jc w:val="center"/>
              <w:rPr>
                <w:rFonts w:ascii="Calibri" w:hAnsi="Calibri" w:cs="Calibri"/>
                <w:b/>
                <w:bCs/>
                <w:i/>
                <w:iCs/>
                <w:sz w:val="16"/>
                <w:szCs w:val="16"/>
              </w:rPr>
            </w:pPr>
            <w:r w:rsidRPr="00416D67">
              <w:rPr>
                <w:rFonts w:ascii="Calibri" w:hAnsi="Calibri" w:cs="Calibri"/>
                <w:b/>
                <w:bCs/>
                <w:i/>
                <w:iCs/>
                <w:sz w:val="16"/>
                <w:szCs w:val="16"/>
              </w:rPr>
              <w:t>166</w:t>
            </w:r>
          </w:p>
        </w:tc>
        <w:tc>
          <w:tcPr>
            <w:tcW w:w="3940" w:type="dxa"/>
            <w:tcBorders>
              <w:top w:val="nil"/>
              <w:left w:val="nil"/>
              <w:bottom w:val="single" w:sz="4" w:space="0" w:color="808080"/>
              <w:right w:val="single" w:sz="4" w:space="0" w:color="808080"/>
            </w:tcBorders>
            <w:shd w:val="clear" w:color="000000" w:fill="BFBFBF"/>
            <w:vAlign w:val="bottom"/>
            <w:hideMark/>
          </w:tcPr>
          <w:p w14:paraId="24DCD958"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Potraživanje za prihode od prodaje proizvoda i roba, te pruženih usluga</w:t>
            </w:r>
          </w:p>
        </w:tc>
        <w:tc>
          <w:tcPr>
            <w:tcW w:w="1620" w:type="dxa"/>
            <w:tcBorders>
              <w:top w:val="nil"/>
              <w:left w:val="nil"/>
              <w:bottom w:val="single" w:sz="4" w:space="0" w:color="808080"/>
              <w:right w:val="single" w:sz="4" w:space="0" w:color="808080"/>
            </w:tcBorders>
            <w:shd w:val="clear" w:color="000000" w:fill="BFBFBF"/>
            <w:vAlign w:val="bottom"/>
            <w:hideMark/>
          </w:tcPr>
          <w:p w14:paraId="478ABD3D"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2.075,40</w:t>
            </w:r>
          </w:p>
        </w:tc>
        <w:tc>
          <w:tcPr>
            <w:tcW w:w="1280" w:type="dxa"/>
            <w:tcBorders>
              <w:top w:val="nil"/>
              <w:left w:val="nil"/>
              <w:bottom w:val="single" w:sz="4" w:space="0" w:color="808080"/>
              <w:right w:val="single" w:sz="4" w:space="0" w:color="808080"/>
            </w:tcBorders>
            <w:shd w:val="clear" w:color="000000" w:fill="BFBFBF"/>
            <w:vAlign w:val="bottom"/>
            <w:hideMark/>
          </w:tcPr>
          <w:p w14:paraId="308AB6CF"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2.075,40</w:t>
            </w:r>
          </w:p>
        </w:tc>
        <w:tc>
          <w:tcPr>
            <w:tcW w:w="1260" w:type="dxa"/>
            <w:tcBorders>
              <w:top w:val="nil"/>
              <w:left w:val="nil"/>
              <w:bottom w:val="single" w:sz="4" w:space="0" w:color="808080"/>
              <w:right w:val="single" w:sz="4" w:space="0" w:color="808080"/>
            </w:tcBorders>
            <w:shd w:val="clear" w:color="000000" w:fill="BFBFBF"/>
            <w:vAlign w:val="bottom"/>
            <w:hideMark/>
          </w:tcPr>
          <w:p w14:paraId="54940162"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0,00</w:t>
            </w:r>
          </w:p>
        </w:tc>
        <w:tc>
          <w:tcPr>
            <w:tcW w:w="1380" w:type="dxa"/>
            <w:tcBorders>
              <w:top w:val="nil"/>
              <w:left w:val="nil"/>
              <w:bottom w:val="single" w:sz="4" w:space="0" w:color="808080"/>
              <w:right w:val="single" w:sz="4" w:space="0" w:color="808080"/>
            </w:tcBorders>
            <w:shd w:val="clear" w:color="000000" w:fill="BFBFBF"/>
            <w:vAlign w:val="bottom"/>
            <w:hideMark/>
          </w:tcPr>
          <w:p w14:paraId="4D05F2CE"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0,00</w:t>
            </w:r>
          </w:p>
        </w:tc>
      </w:tr>
      <w:tr w:rsidR="00416D67" w:rsidRPr="00416D67" w14:paraId="6A25ABF1" w14:textId="77777777" w:rsidTr="00BB1392">
        <w:trPr>
          <w:trHeight w:val="228"/>
          <w:jc w:val="center"/>
        </w:trPr>
        <w:tc>
          <w:tcPr>
            <w:tcW w:w="1120" w:type="dxa"/>
            <w:tcBorders>
              <w:top w:val="nil"/>
              <w:left w:val="single" w:sz="4" w:space="0" w:color="808080"/>
              <w:bottom w:val="single" w:sz="4" w:space="0" w:color="808080"/>
              <w:right w:val="single" w:sz="4" w:space="0" w:color="808080"/>
            </w:tcBorders>
            <w:noWrap/>
            <w:vAlign w:val="bottom"/>
            <w:hideMark/>
          </w:tcPr>
          <w:p w14:paraId="6149288E" w14:textId="77777777" w:rsidR="00416D67" w:rsidRPr="00416D67" w:rsidRDefault="00416D67" w:rsidP="00416D67">
            <w:pPr>
              <w:jc w:val="center"/>
              <w:rPr>
                <w:rFonts w:ascii="Calibri" w:hAnsi="Calibri" w:cs="Calibri"/>
                <w:b/>
                <w:bCs/>
                <w:i/>
                <w:iCs/>
                <w:sz w:val="16"/>
                <w:szCs w:val="16"/>
              </w:rPr>
            </w:pPr>
            <w:r w:rsidRPr="00416D67">
              <w:rPr>
                <w:rFonts w:ascii="Calibri" w:hAnsi="Calibri" w:cs="Calibri"/>
                <w:b/>
                <w:bCs/>
                <w:i/>
                <w:iCs/>
                <w:sz w:val="16"/>
                <w:szCs w:val="16"/>
              </w:rPr>
              <w:lastRenderedPageBreak/>
              <w:t>1661</w:t>
            </w:r>
          </w:p>
        </w:tc>
        <w:tc>
          <w:tcPr>
            <w:tcW w:w="3940" w:type="dxa"/>
            <w:tcBorders>
              <w:top w:val="nil"/>
              <w:left w:val="nil"/>
              <w:bottom w:val="single" w:sz="4" w:space="0" w:color="808080"/>
              <w:right w:val="single" w:sz="4" w:space="0" w:color="808080"/>
            </w:tcBorders>
            <w:vAlign w:val="bottom"/>
            <w:hideMark/>
          </w:tcPr>
          <w:p w14:paraId="4EA5B56A"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Potraživanje za prihode od prodaje proizvoda i roba, te pruženih usluga</w:t>
            </w:r>
          </w:p>
        </w:tc>
        <w:tc>
          <w:tcPr>
            <w:tcW w:w="1620" w:type="dxa"/>
            <w:tcBorders>
              <w:top w:val="nil"/>
              <w:left w:val="nil"/>
              <w:bottom w:val="single" w:sz="4" w:space="0" w:color="808080"/>
              <w:right w:val="single" w:sz="4" w:space="0" w:color="808080"/>
            </w:tcBorders>
            <w:noWrap/>
            <w:vAlign w:val="bottom"/>
            <w:hideMark/>
          </w:tcPr>
          <w:p w14:paraId="462D7794"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2.075,40</w:t>
            </w:r>
          </w:p>
        </w:tc>
        <w:tc>
          <w:tcPr>
            <w:tcW w:w="1280" w:type="dxa"/>
            <w:tcBorders>
              <w:top w:val="nil"/>
              <w:left w:val="nil"/>
              <w:bottom w:val="single" w:sz="4" w:space="0" w:color="808080"/>
              <w:right w:val="single" w:sz="4" w:space="0" w:color="808080"/>
            </w:tcBorders>
            <w:noWrap/>
            <w:vAlign w:val="bottom"/>
            <w:hideMark/>
          </w:tcPr>
          <w:p w14:paraId="59513AF6"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2.075,40</w:t>
            </w:r>
          </w:p>
        </w:tc>
        <w:tc>
          <w:tcPr>
            <w:tcW w:w="1260" w:type="dxa"/>
            <w:tcBorders>
              <w:top w:val="nil"/>
              <w:left w:val="nil"/>
              <w:bottom w:val="single" w:sz="4" w:space="0" w:color="808080"/>
              <w:right w:val="single" w:sz="4" w:space="0" w:color="808080"/>
            </w:tcBorders>
            <w:noWrap/>
            <w:vAlign w:val="bottom"/>
            <w:hideMark/>
          </w:tcPr>
          <w:p w14:paraId="1C4FD32D"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 </w:t>
            </w:r>
          </w:p>
        </w:tc>
        <w:tc>
          <w:tcPr>
            <w:tcW w:w="1380" w:type="dxa"/>
            <w:tcBorders>
              <w:top w:val="nil"/>
              <w:left w:val="nil"/>
              <w:bottom w:val="single" w:sz="4" w:space="0" w:color="808080"/>
              <w:right w:val="single" w:sz="4" w:space="0" w:color="808080"/>
            </w:tcBorders>
            <w:noWrap/>
            <w:vAlign w:val="bottom"/>
            <w:hideMark/>
          </w:tcPr>
          <w:p w14:paraId="3D6516BA"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 </w:t>
            </w:r>
          </w:p>
        </w:tc>
      </w:tr>
      <w:tr w:rsidR="00416D67" w:rsidRPr="00416D67" w14:paraId="087D8CFC" w14:textId="77777777" w:rsidTr="00BB1392">
        <w:trPr>
          <w:trHeight w:val="261"/>
          <w:jc w:val="center"/>
        </w:trPr>
        <w:tc>
          <w:tcPr>
            <w:tcW w:w="1120" w:type="dxa"/>
            <w:tcBorders>
              <w:top w:val="nil"/>
              <w:left w:val="single" w:sz="4" w:space="0" w:color="808080"/>
              <w:bottom w:val="single" w:sz="4" w:space="0" w:color="808080"/>
              <w:right w:val="single" w:sz="4" w:space="0" w:color="808080"/>
            </w:tcBorders>
            <w:noWrap/>
            <w:vAlign w:val="bottom"/>
            <w:hideMark/>
          </w:tcPr>
          <w:p w14:paraId="42423C9A" w14:textId="77777777" w:rsidR="00416D67" w:rsidRPr="00416D67" w:rsidRDefault="00416D67" w:rsidP="00416D67">
            <w:pPr>
              <w:jc w:val="center"/>
              <w:rPr>
                <w:rFonts w:ascii="Calibri" w:hAnsi="Calibri" w:cs="Calibri"/>
                <w:sz w:val="16"/>
                <w:szCs w:val="16"/>
              </w:rPr>
            </w:pPr>
            <w:r w:rsidRPr="00416D67">
              <w:rPr>
                <w:rFonts w:ascii="Calibri" w:hAnsi="Calibri" w:cs="Calibri"/>
                <w:sz w:val="16"/>
                <w:szCs w:val="16"/>
              </w:rPr>
              <w:t>166155</w:t>
            </w:r>
          </w:p>
        </w:tc>
        <w:tc>
          <w:tcPr>
            <w:tcW w:w="3940" w:type="dxa"/>
            <w:tcBorders>
              <w:top w:val="nil"/>
              <w:left w:val="nil"/>
              <w:bottom w:val="single" w:sz="4" w:space="0" w:color="808080"/>
              <w:right w:val="single" w:sz="4" w:space="0" w:color="808080"/>
            </w:tcBorders>
            <w:vAlign w:val="bottom"/>
            <w:hideMark/>
          </w:tcPr>
          <w:p w14:paraId="021BCA0C"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Potraživanje od prihoda usluga pripreme i dostave obroka</w:t>
            </w:r>
          </w:p>
        </w:tc>
        <w:tc>
          <w:tcPr>
            <w:tcW w:w="1620" w:type="dxa"/>
            <w:tcBorders>
              <w:top w:val="nil"/>
              <w:left w:val="nil"/>
              <w:bottom w:val="single" w:sz="4" w:space="0" w:color="808080"/>
              <w:right w:val="single" w:sz="4" w:space="0" w:color="808080"/>
            </w:tcBorders>
            <w:noWrap/>
            <w:vAlign w:val="bottom"/>
            <w:hideMark/>
          </w:tcPr>
          <w:p w14:paraId="7F22E9A0"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2.075,40</w:t>
            </w:r>
          </w:p>
        </w:tc>
        <w:tc>
          <w:tcPr>
            <w:tcW w:w="1280" w:type="dxa"/>
            <w:tcBorders>
              <w:top w:val="nil"/>
              <w:left w:val="nil"/>
              <w:bottom w:val="single" w:sz="4" w:space="0" w:color="808080"/>
              <w:right w:val="single" w:sz="4" w:space="0" w:color="808080"/>
            </w:tcBorders>
            <w:noWrap/>
            <w:vAlign w:val="bottom"/>
            <w:hideMark/>
          </w:tcPr>
          <w:p w14:paraId="796992F7"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2.075,40</w:t>
            </w:r>
          </w:p>
        </w:tc>
        <w:tc>
          <w:tcPr>
            <w:tcW w:w="1260" w:type="dxa"/>
            <w:tcBorders>
              <w:top w:val="nil"/>
              <w:left w:val="nil"/>
              <w:bottom w:val="single" w:sz="4" w:space="0" w:color="808080"/>
              <w:right w:val="single" w:sz="4" w:space="0" w:color="808080"/>
            </w:tcBorders>
            <w:noWrap/>
            <w:vAlign w:val="bottom"/>
            <w:hideMark/>
          </w:tcPr>
          <w:p w14:paraId="6237F79A"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0,00</w:t>
            </w:r>
          </w:p>
        </w:tc>
        <w:tc>
          <w:tcPr>
            <w:tcW w:w="1380" w:type="dxa"/>
            <w:tcBorders>
              <w:top w:val="nil"/>
              <w:left w:val="nil"/>
              <w:bottom w:val="single" w:sz="4" w:space="0" w:color="808080"/>
              <w:right w:val="single" w:sz="4" w:space="0" w:color="808080"/>
            </w:tcBorders>
            <w:noWrap/>
            <w:vAlign w:val="bottom"/>
            <w:hideMark/>
          </w:tcPr>
          <w:p w14:paraId="1822C21D"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0,00</w:t>
            </w:r>
          </w:p>
        </w:tc>
      </w:tr>
      <w:tr w:rsidR="00416D67" w:rsidRPr="00416D67" w14:paraId="09C90182" w14:textId="77777777" w:rsidTr="00BB1392">
        <w:trPr>
          <w:trHeight w:val="70"/>
          <w:jc w:val="center"/>
        </w:trPr>
        <w:tc>
          <w:tcPr>
            <w:tcW w:w="1120" w:type="dxa"/>
            <w:tcBorders>
              <w:top w:val="nil"/>
              <w:left w:val="single" w:sz="4" w:space="0" w:color="808080"/>
              <w:bottom w:val="single" w:sz="4" w:space="0" w:color="808080"/>
              <w:right w:val="single" w:sz="4" w:space="0" w:color="808080"/>
            </w:tcBorders>
            <w:shd w:val="clear" w:color="000000" w:fill="BFBFBF"/>
            <w:noWrap/>
            <w:vAlign w:val="bottom"/>
            <w:hideMark/>
          </w:tcPr>
          <w:p w14:paraId="539646BC" w14:textId="77777777" w:rsidR="00416D67" w:rsidRPr="00416D67" w:rsidRDefault="00416D67" w:rsidP="00416D67">
            <w:pPr>
              <w:jc w:val="center"/>
              <w:rPr>
                <w:rFonts w:ascii="Calibri" w:hAnsi="Calibri" w:cs="Calibri"/>
                <w:b/>
                <w:bCs/>
                <w:i/>
                <w:iCs/>
                <w:sz w:val="16"/>
                <w:szCs w:val="16"/>
              </w:rPr>
            </w:pPr>
            <w:r w:rsidRPr="00416D67">
              <w:rPr>
                <w:rFonts w:ascii="Calibri" w:hAnsi="Calibri" w:cs="Calibri"/>
                <w:b/>
                <w:bCs/>
                <w:i/>
                <w:iCs/>
                <w:sz w:val="16"/>
                <w:szCs w:val="16"/>
              </w:rPr>
              <w:t>167</w:t>
            </w:r>
          </w:p>
        </w:tc>
        <w:tc>
          <w:tcPr>
            <w:tcW w:w="3940" w:type="dxa"/>
            <w:tcBorders>
              <w:top w:val="nil"/>
              <w:left w:val="nil"/>
              <w:bottom w:val="single" w:sz="4" w:space="0" w:color="808080"/>
              <w:right w:val="single" w:sz="4" w:space="0" w:color="808080"/>
            </w:tcBorders>
            <w:shd w:val="clear" w:color="000000" w:fill="BFBFBF"/>
            <w:vAlign w:val="bottom"/>
            <w:hideMark/>
          </w:tcPr>
          <w:p w14:paraId="47247410"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Potraživanja proračunskih korisnika za sredstva uplaćena u nadležni proračun</w:t>
            </w:r>
          </w:p>
        </w:tc>
        <w:tc>
          <w:tcPr>
            <w:tcW w:w="1620" w:type="dxa"/>
            <w:tcBorders>
              <w:top w:val="nil"/>
              <w:left w:val="nil"/>
              <w:bottom w:val="single" w:sz="4" w:space="0" w:color="808080"/>
              <w:right w:val="single" w:sz="4" w:space="0" w:color="808080"/>
            </w:tcBorders>
            <w:shd w:val="clear" w:color="000000" w:fill="BFBFBF"/>
            <w:vAlign w:val="bottom"/>
            <w:hideMark/>
          </w:tcPr>
          <w:p w14:paraId="5C855484"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62.944,00</w:t>
            </w:r>
          </w:p>
        </w:tc>
        <w:tc>
          <w:tcPr>
            <w:tcW w:w="1280" w:type="dxa"/>
            <w:tcBorders>
              <w:top w:val="nil"/>
              <w:left w:val="nil"/>
              <w:bottom w:val="single" w:sz="4" w:space="0" w:color="808080"/>
              <w:right w:val="single" w:sz="4" w:space="0" w:color="808080"/>
            </w:tcBorders>
            <w:shd w:val="clear" w:color="000000" w:fill="BFBFBF"/>
            <w:vAlign w:val="bottom"/>
            <w:hideMark/>
          </w:tcPr>
          <w:p w14:paraId="02082978"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62.944,00</w:t>
            </w:r>
          </w:p>
        </w:tc>
        <w:tc>
          <w:tcPr>
            <w:tcW w:w="1260" w:type="dxa"/>
            <w:tcBorders>
              <w:top w:val="nil"/>
              <w:left w:val="nil"/>
              <w:bottom w:val="single" w:sz="4" w:space="0" w:color="808080"/>
              <w:right w:val="single" w:sz="4" w:space="0" w:color="808080"/>
            </w:tcBorders>
            <w:shd w:val="clear" w:color="000000" w:fill="BFBFBF"/>
            <w:vAlign w:val="bottom"/>
            <w:hideMark/>
          </w:tcPr>
          <w:p w14:paraId="0E2B8816"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0,00</w:t>
            </w:r>
          </w:p>
        </w:tc>
        <w:tc>
          <w:tcPr>
            <w:tcW w:w="1380" w:type="dxa"/>
            <w:tcBorders>
              <w:top w:val="nil"/>
              <w:left w:val="nil"/>
              <w:bottom w:val="single" w:sz="4" w:space="0" w:color="808080"/>
              <w:right w:val="single" w:sz="4" w:space="0" w:color="808080"/>
            </w:tcBorders>
            <w:shd w:val="clear" w:color="000000" w:fill="BFBFBF"/>
            <w:vAlign w:val="bottom"/>
            <w:hideMark/>
          </w:tcPr>
          <w:p w14:paraId="37105CE8"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0,00</w:t>
            </w:r>
          </w:p>
        </w:tc>
      </w:tr>
      <w:tr w:rsidR="00416D67" w:rsidRPr="00416D67" w14:paraId="0D449389" w14:textId="77777777" w:rsidTr="00BB1392">
        <w:trPr>
          <w:trHeight w:val="303"/>
          <w:jc w:val="center"/>
        </w:trPr>
        <w:tc>
          <w:tcPr>
            <w:tcW w:w="1120" w:type="dxa"/>
            <w:tcBorders>
              <w:top w:val="nil"/>
              <w:left w:val="single" w:sz="4" w:space="0" w:color="808080"/>
              <w:bottom w:val="single" w:sz="4" w:space="0" w:color="808080"/>
              <w:right w:val="single" w:sz="4" w:space="0" w:color="808080"/>
            </w:tcBorders>
            <w:noWrap/>
            <w:vAlign w:val="bottom"/>
            <w:hideMark/>
          </w:tcPr>
          <w:p w14:paraId="7F4B87CD" w14:textId="77777777" w:rsidR="00416D67" w:rsidRPr="00416D67" w:rsidRDefault="00416D67" w:rsidP="00416D67">
            <w:pPr>
              <w:jc w:val="center"/>
              <w:rPr>
                <w:rFonts w:ascii="Calibri" w:hAnsi="Calibri" w:cs="Calibri"/>
                <w:b/>
                <w:bCs/>
                <w:i/>
                <w:iCs/>
                <w:sz w:val="16"/>
                <w:szCs w:val="16"/>
              </w:rPr>
            </w:pPr>
            <w:r w:rsidRPr="00416D67">
              <w:rPr>
                <w:rFonts w:ascii="Calibri" w:hAnsi="Calibri" w:cs="Calibri"/>
                <w:b/>
                <w:bCs/>
                <w:i/>
                <w:iCs/>
                <w:sz w:val="16"/>
                <w:szCs w:val="16"/>
              </w:rPr>
              <w:t>167</w:t>
            </w:r>
          </w:p>
        </w:tc>
        <w:tc>
          <w:tcPr>
            <w:tcW w:w="3940" w:type="dxa"/>
            <w:tcBorders>
              <w:top w:val="nil"/>
              <w:left w:val="nil"/>
              <w:bottom w:val="single" w:sz="4" w:space="0" w:color="808080"/>
              <w:right w:val="single" w:sz="4" w:space="0" w:color="808080"/>
            </w:tcBorders>
            <w:vAlign w:val="bottom"/>
            <w:hideMark/>
          </w:tcPr>
          <w:p w14:paraId="0FA5D0CA"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Potraživanja proračunskih korisnika za sredstva uplaćena u nadležni proračun</w:t>
            </w:r>
          </w:p>
        </w:tc>
        <w:tc>
          <w:tcPr>
            <w:tcW w:w="1620" w:type="dxa"/>
            <w:tcBorders>
              <w:top w:val="nil"/>
              <w:left w:val="nil"/>
              <w:bottom w:val="single" w:sz="4" w:space="0" w:color="808080"/>
              <w:right w:val="single" w:sz="4" w:space="0" w:color="808080"/>
            </w:tcBorders>
            <w:noWrap/>
            <w:vAlign w:val="bottom"/>
            <w:hideMark/>
          </w:tcPr>
          <w:p w14:paraId="67479F09"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62.944,00</w:t>
            </w:r>
          </w:p>
        </w:tc>
        <w:tc>
          <w:tcPr>
            <w:tcW w:w="1280" w:type="dxa"/>
            <w:tcBorders>
              <w:top w:val="nil"/>
              <w:left w:val="nil"/>
              <w:bottom w:val="single" w:sz="4" w:space="0" w:color="808080"/>
              <w:right w:val="single" w:sz="4" w:space="0" w:color="808080"/>
            </w:tcBorders>
            <w:noWrap/>
            <w:vAlign w:val="bottom"/>
            <w:hideMark/>
          </w:tcPr>
          <w:p w14:paraId="41AD0B50" w14:textId="77777777" w:rsidR="00416D67" w:rsidRPr="00416D67" w:rsidRDefault="00416D67" w:rsidP="00416D67">
            <w:pPr>
              <w:jc w:val="right"/>
              <w:rPr>
                <w:rFonts w:ascii="Calibri" w:hAnsi="Calibri" w:cs="Calibri"/>
                <w:b/>
                <w:bCs/>
                <w:i/>
                <w:iCs/>
                <w:sz w:val="16"/>
                <w:szCs w:val="16"/>
              </w:rPr>
            </w:pPr>
            <w:r w:rsidRPr="00416D67">
              <w:rPr>
                <w:rFonts w:ascii="Calibri" w:hAnsi="Calibri" w:cs="Calibri"/>
                <w:b/>
                <w:bCs/>
                <w:i/>
                <w:iCs/>
                <w:sz w:val="16"/>
                <w:szCs w:val="16"/>
              </w:rPr>
              <w:t>62.944,00</w:t>
            </w:r>
          </w:p>
        </w:tc>
        <w:tc>
          <w:tcPr>
            <w:tcW w:w="1260" w:type="dxa"/>
            <w:tcBorders>
              <w:top w:val="nil"/>
              <w:left w:val="nil"/>
              <w:bottom w:val="single" w:sz="4" w:space="0" w:color="808080"/>
              <w:right w:val="single" w:sz="4" w:space="0" w:color="808080"/>
            </w:tcBorders>
            <w:noWrap/>
            <w:vAlign w:val="bottom"/>
            <w:hideMark/>
          </w:tcPr>
          <w:p w14:paraId="2697DD3F"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 </w:t>
            </w:r>
          </w:p>
        </w:tc>
        <w:tc>
          <w:tcPr>
            <w:tcW w:w="1380" w:type="dxa"/>
            <w:tcBorders>
              <w:top w:val="nil"/>
              <w:left w:val="nil"/>
              <w:bottom w:val="single" w:sz="4" w:space="0" w:color="808080"/>
              <w:right w:val="single" w:sz="4" w:space="0" w:color="808080"/>
            </w:tcBorders>
            <w:noWrap/>
            <w:vAlign w:val="bottom"/>
            <w:hideMark/>
          </w:tcPr>
          <w:p w14:paraId="2B0F83EB" w14:textId="77777777" w:rsidR="00416D67" w:rsidRPr="00416D67" w:rsidRDefault="00416D67" w:rsidP="00416D67">
            <w:pPr>
              <w:rPr>
                <w:rFonts w:ascii="Calibri" w:hAnsi="Calibri" w:cs="Calibri"/>
                <w:b/>
                <w:bCs/>
                <w:i/>
                <w:iCs/>
                <w:sz w:val="16"/>
                <w:szCs w:val="16"/>
              </w:rPr>
            </w:pPr>
            <w:r w:rsidRPr="00416D67">
              <w:rPr>
                <w:rFonts w:ascii="Calibri" w:hAnsi="Calibri" w:cs="Calibri"/>
                <w:b/>
                <w:bCs/>
                <w:i/>
                <w:iCs/>
                <w:sz w:val="16"/>
                <w:szCs w:val="16"/>
              </w:rPr>
              <w:t> </w:t>
            </w:r>
          </w:p>
        </w:tc>
      </w:tr>
      <w:tr w:rsidR="00416D67" w:rsidRPr="00416D67" w14:paraId="7494350E" w14:textId="77777777" w:rsidTr="00BB1392">
        <w:trPr>
          <w:trHeight w:val="181"/>
          <w:jc w:val="center"/>
        </w:trPr>
        <w:tc>
          <w:tcPr>
            <w:tcW w:w="1120" w:type="dxa"/>
            <w:tcBorders>
              <w:top w:val="nil"/>
              <w:left w:val="single" w:sz="4" w:space="0" w:color="808080"/>
              <w:bottom w:val="single" w:sz="4" w:space="0" w:color="808080"/>
              <w:right w:val="single" w:sz="4" w:space="0" w:color="808080"/>
            </w:tcBorders>
            <w:noWrap/>
            <w:vAlign w:val="bottom"/>
            <w:hideMark/>
          </w:tcPr>
          <w:p w14:paraId="1ADC94FC" w14:textId="77777777" w:rsidR="00416D67" w:rsidRPr="00416D67" w:rsidRDefault="00416D67" w:rsidP="00416D67">
            <w:pPr>
              <w:jc w:val="center"/>
              <w:rPr>
                <w:rFonts w:ascii="Calibri" w:hAnsi="Calibri" w:cs="Calibri"/>
                <w:sz w:val="16"/>
                <w:szCs w:val="16"/>
              </w:rPr>
            </w:pPr>
            <w:r w:rsidRPr="00416D67">
              <w:rPr>
                <w:rFonts w:ascii="Calibri" w:hAnsi="Calibri" w:cs="Calibri"/>
                <w:sz w:val="16"/>
                <w:szCs w:val="16"/>
              </w:rPr>
              <w:t>16711</w:t>
            </w:r>
          </w:p>
        </w:tc>
        <w:tc>
          <w:tcPr>
            <w:tcW w:w="3940" w:type="dxa"/>
            <w:tcBorders>
              <w:top w:val="nil"/>
              <w:left w:val="nil"/>
              <w:bottom w:val="single" w:sz="4" w:space="0" w:color="808080"/>
              <w:right w:val="single" w:sz="4" w:space="0" w:color="808080"/>
            </w:tcBorders>
            <w:vAlign w:val="bottom"/>
            <w:hideMark/>
          </w:tcPr>
          <w:p w14:paraId="1B4C5374" w14:textId="77777777" w:rsidR="00416D67" w:rsidRPr="00416D67" w:rsidRDefault="00416D67" w:rsidP="00416D67">
            <w:pPr>
              <w:rPr>
                <w:rFonts w:ascii="Calibri" w:hAnsi="Calibri" w:cs="Calibri"/>
                <w:sz w:val="16"/>
                <w:szCs w:val="16"/>
              </w:rPr>
            </w:pPr>
            <w:r w:rsidRPr="00416D67">
              <w:rPr>
                <w:rFonts w:ascii="Calibri" w:hAnsi="Calibri" w:cs="Calibri"/>
                <w:sz w:val="16"/>
                <w:szCs w:val="16"/>
              </w:rPr>
              <w:t>Potraživanja za sredstva uplaćena u proračun za financiranje rashoda poslovanja.</w:t>
            </w:r>
          </w:p>
        </w:tc>
        <w:tc>
          <w:tcPr>
            <w:tcW w:w="1620" w:type="dxa"/>
            <w:tcBorders>
              <w:top w:val="nil"/>
              <w:left w:val="nil"/>
              <w:bottom w:val="single" w:sz="4" w:space="0" w:color="808080"/>
              <w:right w:val="single" w:sz="4" w:space="0" w:color="808080"/>
            </w:tcBorders>
            <w:noWrap/>
            <w:vAlign w:val="bottom"/>
            <w:hideMark/>
          </w:tcPr>
          <w:p w14:paraId="5A2A3CB1"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62.944,00</w:t>
            </w:r>
          </w:p>
        </w:tc>
        <w:tc>
          <w:tcPr>
            <w:tcW w:w="1280" w:type="dxa"/>
            <w:tcBorders>
              <w:top w:val="nil"/>
              <w:left w:val="nil"/>
              <w:bottom w:val="single" w:sz="4" w:space="0" w:color="808080"/>
              <w:right w:val="single" w:sz="4" w:space="0" w:color="808080"/>
            </w:tcBorders>
            <w:noWrap/>
            <w:vAlign w:val="bottom"/>
            <w:hideMark/>
          </w:tcPr>
          <w:p w14:paraId="21672AF1"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62.944,00</w:t>
            </w:r>
          </w:p>
        </w:tc>
        <w:tc>
          <w:tcPr>
            <w:tcW w:w="1260" w:type="dxa"/>
            <w:tcBorders>
              <w:top w:val="nil"/>
              <w:left w:val="nil"/>
              <w:bottom w:val="single" w:sz="4" w:space="0" w:color="808080"/>
              <w:right w:val="single" w:sz="4" w:space="0" w:color="808080"/>
            </w:tcBorders>
            <w:noWrap/>
            <w:vAlign w:val="bottom"/>
            <w:hideMark/>
          </w:tcPr>
          <w:p w14:paraId="0DE734D3"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0,00</w:t>
            </w:r>
          </w:p>
        </w:tc>
        <w:tc>
          <w:tcPr>
            <w:tcW w:w="1380" w:type="dxa"/>
            <w:tcBorders>
              <w:top w:val="nil"/>
              <w:left w:val="nil"/>
              <w:bottom w:val="single" w:sz="4" w:space="0" w:color="808080"/>
              <w:right w:val="single" w:sz="4" w:space="0" w:color="808080"/>
            </w:tcBorders>
            <w:noWrap/>
            <w:vAlign w:val="bottom"/>
            <w:hideMark/>
          </w:tcPr>
          <w:p w14:paraId="79E22AE3" w14:textId="77777777" w:rsidR="00416D67" w:rsidRPr="00416D67" w:rsidRDefault="00416D67" w:rsidP="00416D67">
            <w:pPr>
              <w:jc w:val="right"/>
              <w:rPr>
                <w:rFonts w:ascii="Calibri" w:hAnsi="Calibri" w:cs="Calibri"/>
                <w:sz w:val="16"/>
                <w:szCs w:val="16"/>
              </w:rPr>
            </w:pPr>
            <w:r w:rsidRPr="00416D67">
              <w:rPr>
                <w:rFonts w:ascii="Calibri" w:hAnsi="Calibri" w:cs="Calibri"/>
                <w:sz w:val="16"/>
                <w:szCs w:val="16"/>
              </w:rPr>
              <w:t>0,00</w:t>
            </w:r>
          </w:p>
        </w:tc>
      </w:tr>
    </w:tbl>
    <w:p w14:paraId="74C45E2E" w14:textId="77777777" w:rsidR="00416D67" w:rsidRPr="00416D67" w:rsidRDefault="00416D67" w:rsidP="00416D67">
      <w:pPr>
        <w:spacing w:line="260" w:lineRule="exact"/>
        <w:jc w:val="both"/>
        <w:rPr>
          <w:color w:val="000000"/>
        </w:rPr>
      </w:pPr>
    </w:p>
    <w:p w14:paraId="2C5E13E8" w14:textId="77777777" w:rsidR="00416D67" w:rsidRPr="00416D67" w:rsidRDefault="00416D67" w:rsidP="00416D67">
      <w:pPr>
        <w:spacing w:line="260" w:lineRule="exact"/>
        <w:jc w:val="both"/>
        <w:rPr>
          <w:spacing w:val="1"/>
          <w:position w:val="-1"/>
        </w:rPr>
      </w:pPr>
      <w:r w:rsidRPr="00416D67">
        <w:rPr>
          <w:spacing w:val="1"/>
          <w:position w:val="-1"/>
        </w:rPr>
        <w:t xml:space="preserve">            Rad na naplati potraživanja je kontinuiran, te se redovno šalju opomene i pokreću ovrhe. U skladu s odredbama Pravilnika o računovodstvu izvršen je ispravak vrijednosti potraživanja i ono iznosi 185.581,74 EUR, koji se u cijelosti odnosi na potraživanje Općine. Dospjela potraživanja proračunskog korisnika u iznosu od 547,18 EUR odnose se na neplaćene račune za boravak za studeni  2025.godine.</w:t>
      </w:r>
    </w:p>
    <w:p w14:paraId="302E753D" w14:textId="77777777" w:rsidR="00416D67" w:rsidRPr="00416D67" w:rsidRDefault="00416D67" w:rsidP="00416D67">
      <w:pPr>
        <w:jc w:val="both"/>
        <w:rPr>
          <w:b/>
          <w:spacing w:val="1"/>
        </w:rPr>
      </w:pPr>
    </w:p>
    <w:p w14:paraId="0154635B" w14:textId="77777777" w:rsidR="00416D67" w:rsidRPr="00416D67" w:rsidRDefault="00416D67" w:rsidP="00416D67">
      <w:pPr>
        <w:spacing w:line="260" w:lineRule="exact"/>
        <w:jc w:val="both"/>
        <w:rPr>
          <w:spacing w:val="1"/>
          <w:position w:val="-1"/>
        </w:rPr>
      </w:pPr>
      <w:r w:rsidRPr="00416D67">
        <w:rPr>
          <w:spacing w:val="1"/>
          <w:position w:val="-1"/>
        </w:rPr>
        <w:t xml:space="preserve">      </w:t>
      </w:r>
    </w:p>
    <w:p w14:paraId="1D744465" w14:textId="77777777" w:rsidR="00416D67" w:rsidRPr="00416D67" w:rsidRDefault="00416D67" w:rsidP="00416D67">
      <w:pPr>
        <w:spacing w:line="260" w:lineRule="exact"/>
        <w:ind w:left="927"/>
        <w:jc w:val="both"/>
        <w:rPr>
          <w:b/>
          <w:spacing w:val="1"/>
        </w:rPr>
      </w:pPr>
      <w:r w:rsidRPr="00416D67">
        <w:rPr>
          <w:b/>
          <w:color w:val="000000"/>
        </w:rPr>
        <w:t>8.Stanje nepodmirenih nedospjelih i dospjelih obveza  Općine Marčana i proračunskog korisnika DV Vrtuljak Marčana</w:t>
      </w:r>
      <w:r w:rsidRPr="00416D67">
        <w:rPr>
          <w:b/>
          <w:spacing w:val="1"/>
        </w:rPr>
        <w:t xml:space="preserve"> </w:t>
      </w:r>
    </w:p>
    <w:p w14:paraId="1070A239" w14:textId="77777777" w:rsidR="00416D67" w:rsidRPr="00416D67" w:rsidRDefault="00416D67" w:rsidP="00416D67">
      <w:pPr>
        <w:spacing w:line="260" w:lineRule="exact"/>
        <w:jc w:val="both"/>
        <w:rPr>
          <w:b/>
          <w:spacing w:val="1"/>
        </w:rPr>
      </w:pPr>
    </w:p>
    <w:p w14:paraId="4C0C2748" w14:textId="77777777" w:rsidR="00416D67" w:rsidRPr="00416D67" w:rsidRDefault="00416D67" w:rsidP="00416D67">
      <w:pPr>
        <w:spacing w:line="260" w:lineRule="exact"/>
        <w:jc w:val="both"/>
      </w:pPr>
      <w:r w:rsidRPr="00416D67">
        <w:rPr>
          <w:spacing w:val="1"/>
        </w:rPr>
        <w:t xml:space="preserve">     Stanje obveza  </w:t>
      </w:r>
      <w:r w:rsidRPr="00416D67">
        <w:rPr>
          <w:spacing w:val="15"/>
        </w:rPr>
        <w:t xml:space="preserve"> </w:t>
      </w:r>
      <w:r w:rsidRPr="00416D67">
        <w:t>na</w:t>
      </w:r>
      <w:r w:rsidRPr="00416D67">
        <w:rPr>
          <w:spacing w:val="17"/>
        </w:rPr>
        <w:t xml:space="preserve"> </w:t>
      </w:r>
      <w:r w:rsidRPr="00416D67">
        <w:t>d</w:t>
      </w:r>
      <w:r w:rsidRPr="00416D67">
        <w:rPr>
          <w:spacing w:val="-1"/>
        </w:rPr>
        <w:t>a</w:t>
      </w:r>
      <w:r w:rsidRPr="00416D67">
        <w:t>n</w:t>
      </w:r>
      <w:r w:rsidRPr="00416D67">
        <w:rPr>
          <w:spacing w:val="17"/>
        </w:rPr>
        <w:t xml:space="preserve"> </w:t>
      </w:r>
      <w:r w:rsidRPr="00416D67">
        <w:t>31.</w:t>
      </w:r>
      <w:r w:rsidRPr="00416D67">
        <w:rPr>
          <w:spacing w:val="16"/>
        </w:rPr>
        <w:t xml:space="preserve"> </w:t>
      </w:r>
      <w:r w:rsidRPr="00416D67">
        <w:t>p</w:t>
      </w:r>
      <w:r w:rsidRPr="00416D67">
        <w:rPr>
          <w:spacing w:val="-1"/>
        </w:rPr>
        <w:t>r</w:t>
      </w:r>
      <w:r w:rsidRPr="00416D67">
        <w:t>os</w:t>
      </w:r>
      <w:r w:rsidRPr="00416D67">
        <w:rPr>
          <w:spacing w:val="1"/>
        </w:rPr>
        <w:t>i</w:t>
      </w:r>
      <w:r w:rsidRPr="00416D67">
        <w:t>n</w:t>
      </w:r>
      <w:r w:rsidRPr="00416D67">
        <w:rPr>
          <w:spacing w:val="-1"/>
        </w:rPr>
        <w:t>c</w:t>
      </w:r>
      <w:r w:rsidRPr="00416D67">
        <w:t>a</w:t>
      </w:r>
      <w:r w:rsidRPr="00416D67">
        <w:rPr>
          <w:spacing w:val="13"/>
        </w:rPr>
        <w:t xml:space="preserve"> </w:t>
      </w:r>
      <w:r w:rsidRPr="00416D67">
        <w:t>2025.</w:t>
      </w:r>
      <w:r w:rsidRPr="00416D67">
        <w:rPr>
          <w:spacing w:val="14"/>
        </w:rPr>
        <w:t xml:space="preserve"> </w:t>
      </w:r>
      <w:r w:rsidRPr="00416D67">
        <w:rPr>
          <w:spacing w:val="-2"/>
        </w:rPr>
        <w:t>g</w:t>
      </w:r>
      <w:r w:rsidRPr="00416D67">
        <w:t>od</w:t>
      </w:r>
      <w:r w:rsidRPr="00416D67">
        <w:rPr>
          <w:spacing w:val="1"/>
        </w:rPr>
        <w:t>i</w:t>
      </w:r>
      <w:r w:rsidRPr="00416D67">
        <w:t>ne</w:t>
      </w:r>
      <w:r w:rsidRPr="00416D67">
        <w:rPr>
          <w:spacing w:val="16"/>
        </w:rPr>
        <w:t xml:space="preserve"> </w:t>
      </w:r>
      <w:r w:rsidRPr="00416D67">
        <w:t>iznose 800.909,85  EUR (međusobne obveze subjekata proračuna 12.182,73 EUR, obveze Općine 728.698,42 EUR obveze proračunskog korisnika 60.028,69 EUR) i imaju slijedeću strukturu:</w:t>
      </w:r>
    </w:p>
    <w:p w14:paraId="094BCAB1" w14:textId="77777777" w:rsidR="00416D67" w:rsidRPr="00416D67" w:rsidRDefault="00416D67" w:rsidP="00416D67">
      <w:pPr>
        <w:spacing w:line="260" w:lineRule="exact"/>
        <w:jc w:val="both"/>
      </w:pPr>
    </w:p>
    <w:tbl>
      <w:tblPr>
        <w:tblW w:w="9291" w:type="dxa"/>
        <w:tblInd w:w="-318" w:type="dxa"/>
        <w:tblLook w:val="04A0" w:firstRow="1" w:lastRow="0" w:firstColumn="1" w:lastColumn="0" w:noHBand="0" w:noVBand="1"/>
      </w:tblPr>
      <w:tblGrid>
        <w:gridCol w:w="1135"/>
        <w:gridCol w:w="4956"/>
        <w:gridCol w:w="1060"/>
        <w:gridCol w:w="960"/>
        <w:gridCol w:w="1180"/>
      </w:tblGrid>
      <w:tr w:rsidR="00416D67" w:rsidRPr="00416D67" w14:paraId="218824D1" w14:textId="77777777" w:rsidTr="00BB1392">
        <w:trPr>
          <w:trHeight w:val="630"/>
        </w:trPr>
        <w:tc>
          <w:tcPr>
            <w:tcW w:w="113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AB95B5" w14:textId="77777777" w:rsidR="00416D67" w:rsidRPr="00416D67" w:rsidRDefault="00416D67" w:rsidP="00416D67">
            <w:pPr>
              <w:jc w:val="center"/>
              <w:rPr>
                <w:b/>
                <w:bCs/>
                <w:color w:val="000000"/>
                <w:sz w:val="16"/>
                <w:szCs w:val="16"/>
              </w:rPr>
            </w:pPr>
            <w:r w:rsidRPr="00416D67">
              <w:rPr>
                <w:b/>
                <w:bCs/>
                <w:color w:val="000000"/>
                <w:sz w:val="16"/>
                <w:szCs w:val="16"/>
              </w:rPr>
              <w:t>Broj računa</w:t>
            </w:r>
          </w:p>
        </w:tc>
        <w:tc>
          <w:tcPr>
            <w:tcW w:w="4956" w:type="dxa"/>
            <w:tcBorders>
              <w:top w:val="single" w:sz="4" w:space="0" w:color="auto"/>
              <w:left w:val="nil"/>
              <w:bottom w:val="single" w:sz="4" w:space="0" w:color="auto"/>
              <w:right w:val="single" w:sz="4" w:space="0" w:color="auto"/>
            </w:tcBorders>
            <w:shd w:val="clear" w:color="000000" w:fill="D9D9D9"/>
            <w:noWrap/>
            <w:vAlign w:val="center"/>
            <w:hideMark/>
          </w:tcPr>
          <w:p w14:paraId="409B1D71" w14:textId="77777777" w:rsidR="00416D67" w:rsidRPr="00416D67" w:rsidRDefault="00416D67" w:rsidP="00416D67">
            <w:pPr>
              <w:jc w:val="center"/>
              <w:rPr>
                <w:b/>
                <w:bCs/>
                <w:color w:val="000000"/>
                <w:sz w:val="16"/>
                <w:szCs w:val="16"/>
              </w:rPr>
            </w:pPr>
            <w:r w:rsidRPr="00416D67">
              <w:rPr>
                <w:b/>
                <w:bCs/>
                <w:color w:val="000000"/>
                <w:sz w:val="16"/>
                <w:szCs w:val="16"/>
              </w:rPr>
              <w:t>Naziv računa</w:t>
            </w:r>
          </w:p>
        </w:tc>
        <w:tc>
          <w:tcPr>
            <w:tcW w:w="1060" w:type="dxa"/>
            <w:tcBorders>
              <w:top w:val="single" w:sz="4" w:space="0" w:color="auto"/>
              <w:left w:val="nil"/>
              <w:bottom w:val="single" w:sz="4" w:space="0" w:color="auto"/>
              <w:right w:val="single" w:sz="4" w:space="0" w:color="auto"/>
            </w:tcBorders>
            <w:shd w:val="clear" w:color="000000" w:fill="D9D9D9"/>
            <w:vAlign w:val="center"/>
            <w:hideMark/>
          </w:tcPr>
          <w:p w14:paraId="19C545FB" w14:textId="77777777" w:rsidR="00416D67" w:rsidRPr="00416D67" w:rsidRDefault="00416D67" w:rsidP="00416D67">
            <w:pPr>
              <w:jc w:val="center"/>
              <w:rPr>
                <w:b/>
                <w:bCs/>
                <w:color w:val="000000"/>
                <w:sz w:val="16"/>
                <w:szCs w:val="16"/>
              </w:rPr>
            </w:pPr>
            <w:r w:rsidRPr="00416D67">
              <w:rPr>
                <w:b/>
                <w:bCs/>
                <w:color w:val="000000"/>
                <w:sz w:val="16"/>
                <w:szCs w:val="16"/>
              </w:rPr>
              <w:t>Stanje obveza 31.12.2025.</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401A5E10" w14:textId="77777777" w:rsidR="00416D67" w:rsidRPr="00416D67" w:rsidRDefault="00416D67" w:rsidP="00416D67">
            <w:pPr>
              <w:jc w:val="center"/>
              <w:rPr>
                <w:b/>
                <w:bCs/>
                <w:color w:val="000000"/>
                <w:sz w:val="16"/>
                <w:szCs w:val="16"/>
              </w:rPr>
            </w:pPr>
            <w:r w:rsidRPr="00416D67">
              <w:rPr>
                <w:b/>
                <w:bCs/>
                <w:color w:val="000000"/>
                <w:sz w:val="16"/>
                <w:szCs w:val="16"/>
              </w:rPr>
              <w:t>Dospjelo</w:t>
            </w:r>
          </w:p>
        </w:tc>
        <w:tc>
          <w:tcPr>
            <w:tcW w:w="1180" w:type="dxa"/>
            <w:tcBorders>
              <w:top w:val="single" w:sz="4" w:space="0" w:color="auto"/>
              <w:left w:val="nil"/>
              <w:bottom w:val="single" w:sz="4" w:space="0" w:color="auto"/>
              <w:right w:val="single" w:sz="4" w:space="0" w:color="auto"/>
            </w:tcBorders>
            <w:shd w:val="clear" w:color="000000" w:fill="D9D9D9"/>
            <w:vAlign w:val="center"/>
            <w:hideMark/>
          </w:tcPr>
          <w:p w14:paraId="4E976846" w14:textId="77777777" w:rsidR="00416D67" w:rsidRPr="00416D67" w:rsidRDefault="00416D67" w:rsidP="00416D67">
            <w:pPr>
              <w:jc w:val="center"/>
              <w:rPr>
                <w:b/>
                <w:bCs/>
                <w:color w:val="000000"/>
                <w:sz w:val="16"/>
                <w:szCs w:val="16"/>
              </w:rPr>
            </w:pPr>
            <w:r w:rsidRPr="00416D67">
              <w:rPr>
                <w:b/>
                <w:bCs/>
                <w:color w:val="000000"/>
                <w:sz w:val="16"/>
                <w:szCs w:val="16"/>
              </w:rPr>
              <w:t>Nedospjelo</w:t>
            </w:r>
          </w:p>
        </w:tc>
      </w:tr>
      <w:tr w:rsidR="00416D67" w:rsidRPr="00416D67" w14:paraId="011354DB" w14:textId="77777777" w:rsidTr="00BB1392">
        <w:trPr>
          <w:trHeight w:val="300"/>
        </w:trPr>
        <w:tc>
          <w:tcPr>
            <w:tcW w:w="6091"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EF9222A" w14:textId="77777777" w:rsidR="00416D67" w:rsidRPr="00416D67" w:rsidRDefault="00416D67" w:rsidP="00416D67">
            <w:pPr>
              <w:jc w:val="center"/>
              <w:rPr>
                <w:b/>
                <w:bCs/>
                <w:color w:val="000000"/>
                <w:sz w:val="16"/>
                <w:szCs w:val="16"/>
              </w:rPr>
            </w:pPr>
            <w:r w:rsidRPr="00416D67">
              <w:rPr>
                <w:b/>
                <w:bCs/>
                <w:color w:val="000000"/>
                <w:sz w:val="16"/>
                <w:szCs w:val="16"/>
              </w:rPr>
              <w:t>UKUPNE OBVEZE 31.12.2025.</w:t>
            </w:r>
          </w:p>
        </w:tc>
        <w:tc>
          <w:tcPr>
            <w:tcW w:w="1060" w:type="dxa"/>
            <w:tcBorders>
              <w:top w:val="nil"/>
              <w:left w:val="nil"/>
              <w:bottom w:val="single" w:sz="4" w:space="0" w:color="auto"/>
              <w:right w:val="single" w:sz="4" w:space="0" w:color="auto"/>
            </w:tcBorders>
            <w:shd w:val="clear" w:color="000000" w:fill="D9D9D9"/>
            <w:vAlign w:val="center"/>
            <w:hideMark/>
          </w:tcPr>
          <w:p w14:paraId="36A0A6F6" w14:textId="77777777" w:rsidR="00416D67" w:rsidRPr="00416D67" w:rsidRDefault="00416D67" w:rsidP="00416D67">
            <w:pPr>
              <w:jc w:val="center"/>
              <w:rPr>
                <w:b/>
                <w:bCs/>
                <w:color w:val="000000"/>
                <w:sz w:val="16"/>
                <w:szCs w:val="16"/>
              </w:rPr>
            </w:pPr>
            <w:r w:rsidRPr="00416D67">
              <w:rPr>
                <w:b/>
                <w:bCs/>
                <w:color w:val="000000"/>
                <w:sz w:val="16"/>
                <w:szCs w:val="16"/>
              </w:rPr>
              <w:t>800.909,85</w:t>
            </w:r>
          </w:p>
        </w:tc>
        <w:tc>
          <w:tcPr>
            <w:tcW w:w="960" w:type="dxa"/>
            <w:tcBorders>
              <w:top w:val="nil"/>
              <w:left w:val="nil"/>
              <w:bottom w:val="single" w:sz="4" w:space="0" w:color="auto"/>
              <w:right w:val="single" w:sz="4" w:space="0" w:color="auto"/>
            </w:tcBorders>
            <w:shd w:val="clear" w:color="000000" w:fill="D9D9D9"/>
            <w:vAlign w:val="center"/>
            <w:hideMark/>
          </w:tcPr>
          <w:p w14:paraId="4C31EF07" w14:textId="77777777" w:rsidR="00416D67" w:rsidRPr="00416D67" w:rsidRDefault="00416D67" w:rsidP="00416D67">
            <w:pPr>
              <w:jc w:val="center"/>
              <w:rPr>
                <w:b/>
                <w:bCs/>
                <w:color w:val="000000"/>
                <w:sz w:val="16"/>
                <w:szCs w:val="16"/>
              </w:rPr>
            </w:pPr>
            <w:r w:rsidRPr="00416D67">
              <w:rPr>
                <w:b/>
                <w:bCs/>
                <w:color w:val="000000"/>
                <w:sz w:val="16"/>
                <w:szCs w:val="16"/>
              </w:rPr>
              <w:t>3.258,26</w:t>
            </w:r>
          </w:p>
        </w:tc>
        <w:tc>
          <w:tcPr>
            <w:tcW w:w="1180" w:type="dxa"/>
            <w:tcBorders>
              <w:top w:val="nil"/>
              <w:left w:val="nil"/>
              <w:bottom w:val="single" w:sz="4" w:space="0" w:color="auto"/>
              <w:right w:val="single" w:sz="4" w:space="0" w:color="auto"/>
            </w:tcBorders>
            <w:shd w:val="clear" w:color="000000" w:fill="D9D9D9"/>
            <w:vAlign w:val="center"/>
            <w:hideMark/>
          </w:tcPr>
          <w:p w14:paraId="32ABBA35" w14:textId="77777777" w:rsidR="00416D67" w:rsidRPr="00416D67" w:rsidRDefault="00416D67" w:rsidP="00416D67">
            <w:pPr>
              <w:jc w:val="center"/>
              <w:rPr>
                <w:b/>
                <w:bCs/>
                <w:color w:val="000000"/>
                <w:sz w:val="16"/>
                <w:szCs w:val="16"/>
              </w:rPr>
            </w:pPr>
            <w:r w:rsidRPr="00416D67">
              <w:rPr>
                <w:b/>
                <w:bCs/>
                <w:color w:val="000000"/>
                <w:sz w:val="16"/>
                <w:szCs w:val="16"/>
              </w:rPr>
              <w:t>797.651,59</w:t>
            </w:r>
          </w:p>
        </w:tc>
      </w:tr>
      <w:tr w:rsidR="00416D67" w:rsidRPr="00416D67" w14:paraId="3F1B4DF0" w14:textId="77777777" w:rsidTr="00BB1392">
        <w:trPr>
          <w:trHeight w:val="300"/>
        </w:trPr>
        <w:tc>
          <w:tcPr>
            <w:tcW w:w="6091" w:type="dxa"/>
            <w:gridSpan w:val="2"/>
            <w:tcBorders>
              <w:top w:val="single" w:sz="4" w:space="0" w:color="auto"/>
              <w:left w:val="single" w:sz="4" w:space="0" w:color="auto"/>
              <w:bottom w:val="single" w:sz="4" w:space="0" w:color="auto"/>
              <w:right w:val="single" w:sz="4" w:space="0" w:color="000000"/>
            </w:tcBorders>
            <w:vAlign w:val="center"/>
            <w:hideMark/>
          </w:tcPr>
          <w:p w14:paraId="5DAB019D" w14:textId="77777777" w:rsidR="00416D67" w:rsidRPr="00416D67" w:rsidRDefault="00416D67" w:rsidP="00416D67">
            <w:pPr>
              <w:rPr>
                <w:color w:val="000000"/>
                <w:sz w:val="16"/>
                <w:szCs w:val="16"/>
              </w:rPr>
            </w:pPr>
            <w:r w:rsidRPr="00416D67">
              <w:rPr>
                <w:color w:val="000000"/>
                <w:sz w:val="16"/>
                <w:szCs w:val="16"/>
              </w:rPr>
              <w:t>Međusobne obveze subjekata  općeg proračuna</w:t>
            </w:r>
          </w:p>
        </w:tc>
        <w:tc>
          <w:tcPr>
            <w:tcW w:w="1060" w:type="dxa"/>
            <w:tcBorders>
              <w:top w:val="nil"/>
              <w:left w:val="nil"/>
              <w:bottom w:val="single" w:sz="4" w:space="0" w:color="auto"/>
              <w:right w:val="single" w:sz="4" w:space="0" w:color="auto"/>
            </w:tcBorders>
            <w:noWrap/>
            <w:vAlign w:val="center"/>
            <w:hideMark/>
          </w:tcPr>
          <w:p w14:paraId="0469DCC0" w14:textId="77777777" w:rsidR="00416D67" w:rsidRPr="00416D67" w:rsidRDefault="00416D67" w:rsidP="00416D67">
            <w:pPr>
              <w:jc w:val="right"/>
              <w:rPr>
                <w:color w:val="000000"/>
                <w:sz w:val="16"/>
                <w:szCs w:val="16"/>
              </w:rPr>
            </w:pPr>
            <w:r w:rsidRPr="00416D67">
              <w:rPr>
                <w:color w:val="000000"/>
                <w:sz w:val="16"/>
                <w:szCs w:val="16"/>
              </w:rPr>
              <w:t>12.182,73</w:t>
            </w:r>
          </w:p>
        </w:tc>
        <w:tc>
          <w:tcPr>
            <w:tcW w:w="960" w:type="dxa"/>
            <w:tcBorders>
              <w:top w:val="nil"/>
              <w:left w:val="nil"/>
              <w:bottom w:val="single" w:sz="4" w:space="0" w:color="auto"/>
              <w:right w:val="single" w:sz="4" w:space="0" w:color="auto"/>
            </w:tcBorders>
            <w:noWrap/>
            <w:vAlign w:val="center"/>
            <w:hideMark/>
          </w:tcPr>
          <w:p w14:paraId="6C46623A"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633338EA" w14:textId="77777777" w:rsidR="00416D67" w:rsidRPr="00416D67" w:rsidRDefault="00416D67" w:rsidP="00416D67">
            <w:pPr>
              <w:jc w:val="right"/>
              <w:rPr>
                <w:color w:val="000000"/>
                <w:sz w:val="16"/>
                <w:szCs w:val="16"/>
              </w:rPr>
            </w:pPr>
            <w:r w:rsidRPr="00416D67">
              <w:rPr>
                <w:color w:val="000000"/>
                <w:sz w:val="16"/>
                <w:szCs w:val="16"/>
              </w:rPr>
              <w:t>12.182,73</w:t>
            </w:r>
          </w:p>
        </w:tc>
      </w:tr>
      <w:tr w:rsidR="00416D67" w:rsidRPr="00416D67" w14:paraId="324CE20E" w14:textId="77777777" w:rsidTr="00BB1392">
        <w:trPr>
          <w:trHeight w:val="300"/>
        </w:trPr>
        <w:tc>
          <w:tcPr>
            <w:tcW w:w="6091" w:type="dxa"/>
            <w:gridSpan w:val="2"/>
            <w:tcBorders>
              <w:top w:val="single" w:sz="4" w:space="0" w:color="auto"/>
              <w:left w:val="single" w:sz="4" w:space="0" w:color="auto"/>
              <w:bottom w:val="single" w:sz="4" w:space="0" w:color="auto"/>
              <w:right w:val="single" w:sz="4" w:space="0" w:color="auto"/>
            </w:tcBorders>
            <w:noWrap/>
            <w:vAlign w:val="center"/>
            <w:hideMark/>
          </w:tcPr>
          <w:p w14:paraId="1589BD5E" w14:textId="77777777" w:rsidR="00416D67" w:rsidRPr="00416D67" w:rsidRDefault="00416D67" w:rsidP="00416D67">
            <w:pPr>
              <w:rPr>
                <w:b/>
                <w:bCs/>
                <w:color w:val="000000"/>
                <w:sz w:val="16"/>
                <w:szCs w:val="16"/>
              </w:rPr>
            </w:pPr>
            <w:r w:rsidRPr="00416D67">
              <w:rPr>
                <w:b/>
                <w:bCs/>
                <w:color w:val="000000"/>
                <w:sz w:val="16"/>
                <w:szCs w:val="16"/>
              </w:rPr>
              <w:t xml:space="preserve">OBVEZE OPĆINA MARČANA </w:t>
            </w:r>
          </w:p>
        </w:tc>
        <w:tc>
          <w:tcPr>
            <w:tcW w:w="1060" w:type="dxa"/>
            <w:tcBorders>
              <w:top w:val="nil"/>
              <w:left w:val="nil"/>
              <w:bottom w:val="single" w:sz="4" w:space="0" w:color="auto"/>
              <w:right w:val="single" w:sz="4" w:space="0" w:color="auto"/>
            </w:tcBorders>
            <w:noWrap/>
            <w:vAlign w:val="center"/>
            <w:hideMark/>
          </w:tcPr>
          <w:p w14:paraId="60327612" w14:textId="77777777" w:rsidR="00416D67" w:rsidRPr="00416D67" w:rsidRDefault="00416D67" w:rsidP="00416D67">
            <w:pPr>
              <w:jc w:val="right"/>
              <w:rPr>
                <w:b/>
                <w:bCs/>
                <w:color w:val="000000"/>
                <w:sz w:val="16"/>
                <w:szCs w:val="16"/>
              </w:rPr>
            </w:pPr>
            <w:r w:rsidRPr="00416D67">
              <w:rPr>
                <w:b/>
                <w:bCs/>
                <w:color w:val="000000"/>
                <w:sz w:val="16"/>
                <w:szCs w:val="16"/>
              </w:rPr>
              <w:t>728.698,43</w:t>
            </w:r>
          </w:p>
        </w:tc>
        <w:tc>
          <w:tcPr>
            <w:tcW w:w="960" w:type="dxa"/>
            <w:tcBorders>
              <w:top w:val="nil"/>
              <w:left w:val="nil"/>
              <w:bottom w:val="single" w:sz="4" w:space="0" w:color="auto"/>
              <w:right w:val="single" w:sz="4" w:space="0" w:color="auto"/>
            </w:tcBorders>
            <w:noWrap/>
            <w:vAlign w:val="center"/>
            <w:hideMark/>
          </w:tcPr>
          <w:p w14:paraId="0AE86FDA" w14:textId="77777777" w:rsidR="00416D67" w:rsidRPr="00416D67" w:rsidRDefault="00416D67" w:rsidP="00416D67">
            <w:pPr>
              <w:jc w:val="right"/>
              <w:rPr>
                <w:b/>
                <w:bCs/>
                <w:color w:val="000000"/>
                <w:sz w:val="16"/>
                <w:szCs w:val="16"/>
              </w:rPr>
            </w:pPr>
            <w:r w:rsidRPr="00416D67">
              <w:rPr>
                <w:b/>
                <w:bCs/>
                <w:color w:val="000000"/>
                <w:sz w:val="16"/>
                <w:szCs w:val="16"/>
              </w:rPr>
              <w:t>3.258,26</w:t>
            </w:r>
          </w:p>
        </w:tc>
        <w:tc>
          <w:tcPr>
            <w:tcW w:w="1180" w:type="dxa"/>
            <w:tcBorders>
              <w:top w:val="nil"/>
              <w:left w:val="nil"/>
              <w:bottom w:val="single" w:sz="4" w:space="0" w:color="auto"/>
              <w:right w:val="single" w:sz="4" w:space="0" w:color="auto"/>
            </w:tcBorders>
            <w:noWrap/>
            <w:vAlign w:val="center"/>
            <w:hideMark/>
          </w:tcPr>
          <w:p w14:paraId="1217B379" w14:textId="77777777" w:rsidR="00416D67" w:rsidRPr="00416D67" w:rsidRDefault="00416D67" w:rsidP="00416D67">
            <w:pPr>
              <w:jc w:val="right"/>
              <w:rPr>
                <w:b/>
                <w:bCs/>
                <w:color w:val="000000"/>
                <w:sz w:val="16"/>
                <w:szCs w:val="16"/>
              </w:rPr>
            </w:pPr>
            <w:r w:rsidRPr="00416D67">
              <w:rPr>
                <w:b/>
                <w:bCs/>
                <w:color w:val="000000"/>
                <w:sz w:val="16"/>
                <w:szCs w:val="16"/>
              </w:rPr>
              <w:t>725.440,17</w:t>
            </w:r>
          </w:p>
        </w:tc>
      </w:tr>
      <w:tr w:rsidR="00416D67" w:rsidRPr="00416D67" w14:paraId="112E0AAC" w14:textId="77777777" w:rsidTr="00BB1392">
        <w:trPr>
          <w:trHeight w:val="191"/>
        </w:trPr>
        <w:tc>
          <w:tcPr>
            <w:tcW w:w="1135" w:type="dxa"/>
            <w:tcBorders>
              <w:top w:val="nil"/>
              <w:left w:val="single" w:sz="4" w:space="0" w:color="auto"/>
              <w:bottom w:val="single" w:sz="4" w:space="0" w:color="auto"/>
              <w:right w:val="single" w:sz="4" w:space="0" w:color="auto"/>
            </w:tcBorders>
            <w:noWrap/>
            <w:vAlign w:val="center"/>
            <w:hideMark/>
          </w:tcPr>
          <w:p w14:paraId="4A88F64C" w14:textId="77777777" w:rsidR="00416D67" w:rsidRPr="00416D67" w:rsidRDefault="00416D67" w:rsidP="00416D67">
            <w:pPr>
              <w:rPr>
                <w:color w:val="000000"/>
                <w:sz w:val="16"/>
                <w:szCs w:val="16"/>
              </w:rPr>
            </w:pPr>
            <w:r w:rsidRPr="00416D67">
              <w:rPr>
                <w:color w:val="000000"/>
                <w:sz w:val="16"/>
                <w:szCs w:val="16"/>
              </w:rPr>
              <w:t>2311</w:t>
            </w:r>
          </w:p>
        </w:tc>
        <w:tc>
          <w:tcPr>
            <w:tcW w:w="4956" w:type="dxa"/>
            <w:tcBorders>
              <w:top w:val="nil"/>
              <w:left w:val="nil"/>
              <w:bottom w:val="single" w:sz="4" w:space="0" w:color="auto"/>
              <w:right w:val="single" w:sz="4" w:space="0" w:color="auto"/>
            </w:tcBorders>
            <w:vAlign w:val="center"/>
            <w:hideMark/>
          </w:tcPr>
          <w:p w14:paraId="035D98D4" w14:textId="77777777" w:rsidR="00416D67" w:rsidRPr="00416D67" w:rsidRDefault="00416D67" w:rsidP="00416D67">
            <w:pPr>
              <w:rPr>
                <w:color w:val="000000"/>
                <w:sz w:val="16"/>
                <w:szCs w:val="16"/>
              </w:rPr>
            </w:pPr>
            <w:r w:rsidRPr="00416D67">
              <w:rPr>
                <w:color w:val="000000"/>
                <w:sz w:val="16"/>
                <w:szCs w:val="16"/>
              </w:rPr>
              <w:t>Obveze za plaće - neto</w:t>
            </w:r>
          </w:p>
        </w:tc>
        <w:tc>
          <w:tcPr>
            <w:tcW w:w="1060" w:type="dxa"/>
            <w:tcBorders>
              <w:top w:val="nil"/>
              <w:left w:val="nil"/>
              <w:bottom w:val="single" w:sz="4" w:space="0" w:color="auto"/>
              <w:right w:val="single" w:sz="4" w:space="0" w:color="auto"/>
            </w:tcBorders>
            <w:noWrap/>
            <w:vAlign w:val="center"/>
            <w:hideMark/>
          </w:tcPr>
          <w:p w14:paraId="38BCC0FA" w14:textId="77777777" w:rsidR="00416D67" w:rsidRPr="00416D67" w:rsidRDefault="00416D67" w:rsidP="00416D67">
            <w:pPr>
              <w:jc w:val="right"/>
              <w:rPr>
                <w:color w:val="000000"/>
                <w:sz w:val="16"/>
                <w:szCs w:val="16"/>
              </w:rPr>
            </w:pPr>
            <w:r w:rsidRPr="00416D67">
              <w:rPr>
                <w:color w:val="000000"/>
                <w:sz w:val="16"/>
                <w:szCs w:val="16"/>
              </w:rPr>
              <w:t>23.066,40</w:t>
            </w:r>
          </w:p>
        </w:tc>
        <w:tc>
          <w:tcPr>
            <w:tcW w:w="960" w:type="dxa"/>
            <w:tcBorders>
              <w:top w:val="nil"/>
              <w:left w:val="nil"/>
              <w:bottom w:val="single" w:sz="4" w:space="0" w:color="auto"/>
              <w:right w:val="single" w:sz="4" w:space="0" w:color="auto"/>
            </w:tcBorders>
            <w:noWrap/>
            <w:vAlign w:val="center"/>
            <w:hideMark/>
          </w:tcPr>
          <w:p w14:paraId="3C4406FE"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18CD25C1" w14:textId="77777777" w:rsidR="00416D67" w:rsidRPr="00416D67" w:rsidRDefault="00416D67" w:rsidP="00416D67">
            <w:pPr>
              <w:jc w:val="right"/>
              <w:rPr>
                <w:color w:val="000000"/>
                <w:sz w:val="16"/>
                <w:szCs w:val="16"/>
              </w:rPr>
            </w:pPr>
            <w:r w:rsidRPr="00416D67">
              <w:rPr>
                <w:color w:val="000000"/>
                <w:sz w:val="16"/>
                <w:szCs w:val="16"/>
              </w:rPr>
              <w:t>23.066,40</w:t>
            </w:r>
          </w:p>
        </w:tc>
      </w:tr>
      <w:tr w:rsidR="00416D67" w:rsidRPr="00416D67" w14:paraId="3DD90ACA"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2E5C2CBF" w14:textId="77777777" w:rsidR="00416D67" w:rsidRPr="00416D67" w:rsidRDefault="00416D67" w:rsidP="00416D67">
            <w:pPr>
              <w:rPr>
                <w:color w:val="000000"/>
                <w:sz w:val="16"/>
                <w:szCs w:val="16"/>
              </w:rPr>
            </w:pPr>
            <w:r w:rsidRPr="00416D67">
              <w:rPr>
                <w:color w:val="000000"/>
                <w:sz w:val="16"/>
                <w:szCs w:val="16"/>
              </w:rPr>
              <w:t>2312</w:t>
            </w:r>
          </w:p>
        </w:tc>
        <w:tc>
          <w:tcPr>
            <w:tcW w:w="4956" w:type="dxa"/>
            <w:tcBorders>
              <w:top w:val="nil"/>
              <w:left w:val="nil"/>
              <w:bottom w:val="single" w:sz="4" w:space="0" w:color="auto"/>
              <w:right w:val="single" w:sz="4" w:space="0" w:color="auto"/>
            </w:tcBorders>
            <w:vAlign w:val="center"/>
            <w:hideMark/>
          </w:tcPr>
          <w:p w14:paraId="212D6112" w14:textId="77777777" w:rsidR="00416D67" w:rsidRPr="00416D67" w:rsidRDefault="00416D67" w:rsidP="00416D67">
            <w:pPr>
              <w:rPr>
                <w:color w:val="000000"/>
                <w:sz w:val="16"/>
                <w:szCs w:val="16"/>
              </w:rPr>
            </w:pPr>
            <w:r w:rsidRPr="00416D67">
              <w:rPr>
                <w:color w:val="000000"/>
                <w:sz w:val="16"/>
                <w:szCs w:val="16"/>
              </w:rPr>
              <w:t>Obveze za naknade plaća – neto</w:t>
            </w:r>
          </w:p>
        </w:tc>
        <w:tc>
          <w:tcPr>
            <w:tcW w:w="1060" w:type="dxa"/>
            <w:tcBorders>
              <w:top w:val="nil"/>
              <w:left w:val="nil"/>
              <w:bottom w:val="single" w:sz="4" w:space="0" w:color="auto"/>
              <w:right w:val="single" w:sz="4" w:space="0" w:color="auto"/>
            </w:tcBorders>
            <w:noWrap/>
            <w:vAlign w:val="center"/>
            <w:hideMark/>
          </w:tcPr>
          <w:p w14:paraId="64F1C687" w14:textId="77777777" w:rsidR="00416D67" w:rsidRPr="00416D67" w:rsidRDefault="00416D67" w:rsidP="00416D67">
            <w:pPr>
              <w:jc w:val="right"/>
              <w:rPr>
                <w:color w:val="000000"/>
                <w:sz w:val="16"/>
                <w:szCs w:val="16"/>
              </w:rPr>
            </w:pPr>
            <w:r w:rsidRPr="00416D67">
              <w:rPr>
                <w:color w:val="000000"/>
                <w:sz w:val="16"/>
                <w:szCs w:val="16"/>
              </w:rPr>
              <w:t>86,56</w:t>
            </w:r>
          </w:p>
        </w:tc>
        <w:tc>
          <w:tcPr>
            <w:tcW w:w="960" w:type="dxa"/>
            <w:tcBorders>
              <w:top w:val="nil"/>
              <w:left w:val="nil"/>
              <w:bottom w:val="single" w:sz="4" w:space="0" w:color="auto"/>
              <w:right w:val="single" w:sz="4" w:space="0" w:color="auto"/>
            </w:tcBorders>
            <w:noWrap/>
            <w:vAlign w:val="center"/>
            <w:hideMark/>
          </w:tcPr>
          <w:p w14:paraId="2A5A24D3"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5F438F30" w14:textId="77777777" w:rsidR="00416D67" w:rsidRPr="00416D67" w:rsidRDefault="00416D67" w:rsidP="00416D67">
            <w:pPr>
              <w:jc w:val="right"/>
              <w:rPr>
                <w:color w:val="000000"/>
                <w:sz w:val="16"/>
                <w:szCs w:val="16"/>
              </w:rPr>
            </w:pPr>
            <w:r w:rsidRPr="00416D67">
              <w:rPr>
                <w:color w:val="000000"/>
                <w:sz w:val="16"/>
                <w:szCs w:val="16"/>
              </w:rPr>
              <w:t>86,56</w:t>
            </w:r>
          </w:p>
        </w:tc>
      </w:tr>
      <w:tr w:rsidR="00416D67" w:rsidRPr="00416D67" w14:paraId="7E09E6F8" w14:textId="77777777" w:rsidTr="00BB1392">
        <w:trPr>
          <w:trHeight w:val="99"/>
        </w:trPr>
        <w:tc>
          <w:tcPr>
            <w:tcW w:w="1135" w:type="dxa"/>
            <w:tcBorders>
              <w:top w:val="nil"/>
              <w:left w:val="single" w:sz="4" w:space="0" w:color="auto"/>
              <w:bottom w:val="single" w:sz="4" w:space="0" w:color="auto"/>
              <w:right w:val="single" w:sz="4" w:space="0" w:color="auto"/>
            </w:tcBorders>
            <w:noWrap/>
            <w:vAlign w:val="center"/>
            <w:hideMark/>
          </w:tcPr>
          <w:p w14:paraId="4A7FC5DE" w14:textId="77777777" w:rsidR="00416D67" w:rsidRPr="00416D67" w:rsidRDefault="00416D67" w:rsidP="00416D67">
            <w:pPr>
              <w:rPr>
                <w:color w:val="000000"/>
                <w:sz w:val="16"/>
                <w:szCs w:val="16"/>
              </w:rPr>
            </w:pPr>
            <w:r w:rsidRPr="00416D67">
              <w:rPr>
                <w:color w:val="000000"/>
                <w:sz w:val="16"/>
                <w:szCs w:val="16"/>
              </w:rPr>
              <w:t>2314</w:t>
            </w:r>
          </w:p>
        </w:tc>
        <w:tc>
          <w:tcPr>
            <w:tcW w:w="4956" w:type="dxa"/>
            <w:tcBorders>
              <w:top w:val="nil"/>
              <w:left w:val="nil"/>
              <w:bottom w:val="single" w:sz="4" w:space="0" w:color="auto"/>
              <w:right w:val="single" w:sz="4" w:space="0" w:color="auto"/>
            </w:tcBorders>
            <w:vAlign w:val="center"/>
            <w:hideMark/>
          </w:tcPr>
          <w:p w14:paraId="22D6B15D" w14:textId="77777777" w:rsidR="00416D67" w:rsidRPr="00416D67" w:rsidRDefault="00416D67" w:rsidP="00416D67">
            <w:pPr>
              <w:rPr>
                <w:color w:val="000000"/>
                <w:sz w:val="16"/>
                <w:szCs w:val="16"/>
              </w:rPr>
            </w:pPr>
            <w:r w:rsidRPr="00416D67">
              <w:rPr>
                <w:color w:val="000000"/>
                <w:sz w:val="16"/>
                <w:szCs w:val="16"/>
              </w:rPr>
              <w:t>Obveze za porez na dohodak iz plaća</w:t>
            </w:r>
          </w:p>
        </w:tc>
        <w:tc>
          <w:tcPr>
            <w:tcW w:w="1060" w:type="dxa"/>
            <w:tcBorders>
              <w:top w:val="nil"/>
              <w:left w:val="nil"/>
              <w:bottom w:val="single" w:sz="4" w:space="0" w:color="auto"/>
              <w:right w:val="single" w:sz="4" w:space="0" w:color="auto"/>
            </w:tcBorders>
            <w:noWrap/>
            <w:vAlign w:val="center"/>
            <w:hideMark/>
          </w:tcPr>
          <w:p w14:paraId="215EFCDA" w14:textId="77777777" w:rsidR="00416D67" w:rsidRPr="00416D67" w:rsidRDefault="00416D67" w:rsidP="00416D67">
            <w:pPr>
              <w:jc w:val="right"/>
              <w:rPr>
                <w:color w:val="000000"/>
                <w:sz w:val="16"/>
                <w:szCs w:val="16"/>
              </w:rPr>
            </w:pPr>
            <w:r w:rsidRPr="00416D67">
              <w:rPr>
                <w:color w:val="000000"/>
                <w:sz w:val="16"/>
                <w:szCs w:val="16"/>
              </w:rPr>
              <w:t>3.382,48</w:t>
            </w:r>
          </w:p>
        </w:tc>
        <w:tc>
          <w:tcPr>
            <w:tcW w:w="960" w:type="dxa"/>
            <w:tcBorders>
              <w:top w:val="nil"/>
              <w:left w:val="nil"/>
              <w:bottom w:val="single" w:sz="4" w:space="0" w:color="auto"/>
              <w:right w:val="single" w:sz="4" w:space="0" w:color="auto"/>
            </w:tcBorders>
            <w:noWrap/>
            <w:vAlign w:val="center"/>
            <w:hideMark/>
          </w:tcPr>
          <w:p w14:paraId="5416F649"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0FF3261D" w14:textId="77777777" w:rsidR="00416D67" w:rsidRPr="00416D67" w:rsidRDefault="00416D67" w:rsidP="00416D67">
            <w:pPr>
              <w:jc w:val="right"/>
              <w:rPr>
                <w:color w:val="000000"/>
                <w:sz w:val="16"/>
                <w:szCs w:val="16"/>
              </w:rPr>
            </w:pPr>
            <w:r w:rsidRPr="00416D67">
              <w:rPr>
                <w:color w:val="000000"/>
                <w:sz w:val="16"/>
                <w:szCs w:val="16"/>
              </w:rPr>
              <w:t>3.382,48</w:t>
            </w:r>
          </w:p>
        </w:tc>
      </w:tr>
      <w:tr w:rsidR="00416D67" w:rsidRPr="00416D67" w14:paraId="572174A1" w14:textId="77777777" w:rsidTr="00BB1392">
        <w:trPr>
          <w:trHeight w:val="187"/>
        </w:trPr>
        <w:tc>
          <w:tcPr>
            <w:tcW w:w="1135" w:type="dxa"/>
            <w:tcBorders>
              <w:top w:val="nil"/>
              <w:left w:val="single" w:sz="4" w:space="0" w:color="auto"/>
              <w:bottom w:val="single" w:sz="4" w:space="0" w:color="auto"/>
              <w:right w:val="single" w:sz="4" w:space="0" w:color="auto"/>
            </w:tcBorders>
            <w:noWrap/>
            <w:vAlign w:val="center"/>
            <w:hideMark/>
          </w:tcPr>
          <w:p w14:paraId="5CEEC063" w14:textId="77777777" w:rsidR="00416D67" w:rsidRPr="00416D67" w:rsidRDefault="00416D67" w:rsidP="00416D67">
            <w:pPr>
              <w:rPr>
                <w:color w:val="000000"/>
                <w:sz w:val="16"/>
                <w:szCs w:val="16"/>
              </w:rPr>
            </w:pPr>
            <w:r w:rsidRPr="00416D67">
              <w:rPr>
                <w:color w:val="000000"/>
                <w:sz w:val="16"/>
                <w:szCs w:val="16"/>
              </w:rPr>
              <w:t>2315</w:t>
            </w:r>
          </w:p>
        </w:tc>
        <w:tc>
          <w:tcPr>
            <w:tcW w:w="4956" w:type="dxa"/>
            <w:tcBorders>
              <w:top w:val="nil"/>
              <w:left w:val="nil"/>
              <w:bottom w:val="single" w:sz="4" w:space="0" w:color="auto"/>
              <w:right w:val="single" w:sz="4" w:space="0" w:color="auto"/>
            </w:tcBorders>
            <w:vAlign w:val="center"/>
            <w:hideMark/>
          </w:tcPr>
          <w:p w14:paraId="4E577F63" w14:textId="77777777" w:rsidR="00416D67" w:rsidRPr="00416D67" w:rsidRDefault="00416D67" w:rsidP="00416D67">
            <w:pPr>
              <w:rPr>
                <w:color w:val="000000"/>
                <w:sz w:val="16"/>
                <w:szCs w:val="16"/>
              </w:rPr>
            </w:pPr>
            <w:r w:rsidRPr="00416D67">
              <w:rPr>
                <w:color w:val="000000"/>
                <w:sz w:val="16"/>
                <w:szCs w:val="16"/>
              </w:rPr>
              <w:t>Obveze za doprinose iz plaća</w:t>
            </w:r>
          </w:p>
        </w:tc>
        <w:tc>
          <w:tcPr>
            <w:tcW w:w="1060" w:type="dxa"/>
            <w:tcBorders>
              <w:top w:val="nil"/>
              <w:left w:val="nil"/>
              <w:bottom w:val="single" w:sz="4" w:space="0" w:color="auto"/>
              <w:right w:val="single" w:sz="4" w:space="0" w:color="auto"/>
            </w:tcBorders>
            <w:noWrap/>
            <w:vAlign w:val="center"/>
            <w:hideMark/>
          </w:tcPr>
          <w:p w14:paraId="0DBEE89D" w14:textId="77777777" w:rsidR="00416D67" w:rsidRPr="00416D67" w:rsidRDefault="00416D67" w:rsidP="00416D67">
            <w:pPr>
              <w:jc w:val="right"/>
              <w:rPr>
                <w:color w:val="000000"/>
                <w:sz w:val="16"/>
                <w:szCs w:val="16"/>
              </w:rPr>
            </w:pPr>
            <w:r w:rsidRPr="00416D67">
              <w:rPr>
                <w:color w:val="000000"/>
                <w:sz w:val="16"/>
                <w:szCs w:val="16"/>
              </w:rPr>
              <w:t>6.597,58</w:t>
            </w:r>
          </w:p>
        </w:tc>
        <w:tc>
          <w:tcPr>
            <w:tcW w:w="960" w:type="dxa"/>
            <w:tcBorders>
              <w:top w:val="nil"/>
              <w:left w:val="nil"/>
              <w:bottom w:val="single" w:sz="4" w:space="0" w:color="auto"/>
              <w:right w:val="single" w:sz="4" w:space="0" w:color="auto"/>
            </w:tcBorders>
            <w:noWrap/>
            <w:vAlign w:val="center"/>
            <w:hideMark/>
          </w:tcPr>
          <w:p w14:paraId="6FEE74DF"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2A0684CD" w14:textId="77777777" w:rsidR="00416D67" w:rsidRPr="00416D67" w:rsidRDefault="00416D67" w:rsidP="00416D67">
            <w:pPr>
              <w:jc w:val="right"/>
              <w:rPr>
                <w:color w:val="000000"/>
                <w:sz w:val="16"/>
                <w:szCs w:val="16"/>
              </w:rPr>
            </w:pPr>
            <w:r w:rsidRPr="00416D67">
              <w:rPr>
                <w:color w:val="000000"/>
                <w:sz w:val="16"/>
                <w:szCs w:val="16"/>
              </w:rPr>
              <w:t>6.597,58</w:t>
            </w:r>
          </w:p>
        </w:tc>
      </w:tr>
      <w:tr w:rsidR="00416D67" w:rsidRPr="00416D67" w14:paraId="7BA9019A" w14:textId="77777777" w:rsidTr="00BB1392">
        <w:trPr>
          <w:trHeight w:val="119"/>
        </w:trPr>
        <w:tc>
          <w:tcPr>
            <w:tcW w:w="1135" w:type="dxa"/>
            <w:tcBorders>
              <w:top w:val="nil"/>
              <w:left w:val="single" w:sz="4" w:space="0" w:color="auto"/>
              <w:bottom w:val="single" w:sz="4" w:space="0" w:color="auto"/>
              <w:right w:val="single" w:sz="4" w:space="0" w:color="auto"/>
            </w:tcBorders>
            <w:noWrap/>
            <w:vAlign w:val="center"/>
            <w:hideMark/>
          </w:tcPr>
          <w:p w14:paraId="39841B42" w14:textId="77777777" w:rsidR="00416D67" w:rsidRPr="00416D67" w:rsidRDefault="00416D67" w:rsidP="00416D67">
            <w:pPr>
              <w:rPr>
                <w:color w:val="000000"/>
                <w:sz w:val="16"/>
                <w:szCs w:val="16"/>
              </w:rPr>
            </w:pPr>
            <w:r w:rsidRPr="00416D67">
              <w:rPr>
                <w:color w:val="000000"/>
                <w:sz w:val="16"/>
                <w:szCs w:val="16"/>
              </w:rPr>
              <w:t>2316</w:t>
            </w:r>
          </w:p>
        </w:tc>
        <w:tc>
          <w:tcPr>
            <w:tcW w:w="4956" w:type="dxa"/>
            <w:tcBorders>
              <w:top w:val="nil"/>
              <w:left w:val="nil"/>
              <w:bottom w:val="single" w:sz="4" w:space="0" w:color="auto"/>
              <w:right w:val="single" w:sz="4" w:space="0" w:color="auto"/>
            </w:tcBorders>
            <w:vAlign w:val="center"/>
            <w:hideMark/>
          </w:tcPr>
          <w:p w14:paraId="1C16737E" w14:textId="77777777" w:rsidR="00416D67" w:rsidRPr="00416D67" w:rsidRDefault="00416D67" w:rsidP="00416D67">
            <w:pPr>
              <w:rPr>
                <w:color w:val="000000"/>
                <w:sz w:val="16"/>
                <w:szCs w:val="16"/>
              </w:rPr>
            </w:pPr>
            <w:r w:rsidRPr="00416D67">
              <w:rPr>
                <w:color w:val="000000"/>
                <w:sz w:val="16"/>
                <w:szCs w:val="16"/>
              </w:rPr>
              <w:t>Obveze za doprinose na plaće</w:t>
            </w:r>
          </w:p>
        </w:tc>
        <w:tc>
          <w:tcPr>
            <w:tcW w:w="1060" w:type="dxa"/>
            <w:tcBorders>
              <w:top w:val="nil"/>
              <w:left w:val="nil"/>
              <w:bottom w:val="single" w:sz="4" w:space="0" w:color="auto"/>
              <w:right w:val="single" w:sz="4" w:space="0" w:color="auto"/>
            </w:tcBorders>
            <w:noWrap/>
            <w:vAlign w:val="center"/>
            <w:hideMark/>
          </w:tcPr>
          <w:p w14:paraId="24596B50" w14:textId="77777777" w:rsidR="00416D67" w:rsidRPr="00416D67" w:rsidRDefault="00416D67" w:rsidP="00416D67">
            <w:pPr>
              <w:jc w:val="right"/>
              <w:rPr>
                <w:color w:val="000000"/>
                <w:sz w:val="16"/>
                <w:szCs w:val="16"/>
              </w:rPr>
            </w:pPr>
            <w:r w:rsidRPr="00416D67">
              <w:rPr>
                <w:color w:val="000000"/>
                <w:sz w:val="16"/>
                <w:szCs w:val="16"/>
              </w:rPr>
              <w:t>5.452,68</w:t>
            </w:r>
          </w:p>
        </w:tc>
        <w:tc>
          <w:tcPr>
            <w:tcW w:w="960" w:type="dxa"/>
            <w:tcBorders>
              <w:top w:val="nil"/>
              <w:left w:val="nil"/>
              <w:bottom w:val="single" w:sz="4" w:space="0" w:color="auto"/>
              <w:right w:val="single" w:sz="4" w:space="0" w:color="auto"/>
            </w:tcBorders>
            <w:noWrap/>
            <w:vAlign w:val="center"/>
            <w:hideMark/>
          </w:tcPr>
          <w:p w14:paraId="15769AEE"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02225F27" w14:textId="77777777" w:rsidR="00416D67" w:rsidRPr="00416D67" w:rsidRDefault="00416D67" w:rsidP="00416D67">
            <w:pPr>
              <w:jc w:val="right"/>
              <w:rPr>
                <w:color w:val="000000"/>
                <w:sz w:val="16"/>
                <w:szCs w:val="16"/>
              </w:rPr>
            </w:pPr>
            <w:r w:rsidRPr="00416D67">
              <w:rPr>
                <w:color w:val="000000"/>
                <w:sz w:val="16"/>
                <w:szCs w:val="16"/>
              </w:rPr>
              <w:t>5.452,68</w:t>
            </w:r>
          </w:p>
        </w:tc>
      </w:tr>
      <w:tr w:rsidR="00416D67" w:rsidRPr="00416D67" w14:paraId="60E9DCEA" w14:textId="77777777" w:rsidTr="00BB1392">
        <w:trPr>
          <w:trHeight w:val="221"/>
        </w:trPr>
        <w:tc>
          <w:tcPr>
            <w:tcW w:w="1135" w:type="dxa"/>
            <w:tcBorders>
              <w:top w:val="nil"/>
              <w:left w:val="single" w:sz="4" w:space="0" w:color="auto"/>
              <w:bottom w:val="single" w:sz="4" w:space="0" w:color="auto"/>
              <w:right w:val="single" w:sz="4" w:space="0" w:color="auto"/>
            </w:tcBorders>
            <w:noWrap/>
            <w:vAlign w:val="center"/>
            <w:hideMark/>
          </w:tcPr>
          <w:p w14:paraId="1DAF781F" w14:textId="77777777" w:rsidR="00416D67" w:rsidRPr="00416D67" w:rsidRDefault="00416D67" w:rsidP="00416D67">
            <w:pPr>
              <w:rPr>
                <w:color w:val="000000"/>
                <w:sz w:val="16"/>
                <w:szCs w:val="16"/>
              </w:rPr>
            </w:pPr>
            <w:r w:rsidRPr="00416D67">
              <w:rPr>
                <w:color w:val="000000"/>
                <w:sz w:val="16"/>
                <w:szCs w:val="16"/>
              </w:rPr>
              <w:t>2317</w:t>
            </w:r>
          </w:p>
        </w:tc>
        <w:tc>
          <w:tcPr>
            <w:tcW w:w="4956" w:type="dxa"/>
            <w:tcBorders>
              <w:top w:val="nil"/>
              <w:left w:val="nil"/>
              <w:bottom w:val="single" w:sz="4" w:space="0" w:color="auto"/>
              <w:right w:val="single" w:sz="4" w:space="0" w:color="auto"/>
            </w:tcBorders>
            <w:vAlign w:val="center"/>
            <w:hideMark/>
          </w:tcPr>
          <w:p w14:paraId="6F9FFB86" w14:textId="77777777" w:rsidR="00416D67" w:rsidRPr="00416D67" w:rsidRDefault="00416D67" w:rsidP="00416D67">
            <w:pPr>
              <w:rPr>
                <w:color w:val="000000"/>
                <w:sz w:val="16"/>
                <w:szCs w:val="16"/>
              </w:rPr>
            </w:pPr>
            <w:r w:rsidRPr="00416D67">
              <w:rPr>
                <w:color w:val="000000"/>
                <w:sz w:val="16"/>
                <w:szCs w:val="16"/>
              </w:rPr>
              <w:t>Ostale obveze za zaposlene</w:t>
            </w:r>
          </w:p>
        </w:tc>
        <w:tc>
          <w:tcPr>
            <w:tcW w:w="1060" w:type="dxa"/>
            <w:tcBorders>
              <w:top w:val="nil"/>
              <w:left w:val="nil"/>
              <w:bottom w:val="single" w:sz="4" w:space="0" w:color="auto"/>
              <w:right w:val="single" w:sz="4" w:space="0" w:color="auto"/>
            </w:tcBorders>
            <w:noWrap/>
            <w:vAlign w:val="center"/>
            <w:hideMark/>
          </w:tcPr>
          <w:p w14:paraId="678141B5" w14:textId="77777777" w:rsidR="00416D67" w:rsidRPr="00416D67" w:rsidRDefault="00416D67" w:rsidP="00416D67">
            <w:pPr>
              <w:jc w:val="right"/>
              <w:rPr>
                <w:color w:val="000000"/>
                <w:sz w:val="16"/>
                <w:szCs w:val="16"/>
              </w:rPr>
            </w:pPr>
            <w:r w:rsidRPr="00416D67">
              <w:rPr>
                <w:color w:val="000000"/>
                <w:sz w:val="16"/>
                <w:szCs w:val="16"/>
              </w:rPr>
              <w:t>1.300,00</w:t>
            </w:r>
          </w:p>
        </w:tc>
        <w:tc>
          <w:tcPr>
            <w:tcW w:w="960" w:type="dxa"/>
            <w:tcBorders>
              <w:top w:val="nil"/>
              <w:left w:val="nil"/>
              <w:bottom w:val="single" w:sz="4" w:space="0" w:color="auto"/>
              <w:right w:val="single" w:sz="4" w:space="0" w:color="auto"/>
            </w:tcBorders>
            <w:noWrap/>
            <w:vAlign w:val="center"/>
            <w:hideMark/>
          </w:tcPr>
          <w:p w14:paraId="64C2AAAC"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1B1A743C" w14:textId="77777777" w:rsidR="00416D67" w:rsidRPr="00416D67" w:rsidRDefault="00416D67" w:rsidP="00416D67">
            <w:pPr>
              <w:jc w:val="right"/>
              <w:rPr>
                <w:color w:val="000000"/>
                <w:sz w:val="16"/>
                <w:szCs w:val="16"/>
              </w:rPr>
            </w:pPr>
            <w:r w:rsidRPr="00416D67">
              <w:rPr>
                <w:color w:val="000000"/>
                <w:sz w:val="16"/>
                <w:szCs w:val="16"/>
              </w:rPr>
              <w:t>1.300,00</w:t>
            </w:r>
          </w:p>
        </w:tc>
      </w:tr>
      <w:tr w:rsidR="00416D67" w:rsidRPr="00416D67" w14:paraId="1C211F9F" w14:textId="77777777" w:rsidTr="00BB1392">
        <w:trPr>
          <w:trHeight w:val="268"/>
        </w:trPr>
        <w:tc>
          <w:tcPr>
            <w:tcW w:w="1135" w:type="dxa"/>
            <w:tcBorders>
              <w:top w:val="nil"/>
              <w:left w:val="single" w:sz="4" w:space="0" w:color="auto"/>
              <w:bottom w:val="single" w:sz="4" w:space="0" w:color="auto"/>
              <w:right w:val="single" w:sz="4" w:space="0" w:color="auto"/>
            </w:tcBorders>
            <w:noWrap/>
            <w:vAlign w:val="center"/>
            <w:hideMark/>
          </w:tcPr>
          <w:p w14:paraId="06CCE2EA" w14:textId="77777777" w:rsidR="00416D67" w:rsidRPr="00416D67" w:rsidRDefault="00416D67" w:rsidP="00416D67">
            <w:pPr>
              <w:rPr>
                <w:b/>
                <w:bCs/>
                <w:color w:val="000000"/>
                <w:sz w:val="16"/>
                <w:szCs w:val="16"/>
              </w:rPr>
            </w:pPr>
            <w:r w:rsidRPr="00416D67">
              <w:rPr>
                <w:b/>
                <w:bCs/>
                <w:color w:val="000000"/>
                <w:sz w:val="16"/>
                <w:szCs w:val="16"/>
              </w:rPr>
              <w:t>231</w:t>
            </w:r>
          </w:p>
        </w:tc>
        <w:tc>
          <w:tcPr>
            <w:tcW w:w="4956" w:type="dxa"/>
            <w:tcBorders>
              <w:top w:val="nil"/>
              <w:left w:val="nil"/>
              <w:bottom w:val="single" w:sz="4" w:space="0" w:color="auto"/>
              <w:right w:val="single" w:sz="4" w:space="0" w:color="auto"/>
            </w:tcBorders>
            <w:vAlign w:val="center"/>
            <w:hideMark/>
          </w:tcPr>
          <w:p w14:paraId="7D29DFAE" w14:textId="77777777" w:rsidR="00416D67" w:rsidRPr="00416D67" w:rsidRDefault="00416D67" w:rsidP="00416D67">
            <w:pPr>
              <w:rPr>
                <w:b/>
                <w:bCs/>
                <w:color w:val="000000"/>
                <w:sz w:val="16"/>
                <w:szCs w:val="16"/>
              </w:rPr>
            </w:pPr>
            <w:r w:rsidRPr="00416D67">
              <w:rPr>
                <w:b/>
                <w:bCs/>
                <w:color w:val="000000"/>
                <w:sz w:val="16"/>
                <w:szCs w:val="16"/>
              </w:rPr>
              <w:t>Obveze za zaposlene</w:t>
            </w:r>
          </w:p>
        </w:tc>
        <w:tc>
          <w:tcPr>
            <w:tcW w:w="1060" w:type="dxa"/>
            <w:tcBorders>
              <w:top w:val="nil"/>
              <w:left w:val="nil"/>
              <w:bottom w:val="single" w:sz="4" w:space="0" w:color="auto"/>
              <w:right w:val="single" w:sz="4" w:space="0" w:color="auto"/>
            </w:tcBorders>
            <w:noWrap/>
            <w:vAlign w:val="center"/>
            <w:hideMark/>
          </w:tcPr>
          <w:p w14:paraId="4A770AA6" w14:textId="77777777" w:rsidR="00416D67" w:rsidRPr="00416D67" w:rsidRDefault="00416D67" w:rsidP="00416D67">
            <w:pPr>
              <w:jc w:val="right"/>
              <w:rPr>
                <w:b/>
                <w:bCs/>
                <w:color w:val="000000"/>
                <w:sz w:val="16"/>
                <w:szCs w:val="16"/>
              </w:rPr>
            </w:pPr>
            <w:r w:rsidRPr="00416D67">
              <w:rPr>
                <w:b/>
                <w:bCs/>
                <w:color w:val="000000"/>
                <w:sz w:val="16"/>
                <w:szCs w:val="16"/>
              </w:rPr>
              <w:t>39.885,70</w:t>
            </w:r>
          </w:p>
        </w:tc>
        <w:tc>
          <w:tcPr>
            <w:tcW w:w="960" w:type="dxa"/>
            <w:tcBorders>
              <w:top w:val="nil"/>
              <w:left w:val="nil"/>
              <w:bottom w:val="single" w:sz="4" w:space="0" w:color="auto"/>
              <w:right w:val="single" w:sz="4" w:space="0" w:color="auto"/>
            </w:tcBorders>
            <w:noWrap/>
            <w:vAlign w:val="center"/>
            <w:hideMark/>
          </w:tcPr>
          <w:p w14:paraId="53E066A2" w14:textId="77777777" w:rsidR="00416D67" w:rsidRPr="00416D67" w:rsidRDefault="00416D67" w:rsidP="00416D67">
            <w:pPr>
              <w:jc w:val="right"/>
              <w:rPr>
                <w:b/>
                <w:bCs/>
                <w:color w:val="000000"/>
                <w:sz w:val="16"/>
                <w:szCs w:val="16"/>
              </w:rPr>
            </w:pPr>
            <w:r w:rsidRPr="00416D67">
              <w:rPr>
                <w:b/>
                <w:bCs/>
                <w:color w:val="000000"/>
                <w:sz w:val="16"/>
                <w:szCs w:val="16"/>
              </w:rPr>
              <w:t>0</w:t>
            </w:r>
          </w:p>
        </w:tc>
        <w:tc>
          <w:tcPr>
            <w:tcW w:w="1180" w:type="dxa"/>
            <w:tcBorders>
              <w:top w:val="nil"/>
              <w:left w:val="nil"/>
              <w:bottom w:val="single" w:sz="4" w:space="0" w:color="auto"/>
              <w:right w:val="single" w:sz="4" w:space="0" w:color="auto"/>
            </w:tcBorders>
            <w:noWrap/>
            <w:vAlign w:val="center"/>
            <w:hideMark/>
          </w:tcPr>
          <w:p w14:paraId="62CE3701" w14:textId="77777777" w:rsidR="00416D67" w:rsidRPr="00416D67" w:rsidRDefault="00416D67" w:rsidP="00416D67">
            <w:pPr>
              <w:jc w:val="right"/>
              <w:rPr>
                <w:b/>
                <w:bCs/>
                <w:color w:val="000000"/>
                <w:sz w:val="16"/>
                <w:szCs w:val="16"/>
              </w:rPr>
            </w:pPr>
            <w:r w:rsidRPr="00416D67">
              <w:rPr>
                <w:b/>
                <w:bCs/>
                <w:color w:val="000000"/>
                <w:sz w:val="16"/>
                <w:szCs w:val="16"/>
              </w:rPr>
              <w:t>39.885,70</w:t>
            </w:r>
          </w:p>
        </w:tc>
      </w:tr>
      <w:tr w:rsidR="00416D67" w:rsidRPr="00416D67" w14:paraId="528E9B64" w14:textId="77777777" w:rsidTr="00BB1392">
        <w:trPr>
          <w:trHeight w:val="129"/>
        </w:trPr>
        <w:tc>
          <w:tcPr>
            <w:tcW w:w="1135" w:type="dxa"/>
            <w:tcBorders>
              <w:top w:val="nil"/>
              <w:left w:val="single" w:sz="4" w:space="0" w:color="auto"/>
              <w:bottom w:val="single" w:sz="4" w:space="0" w:color="auto"/>
              <w:right w:val="single" w:sz="4" w:space="0" w:color="auto"/>
            </w:tcBorders>
            <w:noWrap/>
            <w:vAlign w:val="center"/>
            <w:hideMark/>
          </w:tcPr>
          <w:p w14:paraId="3DC6CCB6" w14:textId="77777777" w:rsidR="00416D67" w:rsidRPr="00416D67" w:rsidRDefault="00416D67" w:rsidP="00416D67">
            <w:pPr>
              <w:rPr>
                <w:color w:val="000000"/>
                <w:sz w:val="16"/>
                <w:szCs w:val="16"/>
              </w:rPr>
            </w:pPr>
            <w:r w:rsidRPr="00416D67">
              <w:rPr>
                <w:color w:val="000000"/>
                <w:sz w:val="16"/>
                <w:szCs w:val="16"/>
              </w:rPr>
              <w:t>2321</w:t>
            </w:r>
          </w:p>
        </w:tc>
        <w:tc>
          <w:tcPr>
            <w:tcW w:w="4956" w:type="dxa"/>
            <w:tcBorders>
              <w:top w:val="nil"/>
              <w:left w:val="nil"/>
              <w:bottom w:val="single" w:sz="4" w:space="0" w:color="auto"/>
              <w:right w:val="single" w:sz="4" w:space="0" w:color="auto"/>
            </w:tcBorders>
            <w:vAlign w:val="center"/>
            <w:hideMark/>
          </w:tcPr>
          <w:p w14:paraId="0EA83391" w14:textId="77777777" w:rsidR="00416D67" w:rsidRPr="00416D67" w:rsidRDefault="00416D67" w:rsidP="00416D67">
            <w:pPr>
              <w:rPr>
                <w:color w:val="000000"/>
                <w:sz w:val="16"/>
                <w:szCs w:val="16"/>
              </w:rPr>
            </w:pPr>
            <w:r w:rsidRPr="00416D67">
              <w:rPr>
                <w:color w:val="000000"/>
                <w:sz w:val="16"/>
                <w:szCs w:val="16"/>
              </w:rPr>
              <w:t>Naknade troškova zaposlenima</w:t>
            </w:r>
          </w:p>
        </w:tc>
        <w:tc>
          <w:tcPr>
            <w:tcW w:w="1060" w:type="dxa"/>
            <w:tcBorders>
              <w:top w:val="nil"/>
              <w:left w:val="nil"/>
              <w:bottom w:val="single" w:sz="4" w:space="0" w:color="auto"/>
              <w:right w:val="single" w:sz="4" w:space="0" w:color="auto"/>
            </w:tcBorders>
            <w:noWrap/>
            <w:vAlign w:val="center"/>
            <w:hideMark/>
          </w:tcPr>
          <w:p w14:paraId="65CF0629" w14:textId="77777777" w:rsidR="00416D67" w:rsidRPr="00416D67" w:rsidRDefault="00416D67" w:rsidP="00416D67">
            <w:pPr>
              <w:jc w:val="right"/>
              <w:rPr>
                <w:color w:val="000000"/>
                <w:sz w:val="16"/>
                <w:szCs w:val="16"/>
              </w:rPr>
            </w:pPr>
            <w:r w:rsidRPr="00416D67">
              <w:rPr>
                <w:color w:val="000000"/>
                <w:sz w:val="16"/>
                <w:szCs w:val="16"/>
              </w:rPr>
              <w:t>1.545,65</w:t>
            </w:r>
          </w:p>
        </w:tc>
        <w:tc>
          <w:tcPr>
            <w:tcW w:w="960" w:type="dxa"/>
            <w:tcBorders>
              <w:top w:val="nil"/>
              <w:left w:val="nil"/>
              <w:bottom w:val="single" w:sz="4" w:space="0" w:color="auto"/>
              <w:right w:val="single" w:sz="4" w:space="0" w:color="auto"/>
            </w:tcBorders>
            <w:noWrap/>
            <w:vAlign w:val="center"/>
            <w:hideMark/>
          </w:tcPr>
          <w:p w14:paraId="522C2D7B"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03D9B8AE" w14:textId="77777777" w:rsidR="00416D67" w:rsidRPr="00416D67" w:rsidRDefault="00416D67" w:rsidP="00416D67">
            <w:pPr>
              <w:jc w:val="right"/>
              <w:rPr>
                <w:color w:val="000000"/>
                <w:sz w:val="16"/>
                <w:szCs w:val="16"/>
              </w:rPr>
            </w:pPr>
            <w:r w:rsidRPr="00416D67">
              <w:rPr>
                <w:color w:val="000000"/>
                <w:sz w:val="16"/>
                <w:szCs w:val="16"/>
              </w:rPr>
              <w:t>1.545,65</w:t>
            </w:r>
          </w:p>
        </w:tc>
      </w:tr>
      <w:tr w:rsidR="00416D67" w:rsidRPr="00416D67" w14:paraId="268E80CA"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43EC1D4D" w14:textId="77777777" w:rsidR="00416D67" w:rsidRPr="00416D67" w:rsidRDefault="00416D67" w:rsidP="00416D67">
            <w:pPr>
              <w:rPr>
                <w:color w:val="000000"/>
                <w:sz w:val="16"/>
                <w:szCs w:val="16"/>
              </w:rPr>
            </w:pPr>
            <w:r w:rsidRPr="00416D67">
              <w:rPr>
                <w:color w:val="000000"/>
                <w:sz w:val="16"/>
                <w:szCs w:val="16"/>
              </w:rPr>
              <w:t>2322</w:t>
            </w:r>
          </w:p>
        </w:tc>
        <w:tc>
          <w:tcPr>
            <w:tcW w:w="4956" w:type="dxa"/>
            <w:tcBorders>
              <w:top w:val="nil"/>
              <w:left w:val="nil"/>
              <w:bottom w:val="single" w:sz="4" w:space="0" w:color="auto"/>
              <w:right w:val="single" w:sz="4" w:space="0" w:color="auto"/>
            </w:tcBorders>
            <w:vAlign w:val="center"/>
            <w:hideMark/>
          </w:tcPr>
          <w:p w14:paraId="542CE1DF" w14:textId="77777777" w:rsidR="00416D67" w:rsidRPr="00416D67" w:rsidRDefault="00416D67" w:rsidP="00416D67">
            <w:pPr>
              <w:rPr>
                <w:color w:val="000000"/>
                <w:sz w:val="16"/>
                <w:szCs w:val="16"/>
              </w:rPr>
            </w:pPr>
            <w:r w:rsidRPr="00416D67">
              <w:rPr>
                <w:color w:val="000000"/>
                <w:sz w:val="16"/>
                <w:szCs w:val="16"/>
              </w:rPr>
              <w:t>Rashodi za materijal i energiju</w:t>
            </w:r>
          </w:p>
        </w:tc>
        <w:tc>
          <w:tcPr>
            <w:tcW w:w="1060" w:type="dxa"/>
            <w:tcBorders>
              <w:top w:val="nil"/>
              <w:left w:val="nil"/>
              <w:bottom w:val="single" w:sz="4" w:space="0" w:color="auto"/>
              <w:right w:val="single" w:sz="4" w:space="0" w:color="auto"/>
            </w:tcBorders>
            <w:noWrap/>
            <w:vAlign w:val="center"/>
            <w:hideMark/>
          </w:tcPr>
          <w:p w14:paraId="58E20C1D" w14:textId="77777777" w:rsidR="00416D67" w:rsidRPr="00416D67" w:rsidRDefault="00416D67" w:rsidP="00416D67">
            <w:pPr>
              <w:jc w:val="right"/>
              <w:rPr>
                <w:color w:val="000000"/>
                <w:sz w:val="16"/>
                <w:szCs w:val="16"/>
              </w:rPr>
            </w:pPr>
            <w:r w:rsidRPr="00416D67">
              <w:rPr>
                <w:color w:val="000000"/>
                <w:sz w:val="16"/>
                <w:szCs w:val="16"/>
              </w:rPr>
              <w:t>11.099,33</w:t>
            </w:r>
          </w:p>
        </w:tc>
        <w:tc>
          <w:tcPr>
            <w:tcW w:w="960" w:type="dxa"/>
            <w:tcBorders>
              <w:top w:val="nil"/>
              <w:left w:val="nil"/>
              <w:bottom w:val="single" w:sz="4" w:space="0" w:color="auto"/>
              <w:right w:val="single" w:sz="4" w:space="0" w:color="auto"/>
            </w:tcBorders>
            <w:noWrap/>
            <w:vAlign w:val="center"/>
            <w:hideMark/>
          </w:tcPr>
          <w:p w14:paraId="72F7A826"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21FA9E10" w14:textId="77777777" w:rsidR="00416D67" w:rsidRPr="00416D67" w:rsidRDefault="00416D67" w:rsidP="00416D67">
            <w:pPr>
              <w:jc w:val="right"/>
              <w:rPr>
                <w:color w:val="000000"/>
                <w:sz w:val="16"/>
                <w:szCs w:val="16"/>
              </w:rPr>
            </w:pPr>
            <w:r w:rsidRPr="00416D67">
              <w:rPr>
                <w:color w:val="000000"/>
                <w:sz w:val="16"/>
                <w:szCs w:val="16"/>
              </w:rPr>
              <w:t>11.099,33</w:t>
            </w:r>
          </w:p>
        </w:tc>
      </w:tr>
      <w:tr w:rsidR="00416D67" w:rsidRPr="00416D67" w14:paraId="6E3A99B5"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43EF88F8" w14:textId="77777777" w:rsidR="00416D67" w:rsidRPr="00416D67" w:rsidRDefault="00416D67" w:rsidP="00416D67">
            <w:pPr>
              <w:rPr>
                <w:color w:val="000000"/>
                <w:sz w:val="16"/>
                <w:szCs w:val="16"/>
              </w:rPr>
            </w:pPr>
            <w:r w:rsidRPr="00416D67">
              <w:rPr>
                <w:color w:val="000000"/>
                <w:sz w:val="16"/>
                <w:szCs w:val="16"/>
              </w:rPr>
              <w:t>2323</w:t>
            </w:r>
          </w:p>
        </w:tc>
        <w:tc>
          <w:tcPr>
            <w:tcW w:w="4956" w:type="dxa"/>
            <w:tcBorders>
              <w:top w:val="nil"/>
              <w:left w:val="nil"/>
              <w:bottom w:val="single" w:sz="4" w:space="0" w:color="auto"/>
              <w:right w:val="single" w:sz="4" w:space="0" w:color="auto"/>
            </w:tcBorders>
            <w:vAlign w:val="center"/>
            <w:hideMark/>
          </w:tcPr>
          <w:p w14:paraId="576665CA" w14:textId="77777777" w:rsidR="00416D67" w:rsidRPr="00416D67" w:rsidRDefault="00416D67" w:rsidP="00416D67">
            <w:pPr>
              <w:rPr>
                <w:color w:val="000000"/>
                <w:sz w:val="16"/>
                <w:szCs w:val="16"/>
              </w:rPr>
            </w:pPr>
            <w:r w:rsidRPr="00416D67">
              <w:rPr>
                <w:color w:val="000000"/>
                <w:sz w:val="16"/>
                <w:szCs w:val="16"/>
              </w:rPr>
              <w:t>Rashodi za usluge</w:t>
            </w:r>
          </w:p>
        </w:tc>
        <w:tc>
          <w:tcPr>
            <w:tcW w:w="1060" w:type="dxa"/>
            <w:tcBorders>
              <w:top w:val="nil"/>
              <w:left w:val="nil"/>
              <w:bottom w:val="single" w:sz="4" w:space="0" w:color="auto"/>
              <w:right w:val="single" w:sz="4" w:space="0" w:color="auto"/>
            </w:tcBorders>
            <w:noWrap/>
            <w:vAlign w:val="center"/>
            <w:hideMark/>
          </w:tcPr>
          <w:p w14:paraId="0E5BCC1B" w14:textId="77777777" w:rsidR="00416D67" w:rsidRPr="00416D67" w:rsidRDefault="00416D67" w:rsidP="00416D67">
            <w:pPr>
              <w:jc w:val="right"/>
              <w:rPr>
                <w:color w:val="000000"/>
                <w:sz w:val="16"/>
                <w:szCs w:val="16"/>
              </w:rPr>
            </w:pPr>
            <w:r w:rsidRPr="00416D67">
              <w:rPr>
                <w:color w:val="000000"/>
                <w:sz w:val="16"/>
                <w:szCs w:val="16"/>
              </w:rPr>
              <w:t>31.877,23</w:t>
            </w:r>
          </w:p>
        </w:tc>
        <w:tc>
          <w:tcPr>
            <w:tcW w:w="960" w:type="dxa"/>
            <w:tcBorders>
              <w:top w:val="nil"/>
              <w:left w:val="nil"/>
              <w:bottom w:val="single" w:sz="4" w:space="0" w:color="auto"/>
              <w:right w:val="single" w:sz="4" w:space="0" w:color="auto"/>
            </w:tcBorders>
            <w:noWrap/>
            <w:vAlign w:val="center"/>
            <w:hideMark/>
          </w:tcPr>
          <w:p w14:paraId="72B1D37D" w14:textId="77777777" w:rsidR="00416D67" w:rsidRPr="00416D67" w:rsidRDefault="00416D67" w:rsidP="00416D67">
            <w:pPr>
              <w:jc w:val="right"/>
              <w:rPr>
                <w:color w:val="000000"/>
                <w:sz w:val="16"/>
                <w:szCs w:val="16"/>
              </w:rPr>
            </w:pPr>
            <w:r w:rsidRPr="00416D67">
              <w:rPr>
                <w:color w:val="000000"/>
                <w:sz w:val="16"/>
                <w:szCs w:val="16"/>
              </w:rPr>
              <w:t>317,2</w:t>
            </w:r>
          </w:p>
        </w:tc>
        <w:tc>
          <w:tcPr>
            <w:tcW w:w="1180" w:type="dxa"/>
            <w:tcBorders>
              <w:top w:val="nil"/>
              <w:left w:val="nil"/>
              <w:bottom w:val="single" w:sz="4" w:space="0" w:color="auto"/>
              <w:right w:val="single" w:sz="4" w:space="0" w:color="auto"/>
            </w:tcBorders>
            <w:noWrap/>
            <w:vAlign w:val="center"/>
            <w:hideMark/>
          </w:tcPr>
          <w:p w14:paraId="2B0B5EA5" w14:textId="77777777" w:rsidR="00416D67" w:rsidRPr="00416D67" w:rsidRDefault="00416D67" w:rsidP="00416D67">
            <w:pPr>
              <w:jc w:val="right"/>
              <w:rPr>
                <w:color w:val="000000"/>
                <w:sz w:val="16"/>
                <w:szCs w:val="16"/>
              </w:rPr>
            </w:pPr>
            <w:r w:rsidRPr="00416D67">
              <w:rPr>
                <w:color w:val="000000"/>
                <w:sz w:val="16"/>
                <w:szCs w:val="16"/>
              </w:rPr>
              <w:t>31.560,03</w:t>
            </w:r>
          </w:p>
        </w:tc>
      </w:tr>
      <w:tr w:rsidR="00416D67" w:rsidRPr="00416D67" w14:paraId="51FA1968"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5927B6AE" w14:textId="77777777" w:rsidR="00416D67" w:rsidRPr="00416D67" w:rsidRDefault="00416D67" w:rsidP="00416D67">
            <w:pPr>
              <w:rPr>
                <w:color w:val="000000"/>
                <w:sz w:val="16"/>
                <w:szCs w:val="16"/>
              </w:rPr>
            </w:pPr>
            <w:r w:rsidRPr="00416D67">
              <w:rPr>
                <w:color w:val="000000"/>
                <w:sz w:val="16"/>
                <w:szCs w:val="16"/>
              </w:rPr>
              <w:t>2329</w:t>
            </w:r>
          </w:p>
        </w:tc>
        <w:tc>
          <w:tcPr>
            <w:tcW w:w="4956" w:type="dxa"/>
            <w:tcBorders>
              <w:top w:val="nil"/>
              <w:left w:val="nil"/>
              <w:bottom w:val="single" w:sz="4" w:space="0" w:color="auto"/>
              <w:right w:val="single" w:sz="4" w:space="0" w:color="auto"/>
            </w:tcBorders>
            <w:vAlign w:val="center"/>
            <w:hideMark/>
          </w:tcPr>
          <w:p w14:paraId="639809D9" w14:textId="77777777" w:rsidR="00416D67" w:rsidRPr="00416D67" w:rsidRDefault="00416D67" w:rsidP="00416D67">
            <w:pPr>
              <w:rPr>
                <w:color w:val="000000"/>
                <w:sz w:val="16"/>
                <w:szCs w:val="16"/>
              </w:rPr>
            </w:pPr>
            <w:r w:rsidRPr="00416D67">
              <w:rPr>
                <w:color w:val="000000"/>
                <w:sz w:val="16"/>
                <w:szCs w:val="16"/>
              </w:rPr>
              <w:t>Ostali nespomenuti rashodi poslovanja</w:t>
            </w:r>
          </w:p>
        </w:tc>
        <w:tc>
          <w:tcPr>
            <w:tcW w:w="1060" w:type="dxa"/>
            <w:tcBorders>
              <w:top w:val="nil"/>
              <w:left w:val="nil"/>
              <w:bottom w:val="single" w:sz="4" w:space="0" w:color="auto"/>
              <w:right w:val="single" w:sz="4" w:space="0" w:color="auto"/>
            </w:tcBorders>
            <w:noWrap/>
            <w:vAlign w:val="center"/>
            <w:hideMark/>
          </w:tcPr>
          <w:p w14:paraId="5ABEC576" w14:textId="77777777" w:rsidR="00416D67" w:rsidRPr="00416D67" w:rsidRDefault="00416D67" w:rsidP="00416D67">
            <w:pPr>
              <w:jc w:val="right"/>
              <w:rPr>
                <w:color w:val="000000"/>
                <w:sz w:val="16"/>
                <w:szCs w:val="16"/>
              </w:rPr>
            </w:pPr>
            <w:r w:rsidRPr="00416D67">
              <w:rPr>
                <w:color w:val="000000"/>
                <w:sz w:val="16"/>
                <w:szCs w:val="16"/>
              </w:rPr>
              <w:t>10.867,70</w:t>
            </w:r>
          </w:p>
        </w:tc>
        <w:tc>
          <w:tcPr>
            <w:tcW w:w="960" w:type="dxa"/>
            <w:tcBorders>
              <w:top w:val="nil"/>
              <w:left w:val="nil"/>
              <w:bottom w:val="single" w:sz="4" w:space="0" w:color="auto"/>
              <w:right w:val="single" w:sz="4" w:space="0" w:color="auto"/>
            </w:tcBorders>
            <w:noWrap/>
            <w:vAlign w:val="center"/>
            <w:hideMark/>
          </w:tcPr>
          <w:p w14:paraId="63AA34D4" w14:textId="77777777" w:rsidR="00416D67" w:rsidRPr="00416D67" w:rsidRDefault="00416D67" w:rsidP="00416D67">
            <w:pPr>
              <w:jc w:val="right"/>
              <w:rPr>
                <w:color w:val="000000"/>
                <w:sz w:val="16"/>
                <w:szCs w:val="16"/>
              </w:rPr>
            </w:pPr>
            <w:r w:rsidRPr="00416D67">
              <w:rPr>
                <w:color w:val="000000"/>
                <w:sz w:val="16"/>
                <w:szCs w:val="16"/>
              </w:rPr>
              <w:t>1.500,00</w:t>
            </w:r>
          </w:p>
        </w:tc>
        <w:tc>
          <w:tcPr>
            <w:tcW w:w="1180" w:type="dxa"/>
            <w:tcBorders>
              <w:top w:val="nil"/>
              <w:left w:val="nil"/>
              <w:bottom w:val="single" w:sz="4" w:space="0" w:color="auto"/>
              <w:right w:val="single" w:sz="4" w:space="0" w:color="auto"/>
            </w:tcBorders>
            <w:noWrap/>
            <w:vAlign w:val="center"/>
            <w:hideMark/>
          </w:tcPr>
          <w:p w14:paraId="13B9979D" w14:textId="77777777" w:rsidR="00416D67" w:rsidRPr="00416D67" w:rsidRDefault="00416D67" w:rsidP="00416D67">
            <w:pPr>
              <w:jc w:val="right"/>
              <w:rPr>
                <w:color w:val="000000"/>
                <w:sz w:val="16"/>
                <w:szCs w:val="16"/>
              </w:rPr>
            </w:pPr>
            <w:r w:rsidRPr="00416D67">
              <w:rPr>
                <w:color w:val="000000"/>
                <w:sz w:val="16"/>
                <w:szCs w:val="16"/>
              </w:rPr>
              <w:t>9.367,70</w:t>
            </w:r>
          </w:p>
        </w:tc>
      </w:tr>
      <w:tr w:rsidR="00416D67" w:rsidRPr="00416D67" w14:paraId="2E709681"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02AD8D8A" w14:textId="77777777" w:rsidR="00416D67" w:rsidRPr="00416D67" w:rsidRDefault="00416D67" w:rsidP="00416D67">
            <w:pPr>
              <w:rPr>
                <w:b/>
                <w:bCs/>
                <w:color w:val="000000"/>
                <w:sz w:val="16"/>
                <w:szCs w:val="16"/>
              </w:rPr>
            </w:pPr>
            <w:r w:rsidRPr="00416D67">
              <w:rPr>
                <w:b/>
                <w:bCs/>
                <w:color w:val="000000"/>
                <w:sz w:val="16"/>
                <w:szCs w:val="16"/>
              </w:rPr>
              <w:t>232</w:t>
            </w:r>
          </w:p>
        </w:tc>
        <w:tc>
          <w:tcPr>
            <w:tcW w:w="4956" w:type="dxa"/>
            <w:tcBorders>
              <w:top w:val="nil"/>
              <w:left w:val="nil"/>
              <w:bottom w:val="single" w:sz="4" w:space="0" w:color="auto"/>
              <w:right w:val="single" w:sz="4" w:space="0" w:color="auto"/>
            </w:tcBorders>
            <w:vAlign w:val="center"/>
            <w:hideMark/>
          </w:tcPr>
          <w:p w14:paraId="571BAA0B" w14:textId="77777777" w:rsidR="00416D67" w:rsidRPr="00416D67" w:rsidRDefault="00416D67" w:rsidP="00416D67">
            <w:pPr>
              <w:rPr>
                <w:b/>
                <w:bCs/>
                <w:color w:val="000000"/>
                <w:sz w:val="16"/>
                <w:szCs w:val="16"/>
              </w:rPr>
            </w:pPr>
            <w:r w:rsidRPr="00416D67">
              <w:rPr>
                <w:b/>
                <w:bCs/>
                <w:color w:val="000000"/>
                <w:sz w:val="16"/>
                <w:szCs w:val="16"/>
              </w:rPr>
              <w:t>Obveze za materijalne rashode</w:t>
            </w:r>
          </w:p>
        </w:tc>
        <w:tc>
          <w:tcPr>
            <w:tcW w:w="1060" w:type="dxa"/>
            <w:tcBorders>
              <w:top w:val="nil"/>
              <w:left w:val="nil"/>
              <w:bottom w:val="single" w:sz="4" w:space="0" w:color="auto"/>
              <w:right w:val="single" w:sz="4" w:space="0" w:color="auto"/>
            </w:tcBorders>
            <w:noWrap/>
            <w:vAlign w:val="center"/>
            <w:hideMark/>
          </w:tcPr>
          <w:p w14:paraId="5B5749B4" w14:textId="77777777" w:rsidR="00416D67" w:rsidRPr="00416D67" w:rsidRDefault="00416D67" w:rsidP="00416D67">
            <w:pPr>
              <w:jc w:val="right"/>
              <w:rPr>
                <w:b/>
                <w:bCs/>
                <w:color w:val="000000"/>
                <w:sz w:val="16"/>
                <w:szCs w:val="16"/>
              </w:rPr>
            </w:pPr>
            <w:r w:rsidRPr="00416D67">
              <w:rPr>
                <w:b/>
                <w:bCs/>
                <w:color w:val="000000"/>
                <w:sz w:val="16"/>
                <w:szCs w:val="16"/>
              </w:rPr>
              <w:t>55.389,91</w:t>
            </w:r>
          </w:p>
        </w:tc>
        <w:tc>
          <w:tcPr>
            <w:tcW w:w="960" w:type="dxa"/>
            <w:tcBorders>
              <w:top w:val="nil"/>
              <w:left w:val="nil"/>
              <w:bottom w:val="single" w:sz="4" w:space="0" w:color="auto"/>
              <w:right w:val="single" w:sz="4" w:space="0" w:color="auto"/>
            </w:tcBorders>
            <w:noWrap/>
            <w:vAlign w:val="center"/>
            <w:hideMark/>
          </w:tcPr>
          <w:p w14:paraId="3EB369D7" w14:textId="77777777" w:rsidR="00416D67" w:rsidRPr="00416D67" w:rsidRDefault="00416D67" w:rsidP="00416D67">
            <w:pPr>
              <w:jc w:val="right"/>
              <w:rPr>
                <w:b/>
                <w:bCs/>
                <w:color w:val="000000"/>
                <w:sz w:val="16"/>
                <w:szCs w:val="16"/>
              </w:rPr>
            </w:pPr>
            <w:r w:rsidRPr="00416D67">
              <w:rPr>
                <w:b/>
                <w:bCs/>
                <w:color w:val="000000"/>
                <w:sz w:val="16"/>
                <w:szCs w:val="16"/>
              </w:rPr>
              <w:t>1.817,20</w:t>
            </w:r>
          </w:p>
        </w:tc>
        <w:tc>
          <w:tcPr>
            <w:tcW w:w="1180" w:type="dxa"/>
            <w:tcBorders>
              <w:top w:val="nil"/>
              <w:left w:val="nil"/>
              <w:bottom w:val="single" w:sz="4" w:space="0" w:color="auto"/>
              <w:right w:val="single" w:sz="4" w:space="0" w:color="auto"/>
            </w:tcBorders>
            <w:noWrap/>
            <w:vAlign w:val="center"/>
            <w:hideMark/>
          </w:tcPr>
          <w:p w14:paraId="03F022B8" w14:textId="77777777" w:rsidR="00416D67" w:rsidRPr="00416D67" w:rsidRDefault="00416D67" w:rsidP="00416D67">
            <w:pPr>
              <w:jc w:val="right"/>
              <w:rPr>
                <w:b/>
                <w:bCs/>
                <w:color w:val="000000"/>
                <w:sz w:val="16"/>
                <w:szCs w:val="16"/>
              </w:rPr>
            </w:pPr>
            <w:r w:rsidRPr="00416D67">
              <w:rPr>
                <w:b/>
                <w:bCs/>
                <w:color w:val="000000"/>
                <w:sz w:val="16"/>
                <w:szCs w:val="16"/>
              </w:rPr>
              <w:t>53.572,71</w:t>
            </w:r>
          </w:p>
        </w:tc>
      </w:tr>
      <w:tr w:rsidR="00416D67" w:rsidRPr="00416D67" w14:paraId="5E10FC05"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304AAC67" w14:textId="77777777" w:rsidR="00416D67" w:rsidRPr="00416D67" w:rsidRDefault="00416D67" w:rsidP="00416D67">
            <w:pPr>
              <w:rPr>
                <w:color w:val="000000"/>
                <w:sz w:val="16"/>
                <w:szCs w:val="16"/>
              </w:rPr>
            </w:pPr>
            <w:r w:rsidRPr="00416D67">
              <w:rPr>
                <w:color w:val="000000"/>
                <w:sz w:val="16"/>
                <w:szCs w:val="16"/>
              </w:rPr>
              <w:t>2342</w:t>
            </w:r>
          </w:p>
        </w:tc>
        <w:tc>
          <w:tcPr>
            <w:tcW w:w="4956" w:type="dxa"/>
            <w:tcBorders>
              <w:top w:val="nil"/>
              <w:left w:val="nil"/>
              <w:bottom w:val="single" w:sz="4" w:space="0" w:color="auto"/>
              <w:right w:val="single" w:sz="4" w:space="0" w:color="auto"/>
            </w:tcBorders>
            <w:vAlign w:val="center"/>
            <w:hideMark/>
          </w:tcPr>
          <w:p w14:paraId="3BC4C795" w14:textId="77777777" w:rsidR="00416D67" w:rsidRPr="00416D67" w:rsidRDefault="00416D67" w:rsidP="00416D67">
            <w:pPr>
              <w:rPr>
                <w:color w:val="000000"/>
                <w:sz w:val="16"/>
                <w:szCs w:val="16"/>
              </w:rPr>
            </w:pPr>
            <w:r w:rsidRPr="00416D67">
              <w:rPr>
                <w:color w:val="000000"/>
                <w:sz w:val="16"/>
                <w:szCs w:val="16"/>
              </w:rPr>
              <w:t>Obveze za kamate na primljene kredite i zajmove</w:t>
            </w:r>
          </w:p>
        </w:tc>
        <w:tc>
          <w:tcPr>
            <w:tcW w:w="1060" w:type="dxa"/>
            <w:tcBorders>
              <w:top w:val="nil"/>
              <w:left w:val="nil"/>
              <w:bottom w:val="single" w:sz="4" w:space="0" w:color="auto"/>
              <w:right w:val="single" w:sz="4" w:space="0" w:color="auto"/>
            </w:tcBorders>
            <w:noWrap/>
            <w:vAlign w:val="center"/>
            <w:hideMark/>
          </w:tcPr>
          <w:p w14:paraId="072962A5" w14:textId="77777777" w:rsidR="00416D67" w:rsidRPr="00416D67" w:rsidRDefault="00416D67" w:rsidP="00416D67">
            <w:pPr>
              <w:jc w:val="right"/>
              <w:rPr>
                <w:color w:val="000000"/>
                <w:sz w:val="16"/>
                <w:szCs w:val="16"/>
              </w:rPr>
            </w:pPr>
            <w:r w:rsidRPr="00416D67">
              <w:rPr>
                <w:color w:val="000000"/>
                <w:sz w:val="16"/>
                <w:szCs w:val="16"/>
              </w:rPr>
              <w:t>20.224,50</w:t>
            </w:r>
          </w:p>
        </w:tc>
        <w:tc>
          <w:tcPr>
            <w:tcW w:w="960" w:type="dxa"/>
            <w:tcBorders>
              <w:top w:val="nil"/>
              <w:left w:val="nil"/>
              <w:bottom w:val="single" w:sz="4" w:space="0" w:color="auto"/>
              <w:right w:val="single" w:sz="4" w:space="0" w:color="auto"/>
            </w:tcBorders>
            <w:noWrap/>
            <w:vAlign w:val="center"/>
            <w:hideMark/>
          </w:tcPr>
          <w:p w14:paraId="59B9FA4E"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4EC45C2D" w14:textId="77777777" w:rsidR="00416D67" w:rsidRPr="00416D67" w:rsidRDefault="00416D67" w:rsidP="00416D67">
            <w:pPr>
              <w:jc w:val="right"/>
              <w:rPr>
                <w:color w:val="000000"/>
                <w:sz w:val="16"/>
                <w:szCs w:val="16"/>
              </w:rPr>
            </w:pPr>
            <w:r w:rsidRPr="00416D67">
              <w:rPr>
                <w:color w:val="000000"/>
                <w:sz w:val="16"/>
                <w:szCs w:val="16"/>
              </w:rPr>
              <w:t>20.224,50</w:t>
            </w:r>
          </w:p>
        </w:tc>
      </w:tr>
      <w:tr w:rsidR="00416D67" w:rsidRPr="00416D67" w14:paraId="33FDA019"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4CA12535" w14:textId="77777777" w:rsidR="00416D67" w:rsidRPr="00416D67" w:rsidRDefault="00416D67" w:rsidP="00416D67">
            <w:pPr>
              <w:rPr>
                <w:color w:val="000000"/>
                <w:sz w:val="16"/>
                <w:szCs w:val="16"/>
              </w:rPr>
            </w:pPr>
            <w:r w:rsidRPr="00416D67">
              <w:rPr>
                <w:color w:val="000000"/>
                <w:sz w:val="16"/>
                <w:szCs w:val="16"/>
              </w:rPr>
              <w:t>2343</w:t>
            </w:r>
          </w:p>
        </w:tc>
        <w:tc>
          <w:tcPr>
            <w:tcW w:w="4956" w:type="dxa"/>
            <w:tcBorders>
              <w:top w:val="nil"/>
              <w:left w:val="nil"/>
              <w:bottom w:val="single" w:sz="4" w:space="0" w:color="auto"/>
              <w:right w:val="single" w:sz="4" w:space="0" w:color="auto"/>
            </w:tcBorders>
            <w:vAlign w:val="center"/>
            <w:hideMark/>
          </w:tcPr>
          <w:p w14:paraId="5D1D307A" w14:textId="77777777" w:rsidR="00416D67" w:rsidRPr="00416D67" w:rsidRDefault="00416D67" w:rsidP="00416D67">
            <w:pPr>
              <w:rPr>
                <w:color w:val="000000"/>
                <w:sz w:val="16"/>
                <w:szCs w:val="16"/>
              </w:rPr>
            </w:pPr>
            <w:r w:rsidRPr="00416D67">
              <w:rPr>
                <w:color w:val="000000"/>
                <w:sz w:val="16"/>
                <w:szCs w:val="16"/>
              </w:rPr>
              <w:t>Obveze za ostale financijske rashode</w:t>
            </w:r>
          </w:p>
        </w:tc>
        <w:tc>
          <w:tcPr>
            <w:tcW w:w="1060" w:type="dxa"/>
            <w:tcBorders>
              <w:top w:val="nil"/>
              <w:left w:val="nil"/>
              <w:bottom w:val="single" w:sz="4" w:space="0" w:color="auto"/>
              <w:right w:val="single" w:sz="4" w:space="0" w:color="auto"/>
            </w:tcBorders>
            <w:noWrap/>
            <w:vAlign w:val="center"/>
            <w:hideMark/>
          </w:tcPr>
          <w:p w14:paraId="43D9AA70" w14:textId="77777777" w:rsidR="00416D67" w:rsidRPr="00416D67" w:rsidRDefault="00416D67" w:rsidP="00416D67">
            <w:pPr>
              <w:jc w:val="right"/>
              <w:rPr>
                <w:color w:val="000000"/>
                <w:sz w:val="16"/>
                <w:szCs w:val="16"/>
              </w:rPr>
            </w:pPr>
            <w:r w:rsidRPr="00416D67">
              <w:rPr>
                <w:color w:val="000000"/>
                <w:sz w:val="16"/>
                <w:szCs w:val="16"/>
              </w:rPr>
              <w:t>2.896,85</w:t>
            </w:r>
          </w:p>
        </w:tc>
        <w:tc>
          <w:tcPr>
            <w:tcW w:w="960" w:type="dxa"/>
            <w:tcBorders>
              <w:top w:val="nil"/>
              <w:left w:val="nil"/>
              <w:bottom w:val="single" w:sz="4" w:space="0" w:color="auto"/>
              <w:right w:val="single" w:sz="4" w:space="0" w:color="auto"/>
            </w:tcBorders>
            <w:noWrap/>
            <w:vAlign w:val="center"/>
            <w:hideMark/>
          </w:tcPr>
          <w:p w14:paraId="106C56AB"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274598A4" w14:textId="77777777" w:rsidR="00416D67" w:rsidRPr="00416D67" w:rsidRDefault="00416D67" w:rsidP="00416D67">
            <w:pPr>
              <w:jc w:val="right"/>
              <w:rPr>
                <w:color w:val="000000"/>
                <w:sz w:val="16"/>
                <w:szCs w:val="16"/>
              </w:rPr>
            </w:pPr>
            <w:r w:rsidRPr="00416D67">
              <w:rPr>
                <w:color w:val="000000"/>
                <w:sz w:val="16"/>
                <w:szCs w:val="16"/>
              </w:rPr>
              <w:t>2.896,85</w:t>
            </w:r>
          </w:p>
        </w:tc>
      </w:tr>
      <w:tr w:rsidR="00416D67" w:rsidRPr="00416D67" w14:paraId="67D4D4BA"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23F3B4BA" w14:textId="77777777" w:rsidR="00416D67" w:rsidRPr="00416D67" w:rsidRDefault="00416D67" w:rsidP="00416D67">
            <w:pPr>
              <w:rPr>
                <w:b/>
                <w:bCs/>
                <w:color w:val="000000"/>
                <w:sz w:val="16"/>
                <w:szCs w:val="16"/>
              </w:rPr>
            </w:pPr>
            <w:r w:rsidRPr="00416D67">
              <w:rPr>
                <w:b/>
                <w:bCs/>
                <w:color w:val="000000"/>
                <w:sz w:val="16"/>
                <w:szCs w:val="16"/>
              </w:rPr>
              <w:t>234</w:t>
            </w:r>
          </w:p>
        </w:tc>
        <w:tc>
          <w:tcPr>
            <w:tcW w:w="4956" w:type="dxa"/>
            <w:tcBorders>
              <w:top w:val="nil"/>
              <w:left w:val="nil"/>
              <w:bottom w:val="single" w:sz="4" w:space="0" w:color="auto"/>
              <w:right w:val="single" w:sz="4" w:space="0" w:color="auto"/>
            </w:tcBorders>
            <w:vAlign w:val="center"/>
            <w:hideMark/>
          </w:tcPr>
          <w:p w14:paraId="57690EA6" w14:textId="77777777" w:rsidR="00416D67" w:rsidRPr="00416D67" w:rsidRDefault="00416D67" w:rsidP="00416D67">
            <w:pPr>
              <w:rPr>
                <w:b/>
                <w:bCs/>
                <w:color w:val="000000"/>
                <w:sz w:val="16"/>
                <w:szCs w:val="16"/>
              </w:rPr>
            </w:pPr>
            <w:r w:rsidRPr="00416D67">
              <w:rPr>
                <w:b/>
                <w:bCs/>
                <w:color w:val="000000"/>
                <w:sz w:val="16"/>
                <w:szCs w:val="16"/>
              </w:rPr>
              <w:t>Obveze za financijske rashode</w:t>
            </w:r>
          </w:p>
        </w:tc>
        <w:tc>
          <w:tcPr>
            <w:tcW w:w="1060" w:type="dxa"/>
            <w:tcBorders>
              <w:top w:val="nil"/>
              <w:left w:val="nil"/>
              <w:bottom w:val="single" w:sz="4" w:space="0" w:color="auto"/>
              <w:right w:val="single" w:sz="4" w:space="0" w:color="auto"/>
            </w:tcBorders>
            <w:noWrap/>
            <w:vAlign w:val="center"/>
            <w:hideMark/>
          </w:tcPr>
          <w:p w14:paraId="7463D04A" w14:textId="77777777" w:rsidR="00416D67" w:rsidRPr="00416D67" w:rsidRDefault="00416D67" w:rsidP="00416D67">
            <w:pPr>
              <w:jc w:val="right"/>
              <w:rPr>
                <w:b/>
                <w:bCs/>
                <w:color w:val="000000"/>
                <w:sz w:val="16"/>
                <w:szCs w:val="16"/>
              </w:rPr>
            </w:pPr>
            <w:r w:rsidRPr="00416D67">
              <w:rPr>
                <w:b/>
                <w:bCs/>
                <w:color w:val="000000"/>
                <w:sz w:val="16"/>
                <w:szCs w:val="16"/>
              </w:rPr>
              <w:t>23.121,35</w:t>
            </w:r>
          </w:p>
        </w:tc>
        <w:tc>
          <w:tcPr>
            <w:tcW w:w="960" w:type="dxa"/>
            <w:tcBorders>
              <w:top w:val="nil"/>
              <w:left w:val="nil"/>
              <w:bottom w:val="single" w:sz="4" w:space="0" w:color="auto"/>
              <w:right w:val="single" w:sz="4" w:space="0" w:color="auto"/>
            </w:tcBorders>
            <w:noWrap/>
            <w:vAlign w:val="center"/>
            <w:hideMark/>
          </w:tcPr>
          <w:p w14:paraId="343AACDB" w14:textId="77777777" w:rsidR="00416D67" w:rsidRPr="00416D67" w:rsidRDefault="00416D67" w:rsidP="00416D67">
            <w:pPr>
              <w:jc w:val="right"/>
              <w:rPr>
                <w:b/>
                <w:bCs/>
                <w:color w:val="000000"/>
                <w:sz w:val="16"/>
                <w:szCs w:val="16"/>
              </w:rPr>
            </w:pPr>
            <w:r w:rsidRPr="00416D67">
              <w:rPr>
                <w:b/>
                <w:bCs/>
                <w:color w:val="000000"/>
                <w:sz w:val="16"/>
                <w:szCs w:val="16"/>
              </w:rPr>
              <w:t>0</w:t>
            </w:r>
          </w:p>
        </w:tc>
        <w:tc>
          <w:tcPr>
            <w:tcW w:w="1180" w:type="dxa"/>
            <w:tcBorders>
              <w:top w:val="nil"/>
              <w:left w:val="nil"/>
              <w:bottom w:val="single" w:sz="4" w:space="0" w:color="auto"/>
              <w:right w:val="single" w:sz="4" w:space="0" w:color="auto"/>
            </w:tcBorders>
            <w:noWrap/>
            <w:vAlign w:val="center"/>
            <w:hideMark/>
          </w:tcPr>
          <w:p w14:paraId="4A061EB5" w14:textId="77777777" w:rsidR="00416D67" w:rsidRPr="00416D67" w:rsidRDefault="00416D67" w:rsidP="00416D67">
            <w:pPr>
              <w:jc w:val="right"/>
              <w:rPr>
                <w:b/>
                <w:bCs/>
                <w:color w:val="000000"/>
                <w:sz w:val="16"/>
                <w:szCs w:val="16"/>
              </w:rPr>
            </w:pPr>
            <w:r w:rsidRPr="00416D67">
              <w:rPr>
                <w:b/>
                <w:bCs/>
                <w:color w:val="000000"/>
                <w:sz w:val="16"/>
                <w:szCs w:val="16"/>
              </w:rPr>
              <w:t>23.121,35</w:t>
            </w:r>
          </w:p>
        </w:tc>
      </w:tr>
      <w:tr w:rsidR="00416D67" w:rsidRPr="00416D67" w14:paraId="587F87B1" w14:textId="77777777" w:rsidTr="00BB1392">
        <w:trPr>
          <w:trHeight w:val="450"/>
        </w:trPr>
        <w:tc>
          <w:tcPr>
            <w:tcW w:w="1135" w:type="dxa"/>
            <w:tcBorders>
              <w:top w:val="nil"/>
              <w:left w:val="single" w:sz="4" w:space="0" w:color="auto"/>
              <w:bottom w:val="single" w:sz="4" w:space="0" w:color="auto"/>
              <w:right w:val="single" w:sz="4" w:space="0" w:color="auto"/>
            </w:tcBorders>
            <w:noWrap/>
            <w:vAlign w:val="center"/>
            <w:hideMark/>
          </w:tcPr>
          <w:p w14:paraId="6AF1CEA4" w14:textId="77777777" w:rsidR="00416D67" w:rsidRPr="00416D67" w:rsidRDefault="00416D67" w:rsidP="00416D67">
            <w:pPr>
              <w:rPr>
                <w:color w:val="000000"/>
                <w:sz w:val="16"/>
                <w:szCs w:val="16"/>
              </w:rPr>
            </w:pPr>
            <w:r w:rsidRPr="00416D67">
              <w:rPr>
                <w:color w:val="000000"/>
                <w:sz w:val="16"/>
                <w:szCs w:val="16"/>
              </w:rPr>
              <w:t>2351</w:t>
            </w:r>
          </w:p>
        </w:tc>
        <w:tc>
          <w:tcPr>
            <w:tcW w:w="4956" w:type="dxa"/>
            <w:tcBorders>
              <w:top w:val="nil"/>
              <w:left w:val="nil"/>
              <w:bottom w:val="single" w:sz="4" w:space="0" w:color="auto"/>
              <w:right w:val="single" w:sz="4" w:space="0" w:color="auto"/>
            </w:tcBorders>
            <w:vAlign w:val="center"/>
            <w:hideMark/>
          </w:tcPr>
          <w:p w14:paraId="59915912" w14:textId="77777777" w:rsidR="00416D67" w:rsidRPr="00416D67" w:rsidRDefault="00416D67" w:rsidP="00416D67">
            <w:pPr>
              <w:rPr>
                <w:color w:val="000000"/>
                <w:sz w:val="16"/>
                <w:szCs w:val="16"/>
              </w:rPr>
            </w:pPr>
            <w:r w:rsidRPr="00416D67">
              <w:rPr>
                <w:color w:val="000000"/>
                <w:sz w:val="16"/>
                <w:szCs w:val="16"/>
              </w:rPr>
              <w:t xml:space="preserve">Obveze za subvencije kreditnim i ostalim financijskim institucijama i trgovačkim društvima u javnom </w:t>
            </w:r>
          </w:p>
        </w:tc>
        <w:tc>
          <w:tcPr>
            <w:tcW w:w="1060" w:type="dxa"/>
            <w:tcBorders>
              <w:top w:val="nil"/>
              <w:left w:val="nil"/>
              <w:bottom w:val="single" w:sz="4" w:space="0" w:color="auto"/>
              <w:right w:val="single" w:sz="4" w:space="0" w:color="auto"/>
            </w:tcBorders>
            <w:noWrap/>
            <w:vAlign w:val="center"/>
            <w:hideMark/>
          </w:tcPr>
          <w:p w14:paraId="3812EC2B" w14:textId="77777777" w:rsidR="00416D67" w:rsidRPr="00416D67" w:rsidRDefault="00416D67" w:rsidP="00416D67">
            <w:pPr>
              <w:jc w:val="right"/>
              <w:rPr>
                <w:color w:val="000000"/>
                <w:sz w:val="16"/>
                <w:szCs w:val="16"/>
              </w:rPr>
            </w:pPr>
            <w:r w:rsidRPr="00416D67">
              <w:rPr>
                <w:color w:val="000000"/>
                <w:sz w:val="16"/>
                <w:szCs w:val="16"/>
              </w:rPr>
              <w:t>2.184,37</w:t>
            </w:r>
          </w:p>
        </w:tc>
        <w:tc>
          <w:tcPr>
            <w:tcW w:w="960" w:type="dxa"/>
            <w:tcBorders>
              <w:top w:val="nil"/>
              <w:left w:val="nil"/>
              <w:bottom w:val="single" w:sz="4" w:space="0" w:color="auto"/>
              <w:right w:val="single" w:sz="4" w:space="0" w:color="auto"/>
            </w:tcBorders>
            <w:noWrap/>
            <w:vAlign w:val="center"/>
            <w:hideMark/>
          </w:tcPr>
          <w:p w14:paraId="48FB0549"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6106AF4A" w14:textId="77777777" w:rsidR="00416D67" w:rsidRPr="00416D67" w:rsidRDefault="00416D67" w:rsidP="00416D67">
            <w:pPr>
              <w:jc w:val="right"/>
              <w:rPr>
                <w:color w:val="000000"/>
                <w:sz w:val="16"/>
                <w:szCs w:val="16"/>
              </w:rPr>
            </w:pPr>
            <w:r w:rsidRPr="00416D67">
              <w:rPr>
                <w:color w:val="000000"/>
                <w:sz w:val="16"/>
                <w:szCs w:val="16"/>
              </w:rPr>
              <w:t>2.184,37</w:t>
            </w:r>
          </w:p>
        </w:tc>
      </w:tr>
      <w:tr w:rsidR="00416D67" w:rsidRPr="00416D67" w14:paraId="41B5FD80"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2F857B07" w14:textId="77777777" w:rsidR="00416D67" w:rsidRPr="00416D67" w:rsidRDefault="00416D67" w:rsidP="00416D67">
            <w:pPr>
              <w:rPr>
                <w:b/>
                <w:bCs/>
                <w:color w:val="000000"/>
                <w:sz w:val="16"/>
                <w:szCs w:val="16"/>
              </w:rPr>
            </w:pPr>
            <w:r w:rsidRPr="00416D67">
              <w:rPr>
                <w:b/>
                <w:bCs/>
                <w:color w:val="000000"/>
                <w:sz w:val="16"/>
                <w:szCs w:val="16"/>
              </w:rPr>
              <w:t>235</w:t>
            </w:r>
          </w:p>
        </w:tc>
        <w:tc>
          <w:tcPr>
            <w:tcW w:w="4956" w:type="dxa"/>
            <w:tcBorders>
              <w:top w:val="nil"/>
              <w:left w:val="nil"/>
              <w:bottom w:val="single" w:sz="4" w:space="0" w:color="auto"/>
              <w:right w:val="single" w:sz="4" w:space="0" w:color="auto"/>
            </w:tcBorders>
            <w:vAlign w:val="center"/>
            <w:hideMark/>
          </w:tcPr>
          <w:p w14:paraId="2ECD7A56" w14:textId="77777777" w:rsidR="00416D67" w:rsidRPr="00416D67" w:rsidRDefault="00416D67" w:rsidP="00416D67">
            <w:pPr>
              <w:rPr>
                <w:b/>
                <w:bCs/>
                <w:color w:val="000000"/>
                <w:sz w:val="16"/>
                <w:szCs w:val="16"/>
              </w:rPr>
            </w:pPr>
            <w:r w:rsidRPr="00416D67">
              <w:rPr>
                <w:b/>
                <w:bCs/>
                <w:color w:val="000000"/>
                <w:sz w:val="16"/>
                <w:szCs w:val="16"/>
              </w:rPr>
              <w:t>Obveze za subvencije</w:t>
            </w:r>
          </w:p>
        </w:tc>
        <w:tc>
          <w:tcPr>
            <w:tcW w:w="1060" w:type="dxa"/>
            <w:tcBorders>
              <w:top w:val="nil"/>
              <w:left w:val="nil"/>
              <w:bottom w:val="single" w:sz="4" w:space="0" w:color="auto"/>
              <w:right w:val="single" w:sz="4" w:space="0" w:color="auto"/>
            </w:tcBorders>
            <w:noWrap/>
            <w:vAlign w:val="center"/>
            <w:hideMark/>
          </w:tcPr>
          <w:p w14:paraId="1BDAF0F6" w14:textId="77777777" w:rsidR="00416D67" w:rsidRPr="00416D67" w:rsidRDefault="00416D67" w:rsidP="00416D67">
            <w:pPr>
              <w:jc w:val="right"/>
              <w:rPr>
                <w:b/>
                <w:bCs/>
                <w:color w:val="000000"/>
                <w:sz w:val="16"/>
                <w:szCs w:val="16"/>
              </w:rPr>
            </w:pPr>
            <w:r w:rsidRPr="00416D67">
              <w:rPr>
                <w:b/>
                <w:bCs/>
                <w:color w:val="000000"/>
                <w:sz w:val="16"/>
                <w:szCs w:val="16"/>
              </w:rPr>
              <w:t>2.184,37</w:t>
            </w:r>
          </w:p>
        </w:tc>
        <w:tc>
          <w:tcPr>
            <w:tcW w:w="960" w:type="dxa"/>
            <w:tcBorders>
              <w:top w:val="nil"/>
              <w:left w:val="nil"/>
              <w:bottom w:val="single" w:sz="4" w:space="0" w:color="auto"/>
              <w:right w:val="single" w:sz="4" w:space="0" w:color="auto"/>
            </w:tcBorders>
            <w:noWrap/>
            <w:vAlign w:val="center"/>
            <w:hideMark/>
          </w:tcPr>
          <w:p w14:paraId="395ADE4A" w14:textId="77777777" w:rsidR="00416D67" w:rsidRPr="00416D67" w:rsidRDefault="00416D67" w:rsidP="00416D67">
            <w:pPr>
              <w:jc w:val="right"/>
              <w:rPr>
                <w:b/>
                <w:bCs/>
                <w:color w:val="000000"/>
                <w:sz w:val="16"/>
                <w:szCs w:val="16"/>
              </w:rPr>
            </w:pPr>
            <w:r w:rsidRPr="00416D67">
              <w:rPr>
                <w:b/>
                <w:bCs/>
                <w:color w:val="000000"/>
                <w:sz w:val="16"/>
                <w:szCs w:val="16"/>
              </w:rPr>
              <w:t>0</w:t>
            </w:r>
          </w:p>
        </w:tc>
        <w:tc>
          <w:tcPr>
            <w:tcW w:w="1180" w:type="dxa"/>
            <w:tcBorders>
              <w:top w:val="nil"/>
              <w:left w:val="nil"/>
              <w:bottom w:val="single" w:sz="4" w:space="0" w:color="auto"/>
              <w:right w:val="single" w:sz="4" w:space="0" w:color="auto"/>
            </w:tcBorders>
            <w:noWrap/>
            <w:vAlign w:val="center"/>
            <w:hideMark/>
          </w:tcPr>
          <w:p w14:paraId="6E0E9D50" w14:textId="77777777" w:rsidR="00416D67" w:rsidRPr="00416D67" w:rsidRDefault="00416D67" w:rsidP="00416D67">
            <w:pPr>
              <w:jc w:val="right"/>
              <w:rPr>
                <w:b/>
                <w:bCs/>
                <w:color w:val="000000"/>
                <w:sz w:val="16"/>
                <w:szCs w:val="16"/>
              </w:rPr>
            </w:pPr>
            <w:r w:rsidRPr="00416D67">
              <w:rPr>
                <w:b/>
                <w:bCs/>
                <w:color w:val="000000"/>
                <w:sz w:val="16"/>
                <w:szCs w:val="16"/>
              </w:rPr>
              <w:t>2.184,37</w:t>
            </w:r>
          </w:p>
        </w:tc>
      </w:tr>
      <w:tr w:rsidR="00416D67" w:rsidRPr="00416D67" w14:paraId="3234A2ED" w14:textId="77777777" w:rsidTr="00BB1392">
        <w:trPr>
          <w:trHeight w:val="450"/>
        </w:trPr>
        <w:tc>
          <w:tcPr>
            <w:tcW w:w="1135" w:type="dxa"/>
            <w:tcBorders>
              <w:top w:val="nil"/>
              <w:left w:val="single" w:sz="4" w:space="0" w:color="auto"/>
              <w:bottom w:val="single" w:sz="4" w:space="0" w:color="auto"/>
              <w:right w:val="single" w:sz="4" w:space="0" w:color="auto"/>
            </w:tcBorders>
            <w:noWrap/>
            <w:vAlign w:val="center"/>
            <w:hideMark/>
          </w:tcPr>
          <w:p w14:paraId="7DCADFA7" w14:textId="77777777" w:rsidR="00416D67" w:rsidRPr="00416D67" w:rsidRDefault="00416D67" w:rsidP="00416D67">
            <w:pPr>
              <w:rPr>
                <w:color w:val="000000"/>
                <w:sz w:val="16"/>
                <w:szCs w:val="16"/>
              </w:rPr>
            </w:pPr>
            <w:r w:rsidRPr="00416D67">
              <w:rPr>
                <w:color w:val="000000"/>
                <w:sz w:val="16"/>
                <w:szCs w:val="16"/>
              </w:rPr>
              <w:t>2363</w:t>
            </w:r>
          </w:p>
        </w:tc>
        <w:tc>
          <w:tcPr>
            <w:tcW w:w="4956" w:type="dxa"/>
            <w:tcBorders>
              <w:top w:val="nil"/>
              <w:left w:val="nil"/>
              <w:bottom w:val="single" w:sz="4" w:space="0" w:color="auto"/>
              <w:right w:val="single" w:sz="4" w:space="0" w:color="auto"/>
            </w:tcBorders>
            <w:vAlign w:val="center"/>
            <w:hideMark/>
          </w:tcPr>
          <w:p w14:paraId="6AF306CC" w14:textId="77777777" w:rsidR="00416D67" w:rsidRPr="00416D67" w:rsidRDefault="00416D67" w:rsidP="00416D67">
            <w:pPr>
              <w:rPr>
                <w:color w:val="000000"/>
                <w:sz w:val="16"/>
                <w:szCs w:val="16"/>
              </w:rPr>
            </w:pPr>
            <w:r w:rsidRPr="00416D67">
              <w:rPr>
                <w:color w:val="000000"/>
                <w:sz w:val="16"/>
                <w:szCs w:val="16"/>
              </w:rPr>
              <w:t>Obveze za pomoći drugom proračunu i izvanproračunskim korisnicima</w:t>
            </w:r>
          </w:p>
        </w:tc>
        <w:tc>
          <w:tcPr>
            <w:tcW w:w="1060" w:type="dxa"/>
            <w:tcBorders>
              <w:top w:val="nil"/>
              <w:left w:val="nil"/>
              <w:bottom w:val="single" w:sz="4" w:space="0" w:color="auto"/>
              <w:right w:val="single" w:sz="4" w:space="0" w:color="auto"/>
            </w:tcBorders>
            <w:noWrap/>
            <w:vAlign w:val="center"/>
            <w:hideMark/>
          </w:tcPr>
          <w:p w14:paraId="0858A724" w14:textId="77777777" w:rsidR="00416D67" w:rsidRPr="00416D67" w:rsidRDefault="00416D67" w:rsidP="00416D67">
            <w:pPr>
              <w:jc w:val="right"/>
              <w:rPr>
                <w:color w:val="000000"/>
                <w:sz w:val="16"/>
                <w:szCs w:val="16"/>
              </w:rPr>
            </w:pPr>
            <w:r w:rsidRPr="00416D67">
              <w:rPr>
                <w:color w:val="000000"/>
                <w:sz w:val="16"/>
                <w:szCs w:val="16"/>
              </w:rPr>
              <w:t>843</w:t>
            </w:r>
          </w:p>
        </w:tc>
        <w:tc>
          <w:tcPr>
            <w:tcW w:w="960" w:type="dxa"/>
            <w:tcBorders>
              <w:top w:val="nil"/>
              <w:left w:val="nil"/>
              <w:bottom w:val="single" w:sz="4" w:space="0" w:color="auto"/>
              <w:right w:val="single" w:sz="4" w:space="0" w:color="auto"/>
            </w:tcBorders>
            <w:noWrap/>
            <w:vAlign w:val="center"/>
            <w:hideMark/>
          </w:tcPr>
          <w:p w14:paraId="4C10BA43"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38C6804C" w14:textId="77777777" w:rsidR="00416D67" w:rsidRPr="00416D67" w:rsidRDefault="00416D67" w:rsidP="00416D67">
            <w:pPr>
              <w:jc w:val="right"/>
              <w:rPr>
                <w:color w:val="000000"/>
                <w:sz w:val="16"/>
                <w:szCs w:val="16"/>
              </w:rPr>
            </w:pPr>
            <w:r w:rsidRPr="00416D67">
              <w:rPr>
                <w:color w:val="000000"/>
                <w:sz w:val="16"/>
                <w:szCs w:val="16"/>
              </w:rPr>
              <w:t>843</w:t>
            </w:r>
          </w:p>
        </w:tc>
      </w:tr>
      <w:tr w:rsidR="00416D67" w:rsidRPr="00416D67" w14:paraId="4AF721AB"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285B243B" w14:textId="77777777" w:rsidR="00416D67" w:rsidRPr="00416D67" w:rsidRDefault="00416D67" w:rsidP="00416D67">
            <w:pPr>
              <w:rPr>
                <w:color w:val="000000"/>
                <w:sz w:val="16"/>
                <w:szCs w:val="16"/>
              </w:rPr>
            </w:pPr>
            <w:r w:rsidRPr="00416D67">
              <w:rPr>
                <w:color w:val="000000"/>
                <w:sz w:val="16"/>
                <w:szCs w:val="16"/>
              </w:rPr>
              <w:t>2364</w:t>
            </w:r>
          </w:p>
        </w:tc>
        <w:tc>
          <w:tcPr>
            <w:tcW w:w="4956" w:type="dxa"/>
            <w:tcBorders>
              <w:top w:val="nil"/>
              <w:left w:val="nil"/>
              <w:bottom w:val="single" w:sz="4" w:space="0" w:color="auto"/>
              <w:right w:val="single" w:sz="4" w:space="0" w:color="auto"/>
            </w:tcBorders>
            <w:vAlign w:val="center"/>
            <w:hideMark/>
          </w:tcPr>
          <w:p w14:paraId="4B89C5DF" w14:textId="77777777" w:rsidR="00416D67" w:rsidRPr="00416D67" w:rsidRDefault="00416D67" w:rsidP="00416D67">
            <w:pPr>
              <w:rPr>
                <w:color w:val="000000"/>
                <w:sz w:val="16"/>
                <w:szCs w:val="16"/>
              </w:rPr>
            </w:pPr>
            <w:r w:rsidRPr="00416D67">
              <w:rPr>
                <w:color w:val="000000"/>
                <w:sz w:val="16"/>
                <w:szCs w:val="16"/>
              </w:rPr>
              <w:t>Obveze za pomoći proračunskim korisnicima drugih proračuna</w:t>
            </w:r>
          </w:p>
        </w:tc>
        <w:tc>
          <w:tcPr>
            <w:tcW w:w="1060" w:type="dxa"/>
            <w:tcBorders>
              <w:top w:val="nil"/>
              <w:left w:val="nil"/>
              <w:bottom w:val="single" w:sz="4" w:space="0" w:color="auto"/>
              <w:right w:val="single" w:sz="4" w:space="0" w:color="auto"/>
            </w:tcBorders>
            <w:noWrap/>
            <w:vAlign w:val="center"/>
            <w:hideMark/>
          </w:tcPr>
          <w:p w14:paraId="7F78DF10" w14:textId="77777777" w:rsidR="00416D67" w:rsidRPr="00416D67" w:rsidRDefault="00416D67" w:rsidP="00416D67">
            <w:pPr>
              <w:jc w:val="right"/>
              <w:rPr>
                <w:color w:val="000000"/>
                <w:sz w:val="16"/>
                <w:szCs w:val="16"/>
              </w:rPr>
            </w:pPr>
            <w:r w:rsidRPr="00416D67">
              <w:rPr>
                <w:color w:val="000000"/>
                <w:sz w:val="16"/>
                <w:szCs w:val="16"/>
              </w:rPr>
              <w:t>21.040,79</w:t>
            </w:r>
          </w:p>
        </w:tc>
        <w:tc>
          <w:tcPr>
            <w:tcW w:w="960" w:type="dxa"/>
            <w:tcBorders>
              <w:top w:val="nil"/>
              <w:left w:val="nil"/>
              <w:bottom w:val="single" w:sz="4" w:space="0" w:color="auto"/>
              <w:right w:val="single" w:sz="4" w:space="0" w:color="auto"/>
            </w:tcBorders>
            <w:noWrap/>
            <w:vAlign w:val="center"/>
            <w:hideMark/>
          </w:tcPr>
          <w:p w14:paraId="5B126DF5" w14:textId="77777777" w:rsidR="00416D67" w:rsidRPr="00416D67" w:rsidRDefault="00416D67" w:rsidP="00416D67">
            <w:pPr>
              <w:jc w:val="right"/>
              <w:rPr>
                <w:color w:val="000000"/>
                <w:sz w:val="16"/>
                <w:szCs w:val="16"/>
              </w:rPr>
            </w:pPr>
            <w:r w:rsidRPr="00416D67">
              <w:rPr>
                <w:color w:val="000000"/>
                <w:sz w:val="16"/>
                <w:szCs w:val="16"/>
              </w:rPr>
              <w:t>1.309,06</w:t>
            </w:r>
          </w:p>
        </w:tc>
        <w:tc>
          <w:tcPr>
            <w:tcW w:w="1180" w:type="dxa"/>
            <w:tcBorders>
              <w:top w:val="nil"/>
              <w:left w:val="nil"/>
              <w:bottom w:val="single" w:sz="4" w:space="0" w:color="auto"/>
              <w:right w:val="single" w:sz="4" w:space="0" w:color="auto"/>
            </w:tcBorders>
            <w:noWrap/>
            <w:vAlign w:val="center"/>
            <w:hideMark/>
          </w:tcPr>
          <w:p w14:paraId="6D1147A9" w14:textId="77777777" w:rsidR="00416D67" w:rsidRPr="00416D67" w:rsidRDefault="00416D67" w:rsidP="00416D67">
            <w:pPr>
              <w:jc w:val="right"/>
              <w:rPr>
                <w:color w:val="000000"/>
                <w:sz w:val="16"/>
                <w:szCs w:val="16"/>
              </w:rPr>
            </w:pPr>
            <w:r w:rsidRPr="00416D67">
              <w:rPr>
                <w:color w:val="000000"/>
                <w:sz w:val="16"/>
                <w:szCs w:val="16"/>
              </w:rPr>
              <w:t>19.731,73</w:t>
            </w:r>
          </w:p>
        </w:tc>
      </w:tr>
      <w:tr w:rsidR="00416D67" w:rsidRPr="00416D67" w14:paraId="4EA11B85" w14:textId="77777777" w:rsidTr="00BB1392">
        <w:trPr>
          <w:trHeight w:val="420"/>
        </w:trPr>
        <w:tc>
          <w:tcPr>
            <w:tcW w:w="1135" w:type="dxa"/>
            <w:tcBorders>
              <w:top w:val="nil"/>
              <w:left w:val="single" w:sz="4" w:space="0" w:color="auto"/>
              <w:bottom w:val="single" w:sz="4" w:space="0" w:color="auto"/>
              <w:right w:val="single" w:sz="4" w:space="0" w:color="auto"/>
            </w:tcBorders>
            <w:noWrap/>
            <w:vAlign w:val="center"/>
            <w:hideMark/>
          </w:tcPr>
          <w:p w14:paraId="05D37FF5" w14:textId="77777777" w:rsidR="00416D67" w:rsidRPr="00416D67" w:rsidRDefault="00416D67" w:rsidP="00416D67">
            <w:pPr>
              <w:rPr>
                <w:b/>
                <w:bCs/>
                <w:color w:val="000000"/>
                <w:sz w:val="16"/>
                <w:szCs w:val="16"/>
              </w:rPr>
            </w:pPr>
            <w:r w:rsidRPr="00416D67">
              <w:rPr>
                <w:b/>
                <w:bCs/>
                <w:color w:val="000000"/>
                <w:sz w:val="16"/>
                <w:szCs w:val="16"/>
              </w:rPr>
              <w:t>236</w:t>
            </w:r>
          </w:p>
        </w:tc>
        <w:tc>
          <w:tcPr>
            <w:tcW w:w="4956" w:type="dxa"/>
            <w:tcBorders>
              <w:top w:val="nil"/>
              <w:left w:val="nil"/>
              <w:bottom w:val="single" w:sz="4" w:space="0" w:color="auto"/>
              <w:right w:val="single" w:sz="4" w:space="0" w:color="auto"/>
            </w:tcBorders>
            <w:vAlign w:val="center"/>
            <w:hideMark/>
          </w:tcPr>
          <w:p w14:paraId="1DE07D86" w14:textId="77777777" w:rsidR="00416D67" w:rsidRPr="00416D67" w:rsidRDefault="00416D67" w:rsidP="00416D67">
            <w:pPr>
              <w:rPr>
                <w:b/>
                <w:bCs/>
                <w:color w:val="000000"/>
                <w:sz w:val="16"/>
                <w:szCs w:val="16"/>
              </w:rPr>
            </w:pPr>
            <w:r w:rsidRPr="00416D67">
              <w:rPr>
                <w:b/>
                <w:bCs/>
                <w:color w:val="000000"/>
                <w:sz w:val="16"/>
                <w:szCs w:val="16"/>
              </w:rPr>
              <w:t>Obveze za pomoći dane u inozemstvo i unutar općeg proračuna</w:t>
            </w:r>
          </w:p>
        </w:tc>
        <w:tc>
          <w:tcPr>
            <w:tcW w:w="1060" w:type="dxa"/>
            <w:tcBorders>
              <w:top w:val="nil"/>
              <w:left w:val="nil"/>
              <w:bottom w:val="single" w:sz="4" w:space="0" w:color="auto"/>
              <w:right w:val="single" w:sz="4" w:space="0" w:color="auto"/>
            </w:tcBorders>
            <w:noWrap/>
            <w:vAlign w:val="center"/>
            <w:hideMark/>
          </w:tcPr>
          <w:p w14:paraId="483C34E7" w14:textId="77777777" w:rsidR="00416D67" w:rsidRPr="00416D67" w:rsidRDefault="00416D67" w:rsidP="00416D67">
            <w:pPr>
              <w:jc w:val="right"/>
              <w:rPr>
                <w:b/>
                <w:bCs/>
                <w:color w:val="000000"/>
                <w:sz w:val="16"/>
                <w:szCs w:val="16"/>
              </w:rPr>
            </w:pPr>
            <w:r w:rsidRPr="00416D67">
              <w:rPr>
                <w:b/>
                <w:bCs/>
                <w:color w:val="000000"/>
                <w:sz w:val="16"/>
                <w:szCs w:val="16"/>
              </w:rPr>
              <w:t>21.883,79</w:t>
            </w:r>
          </w:p>
        </w:tc>
        <w:tc>
          <w:tcPr>
            <w:tcW w:w="960" w:type="dxa"/>
            <w:tcBorders>
              <w:top w:val="nil"/>
              <w:left w:val="nil"/>
              <w:bottom w:val="single" w:sz="4" w:space="0" w:color="auto"/>
              <w:right w:val="single" w:sz="4" w:space="0" w:color="auto"/>
            </w:tcBorders>
            <w:noWrap/>
            <w:vAlign w:val="center"/>
            <w:hideMark/>
          </w:tcPr>
          <w:p w14:paraId="48C656BD" w14:textId="77777777" w:rsidR="00416D67" w:rsidRPr="00416D67" w:rsidRDefault="00416D67" w:rsidP="00416D67">
            <w:pPr>
              <w:jc w:val="right"/>
              <w:rPr>
                <w:b/>
                <w:bCs/>
                <w:color w:val="000000"/>
                <w:sz w:val="16"/>
                <w:szCs w:val="16"/>
              </w:rPr>
            </w:pPr>
            <w:r w:rsidRPr="00416D67">
              <w:rPr>
                <w:b/>
                <w:bCs/>
                <w:color w:val="000000"/>
                <w:sz w:val="16"/>
                <w:szCs w:val="16"/>
              </w:rPr>
              <w:t>1.309,06</w:t>
            </w:r>
          </w:p>
        </w:tc>
        <w:tc>
          <w:tcPr>
            <w:tcW w:w="1180" w:type="dxa"/>
            <w:tcBorders>
              <w:top w:val="nil"/>
              <w:left w:val="nil"/>
              <w:bottom w:val="single" w:sz="4" w:space="0" w:color="auto"/>
              <w:right w:val="single" w:sz="4" w:space="0" w:color="auto"/>
            </w:tcBorders>
            <w:noWrap/>
            <w:vAlign w:val="center"/>
            <w:hideMark/>
          </w:tcPr>
          <w:p w14:paraId="7BFA5BCF" w14:textId="77777777" w:rsidR="00416D67" w:rsidRPr="00416D67" w:rsidRDefault="00416D67" w:rsidP="00416D67">
            <w:pPr>
              <w:jc w:val="right"/>
              <w:rPr>
                <w:b/>
                <w:bCs/>
                <w:color w:val="000000"/>
                <w:sz w:val="16"/>
                <w:szCs w:val="16"/>
              </w:rPr>
            </w:pPr>
            <w:r w:rsidRPr="00416D67">
              <w:rPr>
                <w:b/>
                <w:bCs/>
                <w:color w:val="000000"/>
                <w:sz w:val="16"/>
                <w:szCs w:val="16"/>
              </w:rPr>
              <w:t>20.574,73</w:t>
            </w:r>
          </w:p>
        </w:tc>
      </w:tr>
      <w:tr w:rsidR="00416D67" w:rsidRPr="00416D67" w14:paraId="25248ACB"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15A998F5" w14:textId="77777777" w:rsidR="00416D67" w:rsidRPr="00416D67" w:rsidRDefault="00416D67" w:rsidP="00416D67">
            <w:pPr>
              <w:rPr>
                <w:color w:val="000000"/>
                <w:sz w:val="16"/>
                <w:szCs w:val="16"/>
              </w:rPr>
            </w:pPr>
            <w:r w:rsidRPr="00416D67">
              <w:rPr>
                <w:color w:val="000000"/>
                <w:sz w:val="16"/>
                <w:szCs w:val="16"/>
              </w:rPr>
              <w:t>2372</w:t>
            </w:r>
          </w:p>
        </w:tc>
        <w:tc>
          <w:tcPr>
            <w:tcW w:w="4956" w:type="dxa"/>
            <w:tcBorders>
              <w:top w:val="nil"/>
              <w:left w:val="nil"/>
              <w:bottom w:val="single" w:sz="4" w:space="0" w:color="auto"/>
              <w:right w:val="single" w:sz="4" w:space="0" w:color="auto"/>
            </w:tcBorders>
            <w:vAlign w:val="center"/>
            <w:hideMark/>
          </w:tcPr>
          <w:p w14:paraId="265DA81A" w14:textId="77777777" w:rsidR="00416D67" w:rsidRPr="00416D67" w:rsidRDefault="00416D67" w:rsidP="00416D67">
            <w:pPr>
              <w:rPr>
                <w:color w:val="000000"/>
                <w:sz w:val="16"/>
                <w:szCs w:val="16"/>
              </w:rPr>
            </w:pPr>
            <w:r w:rsidRPr="00416D67">
              <w:rPr>
                <w:color w:val="000000"/>
                <w:sz w:val="16"/>
                <w:szCs w:val="16"/>
              </w:rPr>
              <w:t>Obveze za ostale naknade građanima i kućanstvima iz proračuna</w:t>
            </w:r>
          </w:p>
        </w:tc>
        <w:tc>
          <w:tcPr>
            <w:tcW w:w="1060" w:type="dxa"/>
            <w:tcBorders>
              <w:top w:val="nil"/>
              <w:left w:val="nil"/>
              <w:bottom w:val="single" w:sz="4" w:space="0" w:color="auto"/>
              <w:right w:val="single" w:sz="4" w:space="0" w:color="auto"/>
            </w:tcBorders>
            <w:noWrap/>
            <w:vAlign w:val="center"/>
            <w:hideMark/>
          </w:tcPr>
          <w:p w14:paraId="7206B0A7" w14:textId="77777777" w:rsidR="00416D67" w:rsidRPr="00416D67" w:rsidRDefault="00416D67" w:rsidP="00416D67">
            <w:pPr>
              <w:jc w:val="right"/>
              <w:rPr>
                <w:color w:val="000000"/>
                <w:sz w:val="16"/>
                <w:szCs w:val="16"/>
              </w:rPr>
            </w:pPr>
            <w:r w:rsidRPr="00416D67">
              <w:rPr>
                <w:color w:val="000000"/>
                <w:sz w:val="16"/>
                <w:szCs w:val="16"/>
              </w:rPr>
              <w:t>7.700,62</w:t>
            </w:r>
          </w:p>
        </w:tc>
        <w:tc>
          <w:tcPr>
            <w:tcW w:w="960" w:type="dxa"/>
            <w:tcBorders>
              <w:top w:val="nil"/>
              <w:left w:val="nil"/>
              <w:bottom w:val="single" w:sz="4" w:space="0" w:color="auto"/>
              <w:right w:val="single" w:sz="4" w:space="0" w:color="auto"/>
            </w:tcBorders>
            <w:noWrap/>
            <w:vAlign w:val="center"/>
            <w:hideMark/>
          </w:tcPr>
          <w:p w14:paraId="05B3F440" w14:textId="77777777" w:rsidR="00416D67" w:rsidRPr="00416D67" w:rsidRDefault="00416D67" w:rsidP="00416D67">
            <w:pPr>
              <w:jc w:val="right"/>
              <w:rPr>
                <w:color w:val="000000"/>
                <w:sz w:val="16"/>
                <w:szCs w:val="16"/>
              </w:rPr>
            </w:pPr>
            <w:r w:rsidRPr="00416D67">
              <w:rPr>
                <w:color w:val="000000"/>
                <w:sz w:val="16"/>
                <w:szCs w:val="16"/>
              </w:rPr>
              <w:t>132</w:t>
            </w:r>
          </w:p>
        </w:tc>
        <w:tc>
          <w:tcPr>
            <w:tcW w:w="1180" w:type="dxa"/>
            <w:tcBorders>
              <w:top w:val="nil"/>
              <w:left w:val="nil"/>
              <w:bottom w:val="single" w:sz="4" w:space="0" w:color="auto"/>
              <w:right w:val="single" w:sz="4" w:space="0" w:color="auto"/>
            </w:tcBorders>
            <w:noWrap/>
            <w:vAlign w:val="center"/>
            <w:hideMark/>
          </w:tcPr>
          <w:p w14:paraId="63ADFF35" w14:textId="77777777" w:rsidR="00416D67" w:rsidRPr="00416D67" w:rsidRDefault="00416D67" w:rsidP="00416D67">
            <w:pPr>
              <w:jc w:val="right"/>
              <w:rPr>
                <w:color w:val="000000"/>
                <w:sz w:val="16"/>
                <w:szCs w:val="16"/>
              </w:rPr>
            </w:pPr>
            <w:r w:rsidRPr="00416D67">
              <w:rPr>
                <w:color w:val="000000"/>
                <w:sz w:val="16"/>
                <w:szCs w:val="16"/>
              </w:rPr>
              <w:t>7.568,62</w:t>
            </w:r>
          </w:p>
        </w:tc>
      </w:tr>
      <w:tr w:rsidR="00416D67" w:rsidRPr="00416D67" w14:paraId="4A9F2DA3"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05ED4EDD" w14:textId="77777777" w:rsidR="00416D67" w:rsidRPr="00416D67" w:rsidRDefault="00416D67" w:rsidP="00416D67">
            <w:pPr>
              <w:rPr>
                <w:b/>
                <w:bCs/>
                <w:color w:val="000000"/>
                <w:sz w:val="16"/>
                <w:szCs w:val="16"/>
              </w:rPr>
            </w:pPr>
            <w:r w:rsidRPr="00416D67">
              <w:rPr>
                <w:b/>
                <w:bCs/>
                <w:color w:val="000000"/>
                <w:sz w:val="16"/>
                <w:szCs w:val="16"/>
              </w:rPr>
              <w:lastRenderedPageBreak/>
              <w:t>237</w:t>
            </w:r>
          </w:p>
        </w:tc>
        <w:tc>
          <w:tcPr>
            <w:tcW w:w="4956" w:type="dxa"/>
            <w:tcBorders>
              <w:top w:val="nil"/>
              <w:left w:val="nil"/>
              <w:bottom w:val="single" w:sz="4" w:space="0" w:color="auto"/>
              <w:right w:val="single" w:sz="4" w:space="0" w:color="auto"/>
            </w:tcBorders>
            <w:vAlign w:val="center"/>
            <w:hideMark/>
          </w:tcPr>
          <w:p w14:paraId="7BF721D7" w14:textId="77777777" w:rsidR="00416D67" w:rsidRPr="00416D67" w:rsidRDefault="00416D67" w:rsidP="00416D67">
            <w:pPr>
              <w:rPr>
                <w:b/>
                <w:bCs/>
                <w:color w:val="000000"/>
                <w:sz w:val="16"/>
                <w:szCs w:val="16"/>
              </w:rPr>
            </w:pPr>
            <w:r w:rsidRPr="00416D67">
              <w:rPr>
                <w:b/>
                <w:bCs/>
                <w:color w:val="000000"/>
                <w:sz w:val="16"/>
                <w:szCs w:val="16"/>
              </w:rPr>
              <w:t>Obveze za naknade građanima i kućanstvima</w:t>
            </w:r>
          </w:p>
        </w:tc>
        <w:tc>
          <w:tcPr>
            <w:tcW w:w="1060" w:type="dxa"/>
            <w:tcBorders>
              <w:top w:val="nil"/>
              <w:left w:val="nil"/>
              <w:bottom w:val="single" w:sz="4" w:space="0" w:color="auto"/>
              <w:right w:val="single" w:sz="4" w:space="0" w:color="auto"/>
            </w:tcBorders>
            <w:noWrap/>
            <w:vAlign w:val="center"/>
            <w:hideMark/>
          </w:tcPr>
          <w:p w14:paraId="52DA1FBA" w14:textId="77777777" w:rsidR="00416D67" w:rsidRPr="00416D67" w:rsidRDefault="00416D67" w:rsidP="00416D67">
            <w:pPr>
              <w:jc w:val="right"/>
              <w:rPr>
                <w:b/>
                <w:bCs/>
                <w:color w:val="000000"/>
                <w:sz w:val="16"/>
                <w:szCs w:val="16"/>
              </w:rPr>
            </w:pPr>
            <w:r w:rsidRPr="00416D67">
              <w:rPr>
                <w:b/>
                <w:bCs/>
                <w:color w:val="000000"/>
                <w:sz w:val="16"/>
                <w:szCs w:val="16"/>
              </w:rPr>
              <w:t>7.700,62</w:t>
            </w:r>
          </w:p>
        </w:tc>
        <w:tc>
          <w:tcPr>
            <w:tcW w:w="960" w:type="dxa"/>
            <w:tcBorders>
              <w:top w:val="nil"/>
              <w:left w:val="nil"/>
              <w:bottom w:val="single" w:sz="4" w:space="0" w:color="auto"/>
              <w:right w:val="single" w:sz="4" w:space="0" w:color="auto"/>
            </w:tcBorders>
            <w:noWrap/>
            <w:vAlign w:val="center"/>
            <w:hideMark/>
          </w:tcPr>
          <w:p w14:paraId="15000EB2" w14:textId="77777777" w:rsidR="00416D67" w:rsidRPr="00416D67" w:rsidRDefault="00416D67" w:rsidP="00416D67">
            <w:pPr>
              <w:jc w:val="right"/>
              <w:rPr>
                <w:b/>
                <w:bCs/>
                <w:color w:val="000000"/>
                <w:sz w:val="16"/>
                <w:szCs w:val="16"/>
              </w:rPr>
            </w:pPr>
            <w:r w:rsidRPr="00416D67">
              <w:rPr>
                <w:b/>
                <w:bCs/>
                <w:color w:val="000000"/>
                <w:sz w:val="16"/>
                <w:szCs w:val="16"/>
              </w:rPr>
              <w:t>132</w:t>
            </w:r>
          </w:p>
        </w:tc>
        <w:tc>
          <w:tcPr>
            <w:tcW w:w="1180" w:type="dxa"/>
            <w:tcBorders>
              <w:top w:val="nil"/>
              <w:left w:val="nil"/>
              <w:bottom w:val="single" w:sz="4" w:space="0" w:color="auto"/>
              <w:right w:val="single" w:sz="4" w:space="0" w:color="auto"/>
            </w:tcBorders>
            <w:noWrap/>
            <w:vAlign w:val="center"/>
            <w:hideMark/>
          </w:tcPr>
          <w:p w14:paraId="3E407A43" w14:textId="77777777" w:rsidR="00416D67" w:rsidRPr="00416D67" w:rsidRDefault="00416D67" w:rsidP="00416D67">
            <w:pPr>
              <w:jc w:val="right"/>
              <w:rPr>
                <w:b/>
                <w:bCs/>
                <w:color w:val="000000"/>
                <w:sz w:val="16"/>
                <w:szCs w:val="16"/>
              </w:rPr>
            </w:pPr>
            <w:r w:rsidRPr="00416D67">
              <w:rPr>
                <w:b/>
                <w:bCs/>
                <w:color w:val="000000"/>
                <w:sz w:val="16"/>
                <w:szCs w:val="16"/>
              </w:rPr>
              <w:t>7.568,62</w:t>
            </w:r>
          </w:p>
        </w:tc>
      </w:tr>
      <w:tr w:rsidR="00416D67" w:rsidRPr="00416D67" w14:paraId="500D2121"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57A6A320" w14:textId="77777777" w:rsidR="00416D67" w:rsidRPr="00416D67" w:rsidRDefault="00416D67" w:rsidP="00416D67">
            <w:pPr>
              <w:rPr>
                <w:color w:val="000000"/>
                <w:sz w:val="16"/>
                <w:szCs w:val="16"/>
              </w:rPr>
            </w:pPr>
            <w:r w:rsidRPr="00416D67">
              <w:rPr>
                <w:color w:val="000000"/>
                <w:sz w:val="16"/>
                <w:szCs w:val="16"/>
              </w:rPr>
              <w:t>2381</w:t>
            </w:r>
          </w:p>
        </w:tc>
        <w:tc>
          <w:tcPr>
            <w:tcW w:w="4956" w:type="dxa"/>
            <w:tcBorders>
              <w:top w:val="nil"/>
              <w:left w:val="nil"/>
              <w:bottom w:val="single" w:sz="4" w:space="0" w:color="auto"/>
              <w:right w:val="single" w:sz="4" w:space="0" w:color="auto"/>
            </w:tcBorders>
            <w:vAlign w:val="center"/>
            <w:hideMark/>
          </w:tcPr>
          <w:p w14:paraId="2ECCE575" w14:textId="77777777" w:rsidR="00416D67" w:rsidRPr="00416D67" w:rsidRDefault="00416D67" w:rsidP="00416D67">
            <w:pPr>
              <w:rPr>
                <w:color w:val="000000"/>
                <w:sz w:val="16"/>
                <w:szCs w:val="16"/>
              </w:rPr>
            </w:pPr>
            <w:r w:rsidRPr="00416D67">
              <w:rPr>
                <w:color w:val="000000"/>
                <w:sz w:val="16"/>
                <w:szCs w:val="16"/>
              </w:rPr>
              <w:t>Obveze za tekuće donacije</w:t>
            </w:r>
          </w:p>
        </w:tc>
        <w:tc>
          <w:tcPr>
            <w:tcW w:w="1060" w:type="dxa"/>
            <w:tcBorders>
              <w:top w:val="nil"/>
              <w:left w:val="nil"/>
              <w:bottom w:val="single" w:sz="4" w:space="0" w:color="auto"/>
              <w:right w:val="single" w:sz="4" w:space="0" w:color="auto"/>
            </w:tcBorders>
            <w:noWrap/>
            <w:vAlign w:val="center"/>
            <w:hideMark/>
          </w:tcPr>
          <w:p w14:paraId="058B8363" w14:textId="77777777" w:rsidR="00416D67" w:rsidRPr="00416D67" w:rsidRDefault="00416D67" w:rsidP="00416D67">
            <w:pPr>
              <w:jc w:val="right"/>
              <w:rPr>
                <w:color w:val="000000"/>
                <w:sz w:val="16"/>
                <w:szCs w:val="16"/>
              </w:rPr>
            </w:pPr>
            <w:r w:rsidRPr="00416D67">
              <w:rPr>
                <w:color w:val="000000"/>
                <w:sz w:val="16"/>
                <w:szCs w:val="16"/>
              </w:rPr>
              <w:t>18.991,32</w:t>
            </w:r>
          </w:p>
        </w:tc>
        <w:tc>
          <w:tcPr>
            <w:tcW w:w="960" w:type="dxa"/>
            <w:tcBorders>
              <w:top w:val="nil"/>
              <w:left w:val="nil"/>
              <w:bottom w:val="single" w:sz="4" w:space="0" w:color="auto"/>
              <w:right w:val="single" w:sz="4" w:space="0" w:color="auto"/>
            </w:tcBorders>
            <w:noWrap/>
            <w:vAlign w:val="center"/>
            <w:hideMark/>
          </w:tcPr>
          <w:p w14:paraId="543C2430"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22451A42" w14:textId="77777777" w:rsidR="00416D67" w:rsidRPr="00416D67" w:rsidRDefault="00416D67" w:rsidP="00416D67">
            <w:pPr>
              <w:jc w:val="right"/>
              <w:rPr>
                <w:color w:val="000000"/>
                <w:sz w:val="16"/>
                <w:szCs w:val="16"/>
              </w:rPr>
            </w:pPr>
            <w:r w:rsidRPr="00416D67">
              <w:rPr>
                <w:color w:val="000000"/>
                <w:sz w:val="16"/>
                <w:szCs w:val="16"/>
              </w:rPr>
              <w:t>18.991,32</w:t>
            </w:r>
          </w:p>
        </w:tc>
      </w:tr>
      <w:tr w:rsidR="00416D67" w:rsidRPr="00416D67" w14:paraId="5BA86561" w14:textId="77777777" w:rsidTr="00BB1392">
        <w:trPr>
          <w:trHeight w:val="420"/>
        </w:trPr>
        <w:tc>
          <w:tcPr>
            <w:tcW w:w="1135" w:type="dxa"/>
            <w:tcBorders>
              <w:top w:val="nil"/>
              <w:left w:val="single" w:sz="4" w:space="0" w:color="auto"/>
              <w:bottom w:val="single" w:sz="4" w:space="0" w:color="auto"/>
              <w:right w:val="single" w:sz="4" w:space="0" w:color="auto"/>
            </w:tcBorders>
            <w:noWrap/>
            <w:vAlign w:val="center"/>
            <w:hideMark/>
          </w:tcPr>
          <w:p w14:paraId="22BCCFF3" w14:textId="77777777" w:rsidR="00416D67" w:rsidRPr="00416D67" w:rsidRDefault="00416D67" w:rsidP="00416D67">
            <w:pPr>
              <w:rPr>
                <w:b/>
                <w:bCs/>
                <w:color w:val="000000"/>
                <w:sz w:val="16"/>
                <w:szCs w:val="16"/>
              </w:rPr>
            </w:pPr>
            <w:r w:rsidRPr="00416D67">
              <w:rPr>
                <w:b/>
                <w:bCs/>
                <w:color w:val="000000"/>
                <w:sz w:val="16"/>
                <w:szCs w:val="16"/>
              </w:rPr>
              <w:t>238</w:t>
            </w:r>
          </w:p>
        </w:tc>
        <w:tc>
          <w:tcPr>
            <w:tcW w:w="4956" w:type="dxa"/>
            <w:tcBorders>
              <w:top w:val="nil"/>
              <w:left w:val="nil"/>
              <w:bottom w:val="single" w:sz="4" w:space="0" w:color="auto"/>
              <w:right w:val="single" w:sz="4" w:space="0" w:color="auto"/>
            </w:tcBorders>
            <w:vAlign w:val="center"/>
            <w:hideMark/>
          </w:tcPr>
          <w:p w14:paraId="40825267" w14:textId="77777777" w:rsidR="00416D67" w:rsidRPr="00416D67" w:rsidRDefault="00416D67" w:rsidP="00416D67">
            <w:pPr>
              <w:rPr>
                <w:b/>
                <w:bCs/>
                <w:color w:val="000000"/>
                <w:sz w:val="16"/>
                <w:szCs w:val="16"/>
              </w:rPr>
            </w:pPr>
            <w:r w:rsidRPr="00416D67">
              <w:rPr>
                <w:b/>
                <w:bCs/>
                <w:color w:val="000000"/>
                <w:sz w:val="16"/>
                <w:szCs w:val="16"/>
              </w:rPr>
              <w:t>Obveze za donacije, kazne, naknade šteta i kapitalne pomoći</w:t>
            </w:r>
          </w:p>
        </w:tc>
        <w:tc>
          <w:tcPr>
            <w:tcW w:w="1060" w:type="dxa"/>
            <w:tcBorders>
              <w:top w:val="nil"/>
              <w:left w:val="nil"/>
              <w:bottom w:val="single" w:sz="4" w:space="0" w:color="auto"/>
              <w:right w:val="single" w:sz="4" w:space="0" w:color="auto"/>
            </w:tcBorders>
            <w:noWrap/>
            <w:vAlign w:val="center"/>
            <w:hideMark/>
          </w:tcPr>
          <w:p w14:paraId="62A00AF0" w14:textId="77777777" w:rsidR="00416D67" w:rsidRPr="00416D67" w:rsidRDefault="00416D67" w:rsidP="00416D67">
            <w:pPr>
              <w:jc w:val="right"/>
              <w:rPr>
                <w:b/>
                <w:bCs/>
                <w:color w:val="000000"/>
                <w:sz w:val="16"/>
                <w:szCs w:val="16"/>
              </w:rPr>
            </w:pPr>
            <w:r w:rsidRPr="00416D67">
              <w:rPr>
                <w:b/>
                <w:bCs/>
                <w:color w:val="000000"/>
                <w:sz w:val="16"/>
                <w:szCs w:val="16"/>
              </w:rPr>
              <w:t>18.991,32</w:t>
            </w:r>
          </w:p>
        </w:tc>
        <w:tc>
          <w:tcPr>
            <w:tcW w:w="960" w:type="dxa"/>
            <w:tcBorders>
              <w:top w:val="nil"/>
              <w:left w:val="nil"/>
              <w:bottom w:val="single" w:sz="4" w:space="0" w:color="auto"/>
              <w:right w:val="single" w:sz="4" w:space="0" w:color="auto"/>
            </w:tcBorders>
            <w:noWrap/>
            <w:vAlign w:val="center"/>
            <w:hideMark/>
          </w:tcPr>
          <w:p w14:paraId="30D08B01" w14:textId="77777777" w:rsidR="00416D67" w:rsidRPr="00416D67" w:rsidRDefault="00416D67" w:rsidP="00416D67">
            <w:pPr>
              <w:jc w:val="right"/>
              <w:rPr>
                <w:b/>
                <w:bCs/>
                <w:color w:val="000000"/>
                <w:sz w:val="16"/>
                <w:szCs w:val="16"/>
              </w:rPr>
            </w:pPr>
            <w:r w:rsidRPr="00416D67">
              <w:rPr>
                <w:b/>
                <w:bCs/>
                <w:color w:val="000000"/>
                <w:sz w:val="16"/>
                <w:szCs w:val="16"/>
              </w:rPr>
              <w:t>0</w:t>
            </w:r>
          </w:p>
        </w:tc>
        <w:tc>
          <w:tcPr>
            <w:tcW w:w="1180" w:type="dxa"/>
            <w:tcBorders>
              <w:top w:val="nil"/>
              <w:left w:val="nil"/>
              <w:bottom w:val="single" w:sz="4" w:space="0" w:color="auto"/>
              <w:right w:val="single" w:sz="4" w:space="0" w:color="auto"/>
            </w:tcBorders>
            <w:noWrap/>
            <w:vAlign w:val="center"/>
            <w:hideMark/>
          </w:tcPr>
          <w:p w14:paraId="4B717BD5" w14:textId="77777777" w:rsidR="00416D67" w:rsidRPr="00416D67" w:rsidRDefault="00416D67" w:rsidP="00416D67">
            <w:pPr>
              <w:jc w:val="right"/>
              <w:rPr>
                <w:b/>
                <w:bCs/>
                <w:color w:val="000000"/>
                <w:sz w:val="16"/>
                <w:szCs w:val="16"/>
              </w:rPr>
            </w:pPr>
            <w:r w:rsidRPr="00416D67">
              <w:rPr>
                <w:b/>
                <w:bCs/>
                <w:color w:val="000000"/>
                <w:sz w:val="16"/>
                <w:szCs w:val="16"/>
              </w:rPr>
              <w:t>18.991,32</w:t>
            </w:r>
          </w:p>
        </w:tc>
      </w:tr>
      <w:tr w:rsidR="00416D67" w:rsidRPr="00416D67" w14:paraId="4CBF4322"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6646339F" w14:textId="77777777" w:rsidR="00416D67" w:rsidRPr="00416D67" w:rsidRDefault="00416D67" w:rsidP="00416D67">
            <w:pPr>
              <w:rPr>
                <w:color w:val="000000"/>
                <w:sz w:val="16"/>
                <w:szCs w:val="16"/>
              </w:rPr>
            </w:pPr>
            <w:r w:rsidRPr="00416D67">
              <w:rPr>
                <w:color w:val="000000"/>
                <w:sz w:val="16"/>
                <w:szCs w:val="16"/>
              </w:rPr>
              <w:t>2392</w:t>
            </w:r>
          </w:p>
        </w:tc>
        <w:tc>
          <w:tcPr>
            <w:tcW w:w="4956" w:type="dxa"/>
            <w:tcBorders>
              <w:top w:val="nil"/>
              <w:left w:val="nil"/>
              <w:bottom w:val="single" w:sz="4" w:space="0" w:color="auto"/>
              <w:right w:val="single" w:sz="4" w:space="0" w:color="auto"/>
            </w:tcBorders>
            <w:vAlign w:val="center"/>
            <w:hideMark/>
          </w:tcPr>
          <w:p w14:paraId="2E373E7E" w14:textId="77777777" w:rsidR="00416D67" w:rsidRPr="00416D67" w:rsidRDefault="00416D67" w:rsidP="00416D67">
            <w:pPr>
              <w:rPr>
                <w:color w:val="000000"/>
                <w:sz w:val="16"/>
                <w:szCs w:val="16"/>
              </w:rPr>
            </w:pPr>
            <w:r w:rsidRPr="00416D67">
              <w:rPr>
                <w:color w:val="000000"/>
                <w:sz w:val="16"/>
                <w:szCs w:val="16"/>
              </w:rPr>
              <w:t>Obveze za porez na dodanu vrijednost</w:t>
            </w:r>
          </w:p>
        </w:tc>
        <w:tc>
          <w:tcPr>
            <w:tcW w:w="1060" w:type="dxa"/>
            <w:tcBorders>
              <w:top w:val="nil"/>
              <w:left w:val="nil"/>
              <w:bottom w:val="single" w:sz="4" w:space="0" w:color="auto"/>
              <w:right w:val="single" w:sz="4" w:space="0" w:color="auto"/>
            </w:tcBorders>
            <w:noWrap/>
            <w:vAlign w:val="center"/>
            <w:hideMark/>
          </w:tcPr>
          <w:p w14:paraId="1865388D" w14:textId="77777777" w:rsidR="00416D67" w:rsidRPr="00416D67" w:rsidRDefault="00416D67" w:rsidP="00416D67">
            <w:pPr>
              <w:jc w:val="right"/>
              <w:rPr>
                <w:color w:val="000000"/>
                <w:sz w:val="16"/>
                <w:szCs w:val="16"/>
              </w:rPr>
            </w:pPr>
            <w:r w:rsidRPr="00416D67">
              <w:rPr>
                <w:color w:val="000000"/>
                <w:sz w:val="16"/>
                <w:szCs w:val="16"/>
              </w:rPr>
              <w:t>76.299,67</w:t>
            </w:r>
          </w:p>
        </w:tc>
        <w:tc>
          <w:tcPr>
            <w:tcW w:w="960" w:type="dxa"/>
            <w:tcBorders>
              <w:top w:val="nil"/>
              <w:left w:val="nil"/>
              <w:bottom w:val="single" w:sz="4" w:space="0" w:color="auto"/>
              <w:right w:val="single" w:sz="4" w:space="0" w:color="auto"/>
            </w:tcBorders>
            <w:noWrap/>
            <w:vAlign w:val="center"/>
            <w:hideMark/>
          </w:tcPr>
          <w:p w14:paraId="7E37255A"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24A0ED60" w14:textId="77777777" w:rsidR="00416D67" w:rsidRPr="00416D67" w:rsidRDefault="00416D67" w:rsidP="00416D67">
            <w:pPr>
              <w:jc w:val="right"/>
              <w:rPr>
                <w:color w:val="000000"/>
                <w:sz w:val="16"/>
                <w:szCs w:val="16"/>
              </w:rPr>
            </w:pPr>
            <w:r w:rsidRPr="00416D67">
              <w:rPr>
                <w:color w:val="000000"/>
                <w:sz w:val="16"/>
                <w:szCs w:val="16"/>
              </w:rPr>
              <w:t>76.299,67</w:t>
            </w:r>
          </w:p>
        </w:tc>
      </w:tr>
      <w:tr w:rsidR="00416D67" w:rsidRPr="00416D67" w14:paraId="401FF0D0"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607F3F39" w14:textId="77777777" w:rsidR="00416D67" w:rsidRPr="00416D67" w:rsidRDefault="00416D67" w:rsidP="00416D67">
            <w:pPr>
              <w:rPr>
                <w:color w:val="000000"/>
                <w:sz w:val="16"/>
                <w:szCs w:val="16"/>
              </w:rPr>
            </w:pPr>
            <w:r w:rsidRPr="00416D67">
              <w:rPr>
                <w:color w:val="000000"/>
                <w:sz w:val="16"/>
                <w:szCs w:val="16"/>
              </w:rPr>
              <w:t>2395</w:t>
            </w:r>
          </w:p>
        </w:tc>
        <w:tc>
          <w:tcPr>
            <w:tcW w:w="4956" w:type="dxa"/>
            <w:tcBorders>
              <w:top w:val="nil"/>
              <w:left w:val="nil"/>
              <w:bottom w:val="single" w:sz="4" w:space="0" w:color="auto"/>
              <w:right w:val="single" w:sz="4" w:space="0" w:color="auto"/>
            </w:tcBorders>
            <w:vAlign w:val="center"/>
            <w:hideMark/>
          </w:tcPr>
          <w:p w14:paraId="0CA95FAD" w14:textId="77777777" w:rsidR="00416D67" w:rsidRPr="00416D67" w:rsidRDefault="00416D67" w:rsidP="00416D67">
            <w:pPr>
              <w:rPr>
                <w:color w:val="000000"/>
                <w:sz w:val="16"/>
                <w:szCs w:val="16"/>
              </w:rPr>
            </w:pPr>
            <w:r w:rsidRPr="00416D67">
              <w:rPr>
                <w:color w:val="000000"/>
                <w:sz w:val="16"/>
                <w:szCs w:val="16"/>
              </w:rPr>
              <w:t>Ostale nespomenute obveze</w:t>
            </w:r>
          </w:p>
        </w:tc>
        <w:tc>
          <w:tcPr>
            <w:tcW w:w="1060" w:type="dxa"/>
            <w:tcBorders>
              <w:top w:val="nil"/>
              <w:left w:val="nil"/>
              <w:bottom w:val="single" w:sz="4" w:space="0" w:color="auto"/>
              <w:right w:val="single" w:sz="4" w:space="0" w:color="auto"/>
            </w:tcBorders>
            <w:noWrap/>
            <w:vAlign w:val="center"/>
            <w:hideMark/>
          </w:tcPr>
          <w:p w14:paraId="58C82DE3" w14:textId="77777777" w:rsidR="00416D67" w:rsidRPr="00416D67" w:rsidRDefault="00416D67" w:rsidP="00416D67">
            <w:pPr>
              <w:jc w:val="right"/>
              <w:rPr>
                <w:color w:val="000000"/>
                <w:sz w:val="16"/>
                <w:szCs w:val="16"/>
              </w:rPr>
            </w:pPr>
            <w:r w:rsidRPr="00416D67">
              <w:rPr>
                <w:color w:val="000000"/>
                <w:sz w:val="16"/>
                <w:szCs w:val="16"/>
              </w:rPr>
              <w:t>100</w:t>
            </w:r>
          </w:p>
        </w:tc>
        <w:tc>
          <w:tcPr>
            <w:tcW w:w="960" w:type="dxa"/>
            <w:tcBorders>
              <w:top w:val="nil"/>
              <w:left w:val="nil"/>
              <w:bottom w:val="single" w:sz="4" w:space="0" w:color="auto"/>
              <w:right w:val="single" w:sz="4" w:space="0" w:color="auto"/>
            </w:tcBorders>
            <w:noWrap/>
            <w:vAlign w:val="center"/>
            <w:hideMark/>
          </w:tcPr>
          <w:p w14:paraId="12954698"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03C1E2A1" w14:textId="77777777" w:rsidR="00416D67" w:rsidRPr="00416D67" w:rsidRDefault="00416D67" w:rsidP="00416D67">
            <w:pPr>
              <w:jc w:val="right"/>
              <w:rPr>
                <w:color w:val="000000"/>
                <w:sz w:val="16"/>
                <w:szCs w:val="16"/>
              </w:rPr>
            </w:pPr>
            <w:r w:rsidRPr="00416D67">
              <w:rPr>
                <w:color w:val="000000"/>
                <w:sz w:val="16"/>
                <w:szCs w:val="16"/>
              </w:rPr>
              <w:t>100</w:t>
            </w:r>
          </w:p>
        </w:tc>
      </w:tr>
      <w:tr w:rsidR="00416D67" w:rsidRPr="00416D67" w14:paraId="773E4F04"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2466297D" w14:textId="77777777" w:rsidR="00416D67" w:rsidRPr="00416D67" w:rsidRDefault="00416D67" w:rsidP="00416D67">
            <w:pPr>
              <w:rPr>
                <w:b/>
                <w:bCs/>
                <w:color w:val="000000"/>
                <w:sz w:val="16"/>
                <w:szCs w:val="16"/>
              </w:rPr>
            </w:pPr>
            <w:r w:rsidRPr="00416D67">
              <w:rPr>
                <w:b/>
                <w:bCs/>
                <w:color w:val="000000"/>
                <w:sz w:val="16"/>
                <w:szCs w:val="16"/>
              </w:rPr>
              <w:t>239</w:t>
            </w:r>
          </w:p>
        </w:tc>
        <w:tc>
          <w:tcPr>
            <w:tcW w:w="4956" w:type="dxa"/>
            <w:tcBorders>
              <w:top w:val="nil"/>
              <w:left w:val="nil"/>
              <w:bottom w:val="single" w:sz="4" w:space="0" w:color="auto"/>
              <w:right w:val="single" w:sz="4" w:space="0" w:color="auto"/>
            </w:tcBorders>
            <w:vAlign w:val="center"/>
            <w:hideMark/>
          </w:tcPr>
          <w:p w14:paraId="7E5276A6" w14:textId="77777777" w:rsidR="00416D67" w:rsidRPr="00416D67" w:rsidRDefault="00416D67" w:rsidP="00416D67">
            <w:pPr>
              <w:rPr>
                <w:b/>
                <w:bCs/>
                <w:color w:val="000000"/>
                <w:sz w:val="16"/>
                <w:szCs w:val="16"/>
              </w:rPr>
            </w:pPr>
            <w:r w:rsidRPr="00416D67">
              <w:rPr>
                <w:b/>
                <w:bCs/>
                <w:color w:val="000000"/>
                <w:sz w:val="16"/>
                <w:szCs w:val="16"/>
              </w:rPr>
              <w:t>Ostale tekuće obveze</w:t>
            </w:r>
          </w:p>
        </w:tc>
        <w:tc>
          <w:tcPr>
            <w:tcW w:w="1060" w:type="dxa"/>
            <w:tcBorders>
              <w:top w:val="nil"/>
              <w:left w:val="nil"/>
              <w:bottom w:val="single" w:sz="4" w:space="0" w:color="auto"/>
              <w:right w:val="single" w:sz="4" w:space="0" w:color="auto"/>
            </w:tcBorders>
            <w:noWrap/>
            <w:vAlign w:val="center"/>
            <w:hideMark/>
          </w:tcPr>
          <w:p w14:paraId="3C9EC121" w14:textId="77777777" w:rsidR="00416D67" w:rsidRPr="00416D67" w:rsidRDefault="00416D67" w:rsidP="00416D67">
            <w:pPr>
              <w:jc w:val="right"/>
              <w:rPr>
                <w:b/>
                <w:bCs/>
                <w:color w:val="000000"/>
                <w:sz w:val="16"/>
                <w:szCs w:val="16"/>
              </w:rPr>
            </w:pPr>
            <w:r w:rsidRPr="00416D67">
              <w:rPr>
                <w:b/>
                <w:bCs/>
                <w:color w:val="000000"/>
                <w:sz w:val="16"/>
                <w:szCs w:val="16"/>
              </w:rPr>
              <w:t>76.399,67</w:t>
            </w:r>
          </w:p>
        </w:tc>
        <w:tc>
          <w:tcPr>
            <w:tcW w:w="960" w:type="dxa"/>
            <w:tcBorders>
              <w:top w:val="nil"/>
              <w:left w:val="nil"/>
              <w:bottom w:val="single" w:sz="4" w:space="0" w:color="auto"/>
              <w:right w:val="single" w:sz="4" w:space="0" w:color="auto"/>
            </w:tcBorders>
            <w:noWrap/>
            <w:vAlign w:val="center"/>
            <w:hideMark/>
          </w:tcPr>
          <w:p w14:paraId="3163EE86" w14:textId="77777777" w:rsidR="00416D67" w:rsidRPr="00416D67" w:rsidRDefault="00416D67" w:rsidP="00416D67">
            <w:pPr>
              <w:jc w:val="right"/>
              <w:rPr>
                <w:b/>
                <w:bCs/>
                <w:color w:val="000000"/>
                <w:sz w:val="16"/>
                <w:szCs w:val="16"/>
              </w:rPr>
            </w:pPr>
            <w:r w:rsidRPr="00416D67">
              <w:rPr>
                <w:b/>
                <w:bCs/>
                <w:color w:val="000000"/>
                <w:sz w:val="16"/>
                <w:szCs w:val="16"/>
              </w:rPr>
              <w:t>0</w:t>
            </w:r>
          </w:p>
        </w:tc>
        <w:tc>
          <w:tcPr>
            <w:tcW w:w="1180" w:type="dxa"/>
            <w:tcBorders>
              <w:top w:val="nil"/>
              <w:left w:val="nil"/>
              <w:bottom w:val="single" w:sz="4" w:space="0" w:color="auto"/>
              <w:right w:val="single" w:sz="4" w:space="0" w:color="auto"/>
            </w:tcBorders>
            <w:noWrap/>
            <w:vAlign w:val="center"/>
            <w:hideMark/>
          </w:tcPr>
          <w:p w14:paraId="61C254DB" w14:textId="77777777" w:rsidR="00416D67" w:rsidRPr="00416D67" w:rsidRDefault="00416D67" w:rsidP="00416D67">
            <w:pPr>
              <w:jc w:val="right"/>
              <w:rPr>
                <w:b/>
                <w:bCs/>
                <w:color w:val="000000"/>
                <w:sz w:val="16"/>
                <w:szCs w:val="16"/>
              </w:rPr>
            </w:pPr>
            <w:r w:rsidRPr="00416D67">
              <w:rPr>
                <w:b/>
                <w:bCs/>
                <w:color w:val="000000"/>
                <w:sz w:val="16"/>
                <w:szCs w:val="16"/>
              </w:rPr>
              <w:t>76.399,67</w:t>
            </w:r>
          </w:p>
        </w:tc>
      </w:tr>
      <w:tr w:rsidR="00416D67" w:rsidRPr="00416D67" w14:paraId="270D66B6"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2C6A3727" w14:textId="77777777" w:rsidR="00416D67" w:rsidRPr="00416D67" w:rsidRDefault="00416D67" w:rsidP="00416D67">
            <w:pPr>
              <w:rPr>
                <w:b/>
                <w:bCs/>
                <w:color w:val="000000"/>
                <w:sz w:val="16"/>
                <w:szCs w:val="16"/>
              </w:rPr>
            </w:pPr>
            <w:r w:rsidRPr="00416D67">
              <w:rPr>
                <w:b/>
                <w:bCs/>
                <w:color w:val="000000"/>
                <w:sz w:val="16"/>
                <w:szCs w:val="16"/>
              </w:rPr>
              <w:t>23</w:t>
            </w:r>
          </w:p>
        </w:tc>
        <w:tc>
          <w:tcPr>
            <w:tcW w:w="4956" w:type="dxa"/>
            <w:tcBorders>
              <w:top w:val="nil"/>
              <w:left w:val="nil"/>
              <w:bottom w:val="single" w:sz="4" w:space="0" w:color="auto"/>
              <w:right w:val="single" w:sz="4" w:space="0" w:color="auto"/>
            </w:tcBorders>
            <w:vAlign w:val="center"/>
            <w:hideMark/>
          </w:tcPr>
          <w:p w14:paraId="01D29FD3" w14:textId="77777777" w:rsidR="00416D67" w:rsidRPr="00416D67" w:rsidRDefault="00416D67" w:rsidP="00416D67">
            <w:pPr>
              <w:rPr>
                <w:b/>
                <w:bCs/>
                <w:color w:val="000000"/>
                <w:sz w:val="16"/>
                <w:szCs w:val="16"/>
              </w:rPr>
            </w:pPr>
            <w:r w:rsidRPr="00416D67">
              <w:rPr>
                <w:b/>
                <w:bCs/>
                <w:color w:val="000000"/>
                <w:sz w:val="16"/>
                <w:szCs w:val="16"/>
              </w:rPr>
              <w:t>Obveze za rashode poslovanja</w:t>
            </w:r>
          </w:p>
        </w:tc>
        <w:tc>
          <w:tcPr>
            <w:tcW w:w="1060" w:type="dxa"/>
            <w:tcBorders>
              <w:top w:val="nil"/>
              <w:left w:val="nil"/>
              <w:bottom w:val="single" w:sz="4" w:space="0" w:color="auto"/>
              <w:right w:val="single" w:sz="4" w:space="0" w:color="auto"/>
            </w:tcBorders>
            <w:noWrap/>
            <w:vAlign w:val="center"/>
            <w:hideMark/>
          </w:tcPr>
          <w:p w14:paraId="084A0E2A" w14:textId="77777777" w:rsidR="00416D67" w:rsidRPr="00416D67" w:rsidRDefault="00416D67" w:rsidP="00416D67">
            <w:pPr>
              <w:jc w:val="right"/>
              <w:rPr>
                <w:b/>
                <w:bCs/>
                <w:color w:val="000000"/>
                <w:sz w:val="16"/>
                <w:szCs w:val="16"/>
              </w:rPr>
            </w:pPr>
            <w:r w:rsidRPr="00416D67">
              <w:rPr>
                <w:b/>
                <w:bCs/>
                <w:color w:val="000000"/>
                <w:sz w:val="16"/>
                <w:szCs w:val="16"/>
              </w:rPr>
              <w:t>245.556,73</w:t>
            </w:r>
          </w:p>
        </w:tc>
        <w:tc>
          <w:tcPr>
            <w:tcW w:w="960" w:type="dxa"/>
            <w:tcBorders>
              <w:top w:val="nil"/>
              <w:left w:val="nil"/>
              <w:bottom w:val="single" w:sz="4" w:space="0" w:color="auto"/>
              <w:right w:val="single" w:sz="4" w:space="0" w:color="auto"/>
            </w:tcBorders>
            <w:noWrap/>
            <w:vAlign w:val="center"/>
            <w:hideMark/>
          </w:tcPr>
          <w:p w14:paraId="1C0E10B1" w14:textId="77777777" w:rsidR="00416D67" w:rsidRPr="00416D67" w:rsidRDefault="00416D67" w:rsidP="00416D67">
            <w:pPr>
              <w:jc w:val="right"/>
              <w:rPr>
                <w:b/>
                <w:bCs/>
                <w:color w:val="000000"/>
                <w:sz w:val="16"/>
                <w:szCs w:val="16"/>
              </w:rPr>
            </w:pPr>
            <w:r w:rsidRPr="00416D67">
              <w:rPr>
                <w:b/>
                <w:bCs/>
                <w:color w:val="000000"/>
                <w:sz w:val="16"/>
                <w:szCs w:val="16"/>
              </w:rPr>
              <w:t>3.258,26</w:t>
            </w:r>
          </w:p>
        </w:tc>
        <w:tc>
          <w:tcPr>
            <w:tcW w:w="1180" w:type="dxa"/>
            <w:tcBorders>
              <w:top w:val="nil"/>
              <w:left w:val="nil"/>
              <w:bottom w:val="single" w:sz="4" w:space="0" w:color="auto"/>
              <w:right w:val="single" w:sz="4" w:space="0" w:color="auto"/>
            </w:tcBorders>
            <w:noWrap/>
            <w:vAlign w:val="center"/>
            <w:hideMark/>
          </w:tcPr>
          <w:p w14:paraId="62A31FF2" w14:textId="77777777" w:rsidR="00416D67" w:rsidRPr="00416D67" w:rsidRDefault="00416D67" w:rsidP="00416D67">
            <w:pPr>
              <w:jc w:val="right"/>
              <w:rPr>
                <w:b/>
                <w:bCs/>
                <w:color w:val="000000"/>
                <w:sz w:val="16"/>
                <w:szCs w:val="16"/>
              </w:rPr>
            </w:pPr>
            <w:r w:rsidRPr="00416D67">
              <w:rPr>
                <w:b/>
                <w:bCs/>
                <w:color w:val="000000"/>
                <w:sz w:val="16"/>
                <w:szCs w:val="16"/>
              </w:rPr>
              <w:t>242.298,47</w:t>
            </w:r>
          </w:p>
        </w:tc>
      </w:tr>
      <w:tr w:rsidR="00416D67" w:rsidRPr="00416D67" w14:paraId="482818D3"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482A238A" w14:textId="77777777" w:rsidR="00416D67" w:rsidRPr="00416D67" w:rsidRDefault="00416D67" w:rsidP="00416D67">
            <w:pPr>
              <w:rPr>
                <w:color w:val="000000"/>
                <w:sz w:val="16"/>
                <w:szCs w:val="16"/>
              </w:rPr>
            </w:pPr>
            <w:r w:rsidRPr="00416D67">
              <w:rPr>
                <w:color w:val="000000"/>
                <w:sz w:val="16"/>
                <w:szCs w:val="16"/>
              </w:rPr>
              <w:t>2421</w:t>
            </w:r>
          </w:p>
        </w:tc>
        <w:tc>
          <w:tcPr>
            <w:tcW w:w="4956" w:type="dxa"/>
            <w:tcBorders>
              <w:top w:val="nil"/>
              <w:left w:val="nil"/>
              <w:bottom w:val="single" w:sz="4" w:space="0" w:color="auto"/>
              <w:right w:val="single" w:sz="4" w:space="0" w:color="auto"/>
            </w:tcBorders>
            <w:vAlign w:val="center"/>
            <w:hideMark/>
          </w:tcPr>
          <w:p w14:paraId="13A253A8" w14:textId="77777777" w:rsidR="00416D67" w:rsidRPr="00416D67" w:rsidRDefault="00416D67" w:rsidP="00416D67">
            <w:pPr>
              <w:rPr>
                <w:color w:val="000000"/>
                <w:sz w:val="16"/>
                <w:szCs w:val="16"/>
              </w:rPr>
            </w:pPr>
            <w:r w:rsidRPr="00416D67">
              <w:rPr>
                <w:color w:val="000000"/>
                <w:sz w:val="16"/>
                <w:szCs w:val="16"/>
              </w:rPr>
              <w:t>Građevinski objekti</w:t>
            </w:r>
          </w:p>
        </w:tc>
        <w:tc>
          <w:tcPr>
            <w:tcW w:w="1060" w:type="dxa"/>
            <w:tcBorders>
              <w:top w:val="nil"/>
              <w:left w:val="nil"/>
              <w:bottom w:val="single" w:sz="4" w:space="0" w:color="auto"/>
              <w:right w:val="single" w:sz="4" w:space="0" w:color="auto"/>
            </w:tcBorders>
            <w:noWrap/>
            <w:vAlign w:val="center"/>
            <w:hideMark/>
          </w:tcPr>
          <w:p w14:paraId="5570046F" w14:textId="77777777" w:rsidR="00416D67" w:rsidRPr="00416D67" w:rsidRDefault="00416D67" w:rsidP="00416D67">
            <w:pPr>
              <w:jc w:val="right"/>
              <w:rPr>
                <w:color w:val="000000"/>
                <w:sz w:val="16"/>
                <w:szCs w:val="16"/>
              </w:rPr>
            </w:pPr>
            <w:r w:rsidRPr="00416D67">
              <w:rPr>
                <w:color w:val="000000"/>
                <w:sz w:val="16"/>
                <w:szCs w:val="16"/>
              </w:rPr>
              <w:t>46.089,16</w:t>
            </w:r>
          </w:p>
        </w:tc>
        <w:tc>
          <w:tcPr>
            <w:tcW w:w="960" w:type="dxa"/>
            <w:tcBorders>
              <w:top w:val="nil"/>
              <w:left w:val="nil"/>
              <w:bottom w:val="single" w:sz="4" w:space="0" w:color="auto"/>
              <w:right w:val="single" w:sz="4" w:space="0" w:color="auto"/>
            </w:tcBorders>
            <w:noWrap/>
            <w:vAlign w:val="center"/>
            <w:hideMark/>
          </w:tcPr>
          <w:p w14:paraId="4566FD33"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1B0C766E" w14:textId="77777777" w:rsidR="00416D67" w:rsidRPr="00416D67" w:rsidRDefault="00416D67" w:rsidP="00416D67">
            <w:pPr>
              <w:jc w:val="right"/>
              <w:rPr>
                <w:color w:val="000000"/>
                <w:sz w:val="16"/>
                <w:szCs w:val="16"/>
              </w:rPr>
            </w:pPr>
            <w:r w:rsidRPr="00416D67">
              <w:rPr>
                <w:color w:val="000000"/>
                <w:sz w:val="16"/>
                <w:szCs w:val="16"/>
              </w:rPr>
              <w:t>46.089,16</w:t>
            </w:r>
          </w:p>
        </w:tc>
      </w:tr>
      <w:tr w:rsidR="00416D67" w:rsidRPr="00416D67" w14:paraId="12296FD0"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454D3FB4" w14:textId="77777777" w:rsidR="00416D67" w:rsidRPr="00416D67" w:rsidRDefault="00416D67" w:rsidP="00416D67">
            <w:pPr>
              <w:rPr>
                <w:color w:val="000000"/>
                <w:sz w:val="16"/>
                <w:szCs w:val="16"/>
              </w:rPr>
            </w:pPr>
            <w:r w:rsidRPr="00416D67">
              <w:rPr>
                <w:color w:val="000000"/>
                <w:sz w:val="16"/>
                <w:szCs w:val="16"/>
              </w:rPr>
              <w:t>2422</w:t>
            </w:r>
          </w:p>
        </w:tc>
        <w:tc>
          <w:tcPr>
            <w:tcW w:w="4956" w:type="dxa"/>
            <w:tcBorders>
              <w:top w:val="nil"/>
              <w:left w:val="nil"/>
              <w:bottom w:val="single" w:sz="4" w:space="0" w:color="auto"/>
              <w:right w:val="single" w:sz="4" w:space="0" w:color="auto"/>
            </w:tcBorders>
            <w:vAlign w:val="center"/>
            <w:hideMark/>
          </w:tcPr>
          <w:p w14:paraId="3F91A931" w14:textId="77777777" w:rsidR="00416D67" w:rsidRPr="00416D67" w:rsidRDefault="00416D67" w:rsidP="00416D67">
            <w:pPr>
              <w:rPr>
                <w:color w:val="000000"/>
                <w:sz w:val="16"/>
                <w:szCs w:val="16"/>
              </w:rPr>
            </w:pPr>
            <w:r w:rsidRPr="00416D67">
              <w:rPr>
                <w:color w:val="000000"/>
                <w:sz w:val="16"/>
                <w:szCs w:val="16"/>
              </w:rPr>
              <w:t>Postrojenja i oprema</w:t>
            </w:r>
          </w:p>
        </w:tc>
        <w:tc>
          <w:tcPr>
            <w:tcW w:w="1060" w:type="dxa"/>
            <w:tcBorders>
              <w:top w:val="nil"/>
              <w:left w:val="nil"/>
              <w:bottom w:val="single" w:sz="4" w:space="0" w:color="auto"/>
              <w:right w:val="single" w:sz="4" w:space="0" w:color="auto"/>
            </w:tcBorders>
            <w:noWrap/>
            <w:vAlign w:val="center"/>
            <w:hideMark/>
          </w:tcPr>
          <w:p w14:paraId="52149D9B" w14:textId="77777777" w:rsidR="00416D67" w:rsidRPr="00416D67" w:rsidRDefault="00416D67" w:rsidP="00416D67">
            <w:pPr>
              <w:jc w:val="right"/>
              <w:rPr>
                <w:color w:val="000000"/>
                <w:sz w:val="16"/>
                <w:szCs w:val="16"/>
              </w:rPr>
            </w:pPr>
            <w:r w:rsidRPr="00416D67">
              <w:rPr>
                <w:color w:val="000000"/>
                <w:sz w:val="16"/>
                <w:szCs w:val="16"/>
              </w:rPr>
              <w:t>2.742,00</w:t>
            </w:r>
          </w:p>
        </w:tc>
        <w:tc>
          <w:tcPr>
            <w:tcW w:w="960" w:type="dxa"/>
            <w:tcBorders>
              <w:top w:val="nil"/>
              <w:left w:val="nil"/>
              <w:bottom w:val="single" w:sz="4" w:space="0" w:color="auto"/>
              <w:right w:val="single" w:sz="4" w:space="0" w:color="auto"/>
            </w:tcBorders>
            <w:noWrap/>
            <w:vAlign w:val="center"/>
            <w:hideMark/>
          </w:tcPr>
          <w:p w14:paraId="7BEF3738"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23265F79" w14:textId="77777777" w:rsidR="00416D67" w:rsidRPr="00416D67" w:rsidRDefault="00416D67" w:rsidP="00416D67">
            <w:pPr>
              <w:jc w:val="right"/>
              <w:rPr>
                <w:color w:val="000000"/>
                <w:sz w:val="16"/>
                <w:szCs w:val="16"/>
              </w:rPr>
            </w:pPr>
            <w:r w:rsidRPr="00416D67">
              <w:rPr>
                <w:color w:val="000000"/>
                <w:sz w:val="16"/>
                <w:szCs w:val="16"/>
              </w:rPr>
              <w:t>2.742,00</w:t>
            </w:r>
          </w:p>
        </w:tc>
      </w:tr>
      <w:tr w:rsidR="00416D67" w:rsidRPr="00416D67" w14:paraId="70AC0B46"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5AB343A5" w14:textId="77777777" w:rsidR="00416D67" w:rsidRPr="00416D67" w:rsidRDefault="00416D67" w:rsidP="00416D67">
            <w:pPr>
              <w:rPr>
                <w:b/>
                <w:bCs/>
                <w:color w:val="000000"/>
                <w:sz w:val="16"/>
                <w:szCs w:val="16"/>
              </w:rPr>
            </w:pPr>
            <w:r w:rsidRPr="00416D67">
              <w:rPr>
                <w:b/>
                <w:bCs/>
                <w:color w:val="000000"/>
                <w:sz w:val="16"/>
                <w:szCs w:val="16"/>
              </w:rPr>
              <w:t>242</w:t>
            </w:r>
          </w:p>
        </w:tc>
        <w:tc>
          <w:tcPr>
            <w:tcW w:w="4956" w:type="dxa"/>
            <w:tcBorders>
              <w:top w:val="nil"/>
              <w:left w:val="nil"/>
              <w:bottom w:val="single" w:sz="4" w:space="0" w:color="auto"/>
              <w:right w:val="single" w:sz="4" w:space="0" w:color="auto"/>
            </w:tcBorders>
            <w:vAlign w:val="center"/>
            <w:hideMark/>
          </w:tcPr>
          <w:p w14:paraId="2A36FCEA" w14:textId="77777777" w:rsidR="00416D67" w:rsidRPr="00416D67" w:rsidRDefault="00416D67" w:rsidP="00416D67">
            <w:pPr>
              <w:rPr>
                <w:b/>
                <w:bCs/>
                <w:color w:val="000000"/>
                <w:sz w:val="16"/>
                <w:szCs w:val="16"/>
              </w:rPr>
            </w:pPr>
            <w:r w:rsidRPr="00416D67">
              <w:rPr>
                <w:b/>
                <w:bCs/>
                <w:color w:val="000000"/>
                <w:sz w:val="16"/>
                <w:szCs w:val="16"/>
              </w:rPr>
              <w:t>Obveze za nabavu proizvedene dugotrajne imovine</w:t>
            </w:r>
          </w:p>
        </w:tc>
        <w:tc>
          <w:tcPr>
            <w:tcW w:w="1060" w:type="dxa"/>
            <w:tcBorders>
              <w:top w:val="nil"/>
              <w:left w:val="nil"/>
              <w:bottom w:val="single" w:sz="4" w:space="0" w:color="auto"/>
              <w:right w:val="single" w:sz="4" w:space="0" w:color="auto"/>
            </w:tcBorders>
            <w:noWrap/>
            <w:vAlign w:val="center"/>
            <w:hideMark/>
          </w:tcPr>
          <w:p w14:paraId="1A916D09" w14:textId="77777777" w:rsidR="00416D67" w:rsidRPr="00416D67" w:rsidRDefault="00416D67" w:rsidP="00416D67">
            <w:pPr>
              <w:jc w:val="right"/>
              <w:rPr>
                <w:b/>
                <w:bCs/>
                <w:color w:val="000000"/>
                <w:sz w:val="16"/>
                <w:szCs w:val="16"/>
              </w:rPr>
            </w:pPr>
            <w:r w:rsidRPr="00416D67">
              <w:rPr>
                <w:b/>
                <w:bCs/>
                <w:color w:val="000000"/>
                <w:sz w:val="16"/>
                <w:szCs w:val="16"/>
              </w:rPr>
              <w:t>48.831,16</w:t>
            </w:r>
          </w:p>
        </w:tc>
        <w:tc>
          <w:tcPr>
            <w:tcW w:w="960" w:type="dxa"/>
            <w:tcBorders>
              <w:top w:val="nil"/>
              <w:left w:val="nil"/>
              <w:bottom w:val="single" w:sz="4" w:space="0" w:color="auto"/>
              <w:right w:val="single" w:sz="4" w:space="0" w:color="auto"/>
            </w:tcBorders>
            <w:noWrap/>
            <w:vAlign w:val="center"/>
            <w:hideMark/>
          </w:tcPr>
          <w:p w14:paraId="5810A572" w14:textId="77777777" w:rsidR="00416D67" w:rsidRPr="00416D67" w:rsidRDefault="00416D67" w:rsidP="00416D67">
            <w:pPr>
              <w:jc w:val="right"/>
              <w:rPr>
                <w:b/>
                <w:bCs/>
                <w:color w:val="000000"/>
                <w:sz w:val="16"/>
                <w:szCs w:val="16"/>
              </w:rPr>
            </w:pPr>
            <w:r w:rsidRPr="00416D67">
              <w:rPr>
                <w:b/>
                <w:bCs/>
                <w:color w:val="000000"/>
                <w:sz w:val="16"/>
                <w:szCs w:val="16"/>
              </w:rPr>
              <w:t>0</w:t>
            </w:r>
          </w:p>
        </w:tc>
        <w:tc>
          <w:tcPr>
            <w:tcW w:w="1180" w:type="dxa"/>
            <w:tcBorders>
              <w:top w:val="nil"/>
              <w:left w:val="nil"/>
              <w:bottom w:val="single" w:sz="4" w:space="0" w:color="auto"/>
              <w:right w:val="single" w:sz="4" w:space="0" w:color="auto"/>
            </w:tcBorders>
            <w:noWrap/>
            <w:vAlign w:val="center"/>
            <w:hideMark/>
          </w:tcPr>
          <w:p w14:paraId="11A7E294" w14:textId="77777777" w:rsidR="00416D67" w:rsidRPr="00416D67" w:rsidRDefault="00416D67" w:rsidP="00416D67">
            <w:pPr>
              <w:jc w:val="right"/>
              <w:rPr>
                <w:b/>
                <w:bCs/>
                <w:color w:val="000000"/>
                <w:sz w:val="16"/>
                <w:szCs w:val="16"/>
              </w:rPr>
            </w:pPr>
            <w:r w:rsidRPr="00416D67">
              <w:rPr>
                <w:b/>
                <w:bCs/>
                <w:color w:val="000000"/>
                <w:sz w:val="16"/>
                <w:szCs w:val="16"/>
              </w:rPr>
              <w:t>48.831,16</w:t>
            </w:r>
          </w:p>
        </w:tc>
      </w:tr>
      <w:tr w:rsidR="00416D67" w:rsidRPr="00416D67" w14:paraId="3B4F925B"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13396F86" w14:textId="77777777" w:rsidR="00416D67" w:rsidRPr="00416D67" w:rsidRDefault="00416D67" w:rsidP="00416D67">
            <w:pPr>
              <w:rPr>
                <w:color w:val="000000"/>
                <w:sz w:val="16"/>
                <w:szCs w:val="16"/>
              </w:rPr>
            </w:pPr>
            <w:r w:rsidRPr="00416D67">
              <w:rPr>
                <w:color w:val="000000"/>
                <w:sz w:val="16"/>
                <w:szCs w:val="16"/>
              </w:rPr>
              <w:t>2451</w:t>
            </w:r>
          </w:p>
        </w:tc>
        <w:tc>
          <w:tcPr>
            <w:tcW w:w="4956" w:type="dxa"/>
            <w:tcBorders>
              <w:top w:val="nil"/>
              <w:left w:val="nil"/>
              <w:bottom w:val="single" w:sz="4" w:space="0" w:color="auto"/>
              <w:right w:val="single" w:sz="4" w:space="0" w:color="auto"/>
            </w:tcBorders>
            <w:vAlign w:val="center"/>
            <w:hideMark/>
          </w:tcPr>
          <w:p w14:paraId="1D781B28" w14:textId="77777777" w:rsidR="00416D67" w:rsidRPr="00416D67" w:rsidRDefault="00416D67" w:rsidP="00416D67">
            <w:pPr>
              <w:rPr>
                <w:color w:val="000000"/>
                <w:sz w:val="16"/>
                <w:szCs w:val="16"/>
              </w:rPr>
            </w:pPr>
            <w:r w:rsidRPr="00416D67">
              <w:rPr>
                <w:color w:val="000000"/>
                <w:sz w:val="16"/>
                <w:szCs w:val="16"/>
              </w:rPr>
              <w:t>Dodatna ulaganja na građevinskim objektima</w:t>
            </w:r>
          </w:p>
        </w:tc>
        <w:tc>
          <w:tcPr>
            <w:tcW w:w="1060" w:type="dxa"/>
            <w:tcBorders>
              <w:top w:val="nil"/>
              <w:left w:val="nil"/>
              <w:bottom w:val="single" w:sz="4" w:space="0" w:color="auto"/>
              <w:right w:val="single" w:sz="4" w:space="0" w:color="auto"/>
            </w:tcBorders>
            <w:noWrap/>
            <w:vAlign w:val="center"/>
            <w:hideMark/>
          </w:tcPr>
          <w:p w14:paraId="23B69F35" w14:textId="77777777" w:rsidR="00416D67" w:rsidRPr="00416D67" w:rsidRDefault="00416D67" w:rsidP="00416D67">
            <w:pPr>
              <w:jc w:val="right"/>
              <w:rPr>
                <w:color w:val="000000"/>
                <w:sz w:val="16"/>
                <w:szCs w:val="16"/>
              </w:rPr>
            </w:pPr>
            <w:r w:rsidRPr="00416D67">
              <w:rPr>
                <w:color w:val="000000"/>
                <w:sz w:val="16"/>
                <w:szCs w:val="16"/>
              </w:rPr>
              <w:t>54.184,71</w:t>
            </w:r>
          </w:p>
        </w:tc>
        <w:tc>
          <w:tcPr>
            <w:tcW w:w="960" w:type="dxa"/>
            <w:tcBorders>
              <w:top w:val="nil"/>
              <w:left w:val="nil"/>
              <w:bottom w:val="single" w:sz="4" w:space="0" w:color="auto"/>
              <w:right w:val="single" w:sz="4" w:space="0" w:color="auto"/>
            </w:tcBorders>
            <w:noWrap/>
            <w:vAlign w:val="center"/>
            <w:hideMark/>
          </w:tcPr>
          <w:p w14:paraId="30066748"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00B50363" w14:textId="77777777" w:rsidR="00416D67" w:rsidRPr="00416D67" w:rsidRDefault="00416D67" w:rsidP="00416D67">
            <w:pPr>
              <w:jc w:val="right"/>
              <w:rPr>
                <w:color w:val="000000"/>
                <w:sz w:val="16"/>
                <w:szCs w:val="16"/>
              </w:rPr>
            </w:pPr>
            <w:r w:rsidRPr="00416D67">
              <w:rPr>
                <w:color w:val="000000"/>
                <w:sz w:val="16"/>
                <w:szCs w:val="16"/>
              </w:rPr>
              <w:t>54.184,71</w:t>
            </w:r>
          </w:p>
        </w:tc>
      </w:tr>
      <w:tr w:rsidR="00416D67" w:rsidRPr="00416D67" w14:paraId="2926BE2E"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76AE7909" w14:textId="77777777" w:rsidR="00416D67" w:rsidRPr="00416D67" w:rsidRDefault="00416D67" w:rsidP="00416D67">
            <w:pPr>
              <w:rPr>
                <w:b/>
                <w:bCs/>
                <w:color w:val="000000"/>
                <w:sz w:val="16"/>
                <w:szCs w:val="16"/>
              </w:rPr>
            </w:pPr>
            <w:r w:rsidRPr="00416D67">
              <w:rPr>
                <w:b/>
                <w:bCs/>
                <w:color w:val="000000"/>
                <w:sz w:val="16"/>
                <w:szCs w:val="16"/>
              </w:rPr>
              <w:t>245</w:t>
            </w:r>
          </w:p>
        </w:tc>
        <w:tc>
          <w:tcPr>
            <w:tcW w:w="4956" w:type="dxa"/>
            <w:tcBorders>
              <w:top w:val="nil"/>
              <w:left w:val="nil"/>
              <w:bottom w:val="single" w:sz="4" w:space="0" w:color="auto"/>
              <w:right w:val="single" w:sz="4" w:space="0" w:color="auto"/>
            </w:tcBorders>
            <w:vAlign w:val="center"/>
            <w:hideMark/>
          </w:tcPr>
          <w:p w14:paraId="1E663A9E" w14:textId="77777777" w:rsidR="00416D67" w:rsidRPr="00416D67" w:rsidRDefault="00416D67" w:rsidP="00416D67">
            <w:pPr>
              <w:rPr>
                <w:b/>
                <w:bCs/>
                <w:color w:val="000000"/>
                <w:sz w:val="16"/>
                <w:szCs w:val="16"/>
              </w:rPr>
            </w:pPr>
            <w:r w:rsidRPr="00416D67">
              <w:rPr>
                <w:b/>
                <w:bCs/>
                <w:color w:val="000000"/>
                <w:sz w:val="16"/>
                <w:szCs w:val="16"/>
              </w:rPr>
              <w:t>Obveze za dodatna ulaganja na nefinancijskoj imovini</w:t>
            </w:r>
          </w:p>
        </w:tc>
        <w:tc>
          <w:tcPr>
            <w:tcW w:w="1060" w:type="dxa"/>
            <w:tcBorders>
              <w:top w:val="nil"/>
              <w:left w:val="nil"/>
              <w:bottom w:val="single" w:sz="4" w:space="0" w:color="auto"/>
              <w:right w:val="single" w:sz="4" w:space="0" w:color="auto"/>
            </w:tcBorders>
            <w:noWrap/>
            <w:vAlign w:val="center"/>
            <w:hideMark/>
          </w:tcPr>
          <w:p w14:paraId="52E38C0D" w14:textId="77777777" w:rsidR="00416D67" w:rsidRPr="00416D67" w:rsidRDefault="00416D67" w:rsidP="00416D67">
            <w:pPr>
              <w:jc w:val="right"/>
              <w:rPr>
                <w:b/>
                <w:bCs/>
                <w:color w:val="000000"/>
                <w:sz w:val="16"/>
                <w:szCs w:val="16"/>
              </w:rPr>
            </w:pPr>
            <w:r w:rsidRPr="00416D67">
              <w:rPr>
                <w:b/>
                <w:bCs/>
                <w:color w:val="000000"/>
                <w:sz w:val="16"/>
                <w:szCs w:val="16"/>
              </w:rPr>
              <w:t>54.184,71</w:t>
            </w:r>
          </w:p>
        </w:tc>
        <w:tc>
          <w:tcPr>
            <w:tcW w:w="960" w:type="dxa"/>
            <w:tcBorders>
              <w:top w:val="nil"/>
              <w:left w:val="nil"/>
              <w:bottom w:val="single" w:sz="4" w:space="0" w:color="auto"/>
              <w:right w:val="single" w:sz="4" w:space="0" w:color="auto"/>
            </w:tcBorders>
            <w:noWrap/>
            <w:vAlign w:val="center"/>
            <w:hideMark/>
          </w:tcPr>
          <w:p w14:paraId="7E80A197" w14:textId="77777777" w:rsidR="00416D67" w:rsidRPr="00416D67" w:rsidRDefault="00416D67" w:rsidP="00416D67">
            <w:pPr>
              <w:jc w:val="right"/>
              <w:rPr>
                <w:b/>
                <w:bCs/>
                <w:color w:val="000000"/>
                <w:sz w:val="16"/>
                <w:szCs w:val="16"/>
              </w:rPr>
            </w:pPr>
            <w:r w:rsidRPr="00416D67">
              <w:rPr>
                <w:b/>
                <w:bCs/>
                <w:color w:val="000000"/>
                <w:sz w:val="16"/>
                <w:szCs w:val="16"/>
              </w:rPr>
              <w:t>0</w:t>
            </w:r>
          </w:p>
        </w:tc>
        <w:tc>
          <w:tcPr>
            <w:tcW w:w="1180" w:type="dxa"/>
            <w:tcBorders>
              <w:top w:val="nil"/>
              <w:left w:val="nil"/>
              <w:bottom w:val="single" w:sz="4" w:space="0" w:color="auto"/>
              <w:right w:val="single" w:sz="4" w:space="0" w:color="auto"/>
            </w:tcBorders>
            <w:noWrap/>
            <w:vAlign w:val="center"/>
            <w:hideMark/>
          </w:tcPr>
          <w:p w14:paraId="27C41A03" w14:textId="77777777" w:rsidR="00416D67" w:rsidRPr="00416D67" w:rsidRDefault="00416D67" w:rsidP="00416D67">
            <w:pPr>
              <w:jc w:val="right"/>
              <w:rPr>
                <w:b/>
                <w:bCs/>
                <w:color w:val="000000"/>
                <w:sz w:val="16"/>
                <w:szCs w:val="16"/>
              </w:rPr>
            </w:pPr>
            <w:r w:rsidRPr="00416D67">
              <w:rPr>
                <w:b/>
                <w:bCs/>
                <w:color w:val="000000"/>
                <w:sz w:val="16"/>
                <w:szCs w:val="16"/>
              </w:rPr>
              <w:t>54.184,71</w:t>
            </w:r>
          </w:p>
        </w:tc>
      </w:tr>
      <w:tr w:rsidR="00416D67" w:rsidRPr="00416D67" w14:paraId="36938BF2"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4E5AC36D" w14:textId="77777777" w:rsidR="00416D67" w:rsidRPr="00416D67" w:rsidRDefault="00416D67" w:rsidP="00416D67">
            <w:pPr>
              <w:rPr>
                <w:b/>
                <w:bCs/>
                <w:color w:val="000000"/>
                <w:sz w:val="16"/>
                <w:szCs w:val="16"/>
              </w:rPr>
            </w:pPr>
            <w:r w:rsidRPr="00416D67">
              <w:rPr>
                <w:b/>
                <w:bCs/>
                <w:color w:val="000000"/>
                <w:sz w:val="16"/>
                <w:szCs w:val="16"/>
              </w:rPr>
              <w:t>24</w:t>
            </w:r>
          </w:p>
        </w:tc>
        <w:tc>
          <w:tcPr>
            <w:tcW w:w="4956" w:type="dxa"/>
            <w:tcBorders>
              <w:top w:val="nil"/>
              <w:left w:val="nil"/>
              <w:bottom w:val="single" w:sz="4" w:space="0" w:color="auto"/>
              <w:right w:val="single" w:sz="4" w:space="0" w:color="auto"/>
            </w:tcBorders>
            <w:vAlign w:val="center"/>
            <w:hideMark/>
          </w:tcPr>
          <w:p w14:paraId="0B0808D7" w14:textId="77777777" w:rsidR="00416D67" w:rsidRPr="00416D67" w:rsidRDefault="00416D67" w:rsidP="00416D67">
            <w:pPr>
              <w:rPr>
                <w:b/>
                <w:bCs/>
                <w:color w:val="000000"/>
                <w:sz w:val="16"/>
                <w:szCs w:val="16"/>
              </w:rPr>
            </w:pPr>
            <w:r w:rsidRPr="00416D67">
              <w:rPr>
                <w:b/>
                <w:bCs/>
                <w:color w:val="000000"/>
                <w:sz w:val="16"/>
                <w:szCs w:val="16"/>
              </w:rPr>
              <w:t>Obveze za nabavu nefinancijske imovine</w:t>
            </w:r>
          </w:p>
        </w:tc>
        <w:tc>
          <w:tcPr>
            <w:tcW w:w="1060" w:type="dxa"/>
            <w:tcBorders>
              <w:top w:val="nil"/>
              <w:left w:val="nil"/>
              <w:bottom w:val="single" w:sz="4" w:space="0" w:color="auto"/>
              <w:right w:val="single" w:sz="4" w:space="0" w:color="auto"/>
            </w:tcBorders>
            <w:noWrap/>
            <w:vAlign w:val="center"/>
            <w:hideMark/>
          </w:tcPr>
          <w:p w14:paraId="4E47C438" w14:textId="77777777" w:rsidR="00416D67" w:rsidRPr="00416D67" w:rsidRDefault="00416D67" w:rsidP="00416D67">
            <w:pPr>
              <w:jc w:val="right"/>
              <w:rPr>
                <w:b/>
                <w:bCs/>
                <w:color w:val="000000"/>
                <w:sz w:val="16"/>
                <w:szCs w:val="16"/>
              </w:rPr>
            </w:pPr>
            <w:r w:rsidRPr="00416D67">
              <w:rPr>
                <w:b/>
                <w:bCs/>
                <w:color w:val="000000"/>
                <w:sz w:val="16"/>
                <w:szCs w:val="16"/>
              </w:rPr>
              <w:t>103.015,87</w:t>
            </w:r>
          </w:p>
        </w:tc>
        <w:tc>
          <w:tcPr>
            <w:tcW w:w="960" w:type="dxa"/>
            <w:tcBorders>
              <w:top w:val="nil"/>
              <w:left w:val="nil"/>
              <w:bottom w:val="single" w:sz="4" w:space="0" w:color="auto"/>
              <w:right w:val="single" w:sz="4" w:space="0" w:color="auto"/>
            </w:tcBorders>
            <w:noWrap/>
            <w:vAlign w:val="center"/>
            <w:hideMark/>
          </w:tcPr>
          <w:p w14:paraId="323F8750" w14:textId="77777777" w:rsidR="00416D67" w:rsidRPr="00416D67" w:rsidRDefault="00416D67" w:rsidP="00416D67">
            <w:pPr>
              <w:jc w:val="right"/>
              <w:rPr>
                <w:b/>
                <w:bCs/>
                <w:color w:val="000000"/>
                <w:sz w:val="16"/>
                <w:szCs w:val="16"/>
              </w:rPr>
            </w:pPr>
            <w:r w:rsidRPr="00416D67">
              <w:rPr>
                <w:b/>
                <w:bCs/>
                <w:color w:val="000000"/>
                <w:sz w:val="16"/>
                <w:szCs w:val="16"/>
              </w:rPr>
              <w:t>0</w:t>
            </w:r>
          </w:p>
        </w:tc>
        <w:tc>
          <w:tcPr>
            <w:tcW w:w="1180" w:type="dxa"/>
            <w:tcBorders>
              <w:top w:val="nil"/>
              <w:left w:val="nil"/>
              <w:bottom w:val="single" w:sz="4" w:space="0" w:color="auto"/>
              <w:right w:val="single" w:sz="4" w:space="0" w:color="auto"/>
            </w:tcBorders>
            <w:noWrap/>
            <w:vAlign w:val="center"/>
            <w:hideMark/>
          </w:tcPr>
          <w:p w14:paraId="4A36E247" w14:textId="77777777" w:rsidR="00416D67" w:rsidRPr="00416D67" w:rsidRDefault="00416D67" w:rsidP="00416D67">
            <w:pPr>
              <w:jc w:val="right"/>
              <w:rPr>
                <w:b/>
                <w:bCs/>
                <w:color w:val="000000"/>
                <w:sz w:val="16"/>
                <w:szCs w:val="16"/>
              </w:rPr>
            </w:pPr>
            <w:r w:rsidRPr="00416D67">
              <w:rPr>
                <w:b/>
                <w:bCs/>
                <w:color w:val="000000"/>
                <w:sz w:val="16"/>
                <w:szCs w:val="16"/>
              </w:rPr>
              <w:t>103.015,87</w:t>
            </w:r>
          </w:p>
        </w:tc>
      </w:tr>
      <w:tr w:rsidR="00416D67" w:rsidRPr="00416D67" w14:paraId="49F55F1F" w14:textId="77777777" w:rsidTr="00BB1392">
        <w:trPr>
          <w:trHeight w:val="450"/>
        </w:trPr>
        <w:tc>
          <w:tcPr>
            <w:tcW w:w="1135" w:type="dxa"/>
            <w:tcBorders>
              <w:top w:val="nil"/>
              <w:left w:val="single" w:sz="4" w:space="0" w:color="auto"/>
              <w:bottom w:val="single" w:sz="4" w:space="0" w:color="auto"/>
              <w:right w:val="single" w:sz="4" w:space="0" w:color="auto"/>
            </w:tcBorders>
            <w:noWrap/>
            <w:vAlign w:val="center"/>
            <w:hideMark/>
          </w:tcPr>
          <w:p w14:paraId="556C87B2" w14:textId="77777777" w:rsidR="00416D67" w:rsidRPr="00416D67" w:rsidRDefault="00416D67" w:rsidP="00416D67">
            <w:pPr>
              <w:rPr>
                <w:color w:val="000000"/>
                <w:sz w:val="16"/>
                <w:szCs w:val="16"/>
              </w:rPr>
            </w:pPr>
            <w:r w:rsidRPr="00416D67">
              <w:rPr>
                <w:color w:val="000000"/>
                <w:sz w:val="16"/>
                <w:szCs w:val="16"/>
              </w:rPr>
              <w:t>2643</w:t>
            </w:r>
          </w:p>
        </w:tc>
        <w:tc>
          <w:tcPr>
            <w:tcW w:w="4956" w:type="dxa"/>
            <w:tcBorders>
              <w:top w:val="nil"/>
              <w:left w:val="nil"/>
              <w:bottom w:val="single" w:sz="4" w:space="0" w:color="auto"/>
              <w:right w:val="single" w:sz="4" w:space="0" w:color="auto"/>
            </w:tcBorders>
            <w:vAlign w:val="center"/>
            <w:hideMark/>
          </w:tcPr>
          <w:p w14:paraId="3F9EAE20" w14:textId="77777777" w:rsidR="00416D67" w:rsidRPr="00416D67" w:rsidRDefault="00416D67" w:rsidP="00416D67">
            <w:pPr>
              <w:rPr>
                <w:color w:val="000000"/>
                <w:sz w:val="16"/>
                <w:szCs w:val="16"/>
              </w:rPr>
            </w:pPr>
            <w:r w:rsidRPr="00416D67">
              <w:rPr>
                <w:color w:val="000000"/>
                <w:sz w:val="16"/>
                <w:szCs w:val="16"/>
              </w:rPr>
              <w:t>Obveze za kredite od tuzemnih kreditnih institucija izvan javnog sektora</w:t>
            </w:r>
          </w:p>
        </w:tc>
        <w:tc>
          <w:tcPr>
            <w:tcW w:w="1060" w:type="dxa"/>
            <w:tcBorders>
              <w:top w:val="nil"/>
              <w:left w:val="nil"/>
              <w:bottom w:val="single" w:sz="4" w:space="0" w:color="auto"/>
              <w:right w:val="single" w:sz="4" w:space="0" w:color="auto"/>
            </w:tcBorders>
            <w:noWrap/>
            <w:vAlign w:val="center"/>
            <w:hideMark/>
          </w:tcPr>
          <w:p w14:paraId="458AE222" w14:textId="77777777" w:rsidR="00416D67" w:rsidRPr="00416D67" w:rsidRDefault="00416D67" w:rsidP="00416D67">
            <w:pPr>
              <w:jc w:val="right"/>
              <w:rPr>
                <w:color w:val="000000"/>
                <w:sz w:val="16"/>
                <w:szCs w:val="16"/>
              </w:rPr>
            </w:pPr>
            <w:r w:rsidRPr="00416D67">
              <w:rPr>
                <w:color w:val="000000"/>
                <w:sz w:val="16"/>
                <w:szCs w:val="16"/>
              </w:rPr>
              <w:t>255.956,58</w:t>
            </w:r>
          </w:p>
        </w:tc>
        <w:tc>
          <w:tcPr>
            <w:tcW w:w="960" w:type="dxa"/>
            <w:tcBorders>
              <w:top w:val="nil"/>
              <w:left w:val="nil"/>
              <w:bottom w:val="single" w:sz="4" w:space="0" w:color="auto"/>
              <w:right w:val="single" w:sz="4" w:space="0" w:color="auto"/>
            </w:tcBorders>
            <w:noWrap/>
            <w:vAlign w:val="center"/>
            <w:hideMark/>
          </w:tcPr>
          <w:p w14:paraId="7C120A64"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5B258893" w14:textId="77777777" w:rsidR="00416D67" w:rsidRPr="00416D67" w:rsidRDefault="00416D67" w:rsidP="00416D67">
            <w:pPr>
              <w:jc w:val="right"/>
              <w:rPr>
                <w:color w:val="000000"/>
                <w:sz w:val="16"/>
                <w:szCs w:val="16"/>
              </w:rPr>
            </w:pPr>
            <w:r w:rsidRPr="00416D67">
              <w:rPr>
                <w:color w:val="000000"/>
                <w:sz w:val="16"/>
                <w:szCs w:val="16"/>
              </w:rPr>
              <w:t>255.956,58</w:t>
            </w:r>
          </w:p>
        </w:tc>
      </w:tr>
      <w:tr w:rsidR="00416D67" w:rsidRPr="00416D67" w14:paraId="092D9C47" w14:textId="77777777" w:rsidTr="00BB1392">
        <w:trPr>
          <w:trHeight w:val="420"/>
        </w:trPr>
        <w:tc>
          <w:tcPr>
            <w:tcW w:w="1135" w:type="dxa"/>
            <w:tcBorders>
              <w:top w:val="nil"/>
              <w:left w:val="single" w:sz="4" w:space="0" w:color="auto"/>
              <w:bottom w:val="single" w:sz="4" w:space="0" w:color="auto"/>
              <w:right w:val="single" w:sz="4" w:space="0" w:color="auto"/>
            </w:tcBorders>
            <w:noWrap/>
            <w:vAlign w:val="center"/>
            <w:hideMark/>
          </w:tcPr>
          <w:p w14:paraId="654EFB6E" w14:textId="77777777" w:rsidR="00416D67" w:rsidRPr="00416D67" w:rsidRDefault="00416D67" w:rsidP="00416D67">
            <w:pPr>
              <w:rPr>
                <w:b/>
                <w:bCs/>
                <w:color w:val="000000"/>
                <w:sz w:val="16"/>
                <w:szCs w:val="16"/>
              </w:rPr>
            </w:pPr>
            <w:r w:rsidRPr="00416D67">
              <w:rPr>
                <w:b/>
                <w:bCs/>
                <w:color w:val="000000"/>
                <w:sz w:val="16"/>
                <w:szCs w:val="16"/>
              </w:rPr>
              <w:t>264</w:t>
            </w:r>
          </w:p>
        </w:tc>
        <w:tc>
          <w:tcPr>
            <w:tcW w:w="4956" w:type="dxa"/>
            <w:tcBorders>
              <w:top w:val="nil"/>
              <w:left w:val="nil"/>
              <w:bottom w:val="single" w:sz="4" w:space="0" w:color="auto"/>
              <w:right w:val="single" w:sz="4" w:space="0" w:color="auto"/>
            </w:tcBorders>
            <w:vAlign w:val="center"/>
            <w:hideMark/>
          </w:tcPr>
          <w:p w14:paraId="22109CA1" w14:textId="77777777" w:rsidR="00416D67" w:rsidRPr="00416D67" w:rsidRDefault="00416D67" w:rsidP="00416D67">
            <w:pPr>
              <w:rPr>
                <w:b/>
                <w:bCs/>
                <w:color w:val="000000"/>
                <w:sz w:val="16"/>
                <w:szCs w:val="16"/>
              </w:rPr>
            </w:pPr>
            <w:r w:rsidRPr="00416D67">
              <w:rPr>
                <w:b/>
                <w:bCs/>
                <w:color w:val="000000"/>
                <w:sz w:val="16"/>
                <w:szCs w:val="16"/>
              </w:rPr>
              <w:t>Obveze za kredite i zajmove od kreditnih i ostalih financijskih institucija izvan javnog sektora</w:t>
            </w:r>
          </w:p>
        </w:tc>
        <w:tc>
          <w:tcPr>
            <w:tcW w:w="1060" w:type="dxa"/>
            <w:tcBorders>
              <w:top w:val="nil"/>
              <w:left w:val="nil"/>
              <w:bottom w:val="single" w:sz="4" w:space="0" w:color="auto"/>
              <w:right w:val="single" w:sz="4" w:space="0" w:color="auto"/>
            </w:tcBorders>
            <w:noWrap/>
            <w:vAlign w:val="center"/>
            <w:hideMark/>
          </w:tcPr>
          <w:p w14:paraId="72559504" w14:textId="77777777" w:rsidR="00416D67" w:rsidRPr="00416D67" w:rsidRDefault="00416D67" w:rsidP="00416D67">
            <w:pPr>
              <w:jc w:val="right"/>
              <w:rPr>
                <w:b/>
                <w:bCs/>
                <w:color w:val="000000"/>
                <w:sz w:val="16"/>
                <w:szCs w:val="16"/>
              </w:rPr>
            </w:pPr>
            <w:r w:rsidRPr="00416D67">
              <w:rPr>
                <w:b/>
                <w:bCs/>
                <w:color w:val="000000"/>
                <w:sz w:val="16"/>
                <w:szCs w:val="16"/>
              </w:rPr>
              <w:t>255.956,58</w:t>
            </w:r>
          </w:p>
        </w:tc>
        <w:tc>
          <w:tcPr>
            <w:tcW w:w="960" w:type="dxa"/>
            <w:tcBorders>
              <w:top w:val="nil"/>
              <w:left w:val="nil"/>
              <w:bottom w:val="single" w:sz="4" w:space="0" w:color="auto"/>
              <w:right w:val="single" w:sz="4" w:space="0" w:color="auto"/>
            </w:tcBorders>
            <w:noWrap/>
            <w:vAlign w:val="center"/>
            <w:hideMark/>
          </w:tcPr>
          <w:p w14:paraId="5842B410" w14:textId="77777777" w:rsidR="00416D67" w:rsidRPr="00416D67" w:rsidRDefault="00416D67" w:rsidP="00416D67">
            <w:pPr>
              <w:jc w:val="right"/>
              <w:rPr>
                <w:b/>
                <w:bCs/>
                <w:color w:val="000000"/>
                <w:sz w:val="16"/>
                <w:szCs w:val="16"/>
              </w:rPr>
            </w:pPr>
            <w:r w:rsidRPr="00416D67">
              <w:rPr>
                <w:b/>
                <w:bCs/>
                <w:color w:val="000000"/>
                <w:sz w:val="16"/>
                <w:szCs w:val="16"/>
              </w:rPr>
              <w:t>0</w:t>
            </w:r>
          </w:p>
        </w:tc>
        <w:tc>
          <w:tcPr>
            <w:tcW w:w="1180" w:type="dxa"/>
            <w:tcBorders>
              <w:top w:val="nil"/>
              <w:left w:val="nil"/>
              <w:bottom w:val="single" w:sz="4" w:space="0" w:color="auto"/>
              <w:right w:val="single" w:sz="4" w:space="0" w:color="auto"/>
            </w:tcBorders>
            <w:noWrap/>
            <w:vAlign w:val="center"/>
            <w:hideMark/>
          </w:tcPr>
          <w:p w14:paraId="12029C29" w14:textId="77777777" w:rsidR="00416D67" w:rsidRPr="00416D67" w:rsidRDefault="00416D67" w:rsidP="00416D67">
            <w:pPr>
              <w:jc w:val="right"/>
              <w:rPr>
                <w:b/>
                <w:bCs/>
                <w:color w:val="000000"/>
                <w:sz w:val="16"/>
                <w:szCs w:val="16"/>
              </w:rPr>
            </w:pPr>
            <w:r w:rsidRPr="00416D67">
              <w:rPr>
                <w:b/>
                <w:bCs/>
                <w:color w:val="000000"/>
                <w:sz w:val="16"/>
                <w:szCs w:val="16"/>
              </w:rPr>
              <w:t>255.956,58</w:t>
            </w:r>
          </w:p>
        </w:tc>
      </w:tr>
      <w:tr w:rsidR="00416D67" w:rsidRPr="00416D67" w14:paraId="650896CB"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35D0F8EE" w14:textId="77777777" w:rsidR="00416D67" w:rsidRPr="00416D67" w:rsidRDefault="00416D67" w:rsidP="00416D67">
            <w:pPr>
              <w:rPr>
                <w:b/>
                <w:bCs/>
                <w:color w:val="000000"/>
                <w:sz w:val="16"/>
                <w:szCs w:val="16"/>
              </w:rPr>
            </w:pPr>
            <w:r w:rsidRPr="00416D67">
              <w:rPr>
                <w:b/>
                <w:bCs/>
                <w:color w:val="000000"/>
                <w:sz w:val="16"/>
                <w:szCs w:val="16"/>
              </w:rPr>
              <w:t>26</w:t>
            </w:r>
          </w:p>
        </w:tc>
        <w:tc>
          <w:tcPr>
            <w:tcW w:w="4956" w:type="dxa"/>
            <w:tcBorders>
              <w:top w:val="nil"/>
              <w:left w:val="nil"/>
              <w:bottom w:val="single" w:sz="4" w:space="0" w:color="auto"/>
              <w:right w:val="single" w:sz="4" w:space="0" w:color="auto"/>
            </w:tcBorders>
            <w:vAlign w:val="center"/>
            <w:hideMark/>
          </w:tcPr>
          <w:p w14:paraId="2CEA9196" w14:textId="77777777" w:rsidR="00416D67" w:rsidRPr="00416D67" w:rsidRDefault="00416D67" w:rsidP="00416D67">
            <w:pPr>
              <w:rPr>
                <w:b/>
                <w:bCs/>
                <w:color w:val="000000"/>
                <w:sz w:val="16"/>
                <w:szCs w:val="16"/>
              </w:rPr>
            </w:pPr>
            <w:r w:rsidRPr="00416D67">
              <w:rPr>
                <w:b/>
                <w:bCs/>
                <w:color w:val="000000"/>
                <w:sz w:val="16"/>
                <w:szCs w:val="16"/>
              </w:rPr>
              <w:t>Obveze za kredite i zajmove</w:t>
            </w:r>
          </w:p>
        </w:tc>
        <w:tc>
          <w:tcPr>
            <w:tcW w:w="1060" w:type="dxa"/>
            <w:tcBorders>
              <w:top w:val="nil"/>
              <w:left w:val="nil"/>
              <w:bottom w:val="single" w:sz="4" w:space="0" w:color="auto"/>
              <w:right w:val="single" w:sz="4" w:space="0" w:color="auto"/>
            </w:tcBorders>
            <w:noWrap/>
            <w:vAlign w:val="center"/>
            <w:hideMark/>
          </w:tcPr>
          <w:p w14:paraId="3DDFFA23" w14:textId="77777777" w:rsidR="00416D67" w:rsidRPr="00416D67" w:rsidRDefault="00416D67" w:rsidP="00416D67">
            <w:pPr>
              <w:jc w:val="right"/>
              <w:rPr>
                <w:b/>
                <w:bCs/>
                <w:color w:val="000000"/>
                <w:sz w:val="16"/>
                <w:szCs w:val="16"/>
              </w:rPr>
            </w:pPr>
            <w:r w:rsidRPr="00416D67">
              <w:rPr>
                <w:b/>
                <w:bCs/>
                <w:color w:val="000000"/>
                <w:sz w:val="16"/>
                <w:szCs w:val="16"/>
              </w:rPr>
              <w:t>255.956,58</w:t>
            </w:r>
          </w:p>
        </w:tc>
        <w:tc>
          <w:tcPr>
            <w:tcW w:w="960" w:type="dxa"/>
            <w:tcBorders>
              <w:top w:val="nil"/>
              <w:left w:val="nil"/>
              <w:bottom w:val="single" w:sz="4" w:space="0" w:color="auto"/>
              <w:right w:val="single" w:sz="4" w:space="0" w:color="auto"/>
            </w:tcBorders>
            <w:noWrap/>
            <w:vAlign w:val="center"/>
            <w:hideMark/>
          </w:tcPr>
          <w:p w14:paraId="548BF7F7" w14:textId="77777777" w:rsidR="00416D67" w:rsidRPr="00416D67" w:rsidRDefault="00416D67" w:rsidP="00416D67">
            <w:pPr>
              <w:jc w:val="right"/>
              <w:rPr>
                <w:b/>
                <w:bCs/>
                <w:color w:val="000000"/>
                <w:sz w:val="16"/>
                <w:szCs w:val="16"/>
              </w:rPr>
            </w:pPr>
            <w:r w:rsidRPr="00416D67">
              <w:rPr>
                <w:b/>
                <w:bCs/>
                <w:color w:val="000000"/>
                <w:sz w:val="16"/>
                <w:szCs w:val="16"/>
              </w:rPr>
              <w:t>0</w:t>
            </w:r>
          </w:p>
        </w:tc>
        <w:tc>
          <w:tcPr>
            <w:tcW w:w="1180" w:type="dxa"/>
            <w:tcBorders>
              <w:top w:val="nil"/>
              <w:left w:val="nil"/>
              <w:bottom w:val="single" w:sz="4" w:space="0" w:color="auto"/>
              <w:right w:val="single" w:sz="4" w:space="0" w:color="auto"/>
            </w:tcBorders>
            <w:noWrap/>
            <w:vAlign w:val="center"/>
            <w:hideMark/>
          </w:tcPr>
          <w:p w14:paraId="18B4A41C" w14:textId="77777777" w:rsidR="00416D67" w:rsidRPr="00416D67" w:rsidRDefault="00416D67" w:rsidP="00416D67">
            <w:pPr>
              <w:jc w:val="right"/>
              <w:rPr>
                <w:b/>
                <w:bCs/>
                <w:color w:val="000000"/>
                <w:sz w:val="16"/>
                <w:szCs w:val="16"/>
              </w:rPr>
            </w:pPr>
            <w:r w:rsidRPr="00416D67">
              <w:rPr>
                <w:b/>
                <w:bCs/>
                <w:color w:val="000000"/>
                <w:sz w:val="16"/>
                <w:szCs w:val="16"/>
              </w:rPr>
              <w:t>255.956,58</w:t>
            </w:r>
          </w:p>
        </w:tc>
      </w:tr>
      <w:tr w:rsidR="00416D67" w:rsidRPr="00416D67" w14:paraId="5C8D0F4D"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158DD4AC" w14:textId="77777777" w:rsidR="00416D67" w:rsidRPr="00416D67" w:rsidRDefault="00416D67" w:rsidP="00416D67">
            <w:pPr>
              <w:rPr>
                <w:color w:val="000000"/>
                <w:sz w:val="16"/>
                <w:szCs w:val="16"/>
              </w:rPr>
            </w:pPr>
            <w:r w:rsidRPr="00416D67">
              <w:rPr>
                <w:color w:val="000000"/>
                <w:sz w:val="16"/>
                <w:szCs w:val="16"/>
              </w:rPr>
              <w:t>2731</w:t>
            </w:r>
          </w:p>
        </w:tc>
        <w:tc>
          <w:tcPr>
            <w:tcW w:w="4956" w:type="dxa"/>
            <w:tcBorders>
              <w:top w:val="nil"/>
              <w:left w:val="nil"/>
              <w:bottom w:val="single" w:sz="4" w:space="0" w:color="auto"/>
              <w:right w:val="single" w:sz="4" w:space="0" w:color="auto"/>
            </w:tcBorders>
            <w:vAlign w:val="center"/>
            <w:hideMark/>
          </w:tcPr>
          <w:p w14:paraId="7D2485AD" w14:textId="77777777" w:rsidR="00416D67" w:rsidRPr="00416D67" w:rsidRDefault="00416D67" w:rsidP="00416D67">
            <w:pPr>
              <w:rPr>
                <w:color w:val="000000"/>
                <w:sz w:val="16"/>
                <w:szCs w:val="16"/>
              </w:rPr>
            </w:pPr>
            <w:r w:rsidRPr="00416D67">
              <w:rPr>
                <w:color w:val="000000"/>
                <w:sz w:val="16"/>
                <w:szCs w:val="16"/>
              </w:rPr>
              <w:t>Obveze za naplaćene tuđe prihode</w:t>
            </w:r>
          </w:p>
        </w:tc>
        <w:tc>
          <w:tcPr>
            <w:tcW w:w="1060" w:type="dxa"/>
            <w:tcBorders>
              <w:top w:val="nil"/>
              <w:left w:val="nil"/>
              <w:bottom w:val="single" w:sz="4" w:space="0" w:color="auto"/>
              <w:right w:val="single" w:sz="4" w:space="0" w:color="auto"/>
            </w:tcBorders>
            <w:noWrap/>
            <w:vAlign w:val="center"/>
            <w:hideMark/>
          </w:tcPr>
          <w:p w14:paraId="7D292AB7" w14:textId="77777777" w:rsidR="00416D67" w:rsidRPr="00416D67" w:rsidRDefault="00416D67" w:rsidP="00416D67">
            <w:pPr>
              <w:jc w:val="right"/>
              <w:rPr>
                <w:color w:val="000000"/>
                <w:sz w:val="16"/>
                <w:szCs w:val="16"/>
              </w:rPr>
            </w:pPr>
            <w:r w:rsidRPr="00416D67">
              <w:rPr>
                <w:color w:val="000000"/>
                <w:sz w:val="16"/>
                <w:szCs w:val="16"/>
              </w:rPr>
              <w:t>61.225,25</w:t>
            </w:r>
          </w:p>
        </w:tc>
        <w:tc>
          <w:tcPr>
            <w:tcW w:w="960" w:type="dxa"/>
            <w:tcBorders>
              <w:top w:val="nil"/>
              <w:left w:val="nil"/>
              <w:bottom w:val="single" w:sz="4" w:space="0" w:color="auto"/>
              <w:right w:val="single" w:sz="4" w:space="0" w:color="auto"/>
            </w:tcBorders>
            <w:noWrap/>
            <w:vAlign w:val="center"/>
            <w:hideMark/>
          </w:tcPr>
          <w:p w14:paraId="2F58ABD6"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77C5063B" w14:textId="77777777" w:rsidR="00416D67" w:rsidRPr="00416D67" w:rsidRDefault="00416D67" w:rsidP="00416D67">
            <w:pPr>
              <w:jc w:val="right"/>
              <w:rPr>
                <w:color w:val="000000"/>
                <w:sz w:val="16"/>
                <w:szCs w:val="16"/>
              </w:rPr>
            </w:pPr>
            <w:r w:rsidRPr="00416D67">
              <w:rPr>
                <w:color w:val="000000"/>
                <w:sz w:val="16"/>
                <w:szCs w:val="16"/>
              </w:rPr>
              <w:t>61.225,25</w:t>
            </w:r>
          </w:p>
        </w:tc>
      </w:tr>
      <w:tr w:rsidR="00416D67" w:rsidRPr="00416D67" w14:paraId="2150D917"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2A90DF35" w14:textId="77777777" w:rsidR="00416D67" w:rsidRPr="00416D67" w:rsidRDefault="00416D67" w:rsidP="00416D67">
            <w:pPr>
              <w:rPr>
                <w:b/>
                <w:bCs/>
                <w:color w:val="000000"/>
                <w:sz w:val="16"/>
                <w:szCs w:val="16"/>
              </w:rPr>
            </w:pPr>
            <w:r w:rsidRPr="00416D67">
              <w:rPr>
                <w:b/>
                <w:bCs/>
                <w:color w:val="000000"/>
                <w:sz w:val="16"/>
                <w:szCs w:val="16"/>
              </w:rPr>
              <w:t>273</w:t>
            </w:r>
          </w:p>
        </w:tc>
        <w:tc>
          <w:tcPr>
            <w:tcW w:w="4956" w:type="dxa"/>
            <w:tcBorders>
              <w:top w:val="nil"/>
              <w:left w:val="nil"/>
              <w:bottom w:val="single" w:sz="4" w:space="0" w:color="auto"/>
              <w:right w:val="single" w:sz="4" w:space="0" w:color="auto"/>
            </w:tcBorders>
            <w:vAlign w:val="center"/>
            <w:hideMark/>
          </w:tcPr>
          <w:p w14:paraId="12CFACC1" w14:textId="77777777" w:rsidR="00416D67" w:rsidRPr="00416D67" w:rsidRDefault="00416D67" w:rsidP="00416D67">
            <w:pPr>
              <w:rPr>
                <w:b/>
                <w:bCs/>
                <w:color w:val="000000"/>
                <w:sz w:val="16"/>
                <w:szCs w:val="16"/>
              </w:rPr>
            </w:pPr>
            <w:r w:rsidRPr="00416D67">
              <w:rPr>
                <w:b/>
                <w:bCs/>
                <w:color w:val="000000"/>
                <w:sz w:val="16"/>
                <w:szCs w:val="16"/>
              </w:rPr>
              <w:t>Obveze za naplaćene tuđe prihode</w:t>
            </w:r>
          </w:p>
        </w:tc>
        <w:tc>
          <w:tcPr>
            <w:tcW w:w="1060" w:type="dxa"/>
            <w:tcBorders>
              <w:top w:val="nil"/>
              <w:left w:val="nil"/>
              <w:bottom w:val="single" w:sz="4" w:space="0" w:color="auto"/>
              <w:right w:val="single" w:sz="4" w:space="0" w:color="auto"/>
            </w:tcBorders>
            <w:noWrap/>
            <w:vAlign w:val="center"/>
            <w:hideMark/>
          </w:tcPr>
          <w:p w14:paraId="442319F1" w14:textId="77777777" w:rsidR="00416D67" w:rsidRPr="00416D67" w:rsidRDefault="00416D67" w:rsidP="00416D67">
            <w:pPr>
              <w:jc w:val="right"/>
              <w:rPr>
                <w:b/>
                <w:bCs/>
                <w:color w:val="000000"/>
                <w:sz w:val="16"/>
                <w:szCs w:val="16"/>
              </w:rPr>
            </w:pPr>
            <w:r w:rsidRPr="00416D67">
              <w:rPr>
                <w:b/>
                <w:bCs/>
                <w:color w:val="000000"/>
                <w:sz w:val="16"/>
                <w:szCs w:val="16"/>
              </w:rPr>
              <w:t>61.225,25</w:t>
            </w:r>
          </w:p>
        </w:tc>
        <w:tc>
          <w:tcPr>
            <w:tcW w:w="960" w:type="dxa"/>
            <w:tcBorders>
              <w:top w:val="nil"/>
              <w:left w:val="nil"/>
              <w:bottom w:val="single" w:sz="4" w:space="0" w:color="auto"/>
              <w:right w:val="single" w:sz="4" w:space="0" w:color="auto"/>
            </w:tcBorders>
            <w:noWrap/>
            <w:vAlign w:val="center"/>
            <w:hideMark/>
          </w:tcPr>
          <w:p w14:paraId="11A70460" w14:textId="77777777" w:rsidR="00416D67" w:rsidRPr="00416D67" w:rsidRDefault="00416D67" w:rsidP="00416D67">
            <w:pPr>
              <w:jc w:val="right"/>
              <w:rPr>
                <w:b/>
                <w:bCs/>
                <w:color w:val="000000"/>
                <w:sz w:val="16"/>
                <w:szCs w:val="16"/>
              </w:rPr>
            </w:pPr>
            <w:r w:rsidRPr="00416D67">
              <w:rPr>
                <w:b/>
                <w:bCs/>
                <w:color w:val="000000"/>
                <w:sz w:val="16"/>
                <w:szCs w:val="16"/>
              </w:rPr>
              <w:t>0</w:t>
            </w:r>
          </w:p>
        </w:tc>
        <w:tc>
          <w:tcPr>
            <w:tcW w:w="1180" w:type="dxa"/>
            <w:tcBorders>
              <w:top w:val="nil"/>
              <w:left w:val="nil"/>
              <w:bottom w:val="single" w:sz="4" w:space="0" w:color="auto"/>
              <w:right w:val="single" w:sz="4" w:space="0" w:color="auto"/>
            </w:tcBorders>
            <w:noWrap/>
            <w:vAlign w:val="center"/>
            <w:hideMark/>
          </w:tcPr>
          <w:p w14:paraId="4F5F97D6" w14:textId="77777777" w:rsidR="00416D67" w:rsidRPr="00416D67" w:rsidRDefault="00416D67" w:rsidP="00416D67">
            <w:pPr>
              <w:jc w:val="right"/>
              <w:rPr>
                <w:b/>
                <w:bCs/>
                <w:color w:val="000000"/>
                <w:sz w:val="16"/>
                <w:szCs w:val="16"/>
              </w:rPr>
            </w:pPr>
            <w:r w:rsidRPr="00416D67">
              <w:rPr>
                <w:b/>
                <w:bCs/>
                <w:color w:val="000000"/>
                <w:sz w:val="16"/>
                <w:szCs w:val="16"/>
              </w:rPr>
              <w:t>61.225,25</w:t>
            </w:r>
          </w:p>
        </w:tc>
      </w:tr>
      <w:tr w:rsidR="00416D67" w:rsidRPr="00416D67" w14:paraId="3683A2B1" w14:textId="77777777" w:rsidTr="00BB1392">
        <w:trPr>
          <w:trHeight w:val="450"/>
        </w:trPr>
        <w:tc>
          <w:tcPr>
            <w:tcW w:w="1135" w:type="dxa"/>
            <w:tcBorders>
              <w:top w:val="nil"/>
              <w:left w:val="single" w:sz="4" w:space="0" w:color="auto"/>
              <w:bottom w:val="single" w:sz="4" w:space="0" w:color="auto"/>
              <w:right w:val="single" w:sz="4" w:space="0" w:color="auto"/>
            </w:tcBorders>
            <w:noWrap/>
            <w:vAlign w:val="center"/>
            <w:hideMark/>
          </w:tcPr>
          <w:p w14:paraId="35A513DC" w14:textId="77777777" w:rsidR="00416D67" w:rsidRPr="00416D67" w:rsidRDefault="00416D67" w:rsidP="00416D67">
            <w:pPr>
              <w:rPr>
                <w:color w:val="000000"/>
                <w:sz w:val="16"/>
                <w:szCs w:val="16"/>
              </w:rPr>
            </w:pPr>
            <w:r w:rsidRPr="00416D67">
              <w:rPr>
                <w:color w:val="000000"/>
                <w:sz w:val="16"/>
                <w:szCs w:val="16"/>
              </w:rPr>
              <w:t>2741</w:t>
            </w:r>
          </w:p>
        </w:tc>
        <w:tc>
          <w:tcPr>
            <w:tcW w:w="4956" w:type="dxa"/>
            <w:tcBorders>
              <w:top w:val="nil"/>
              <w:left w:val="nil"/>
              <w:bottom w:val="single" w:sz="4" w:space="0" w:color="auto"/>
              <w:right w:val="single" w:sz="4" w:space="0" w:color="auto"/>
            </w:tcBorders>
            <w:vAlign w:val="center"/>
            <w:hideMark/>
          </w:tcPr>
          <w:p w14:paraId="18F7A3DC" w14:textId="77777777" w:rsidR="00416D67" w:rsidRPr="00416D67" w:rsidRDefault="00416D67" w:rsidP="00416D67">
            <w:pPr>
              <w:rPr>
                <w:color w:val="000000"/>
                <w:sz w:val="16"/>
                <w:szCs w:val="16"/>
              </w:rPr>
            </w:pPr>
            <w:r w:rsidRPr="00416D67">
              <w:rPr>
                <w:color w:val="000000"/>
                <w:sz w:val="16"/>
                <w:szCs w:val="16"/>
              </w:rPr>
              <w:t>Obveze proračuna za naplaćena sredstva proračunskog korisnika</w:t>
            </w:r>
          </w:p>
        </w:tc>
        <w:tc>
          <w:tcPr>
            <w:tcW w:w="1060" w:type="dxa"/>
            <w:tcBorders>
              <w:top w:val="nil"/>
              <w:left w:val="nil"/>
              <w:bottom w:val="single" w:sz="4" w:space="0" w:color="auto"/>
              <w:right w:val="single" w:sz="4" w:space="0" w:color="auto"/>
            </w:tcBorders>
            <w:noWrap/>
            <w:vAlign w:val="center"/>
            <w:hideMark/>
          </w:tcPr>
          <w:p w14:paraId="6F55E697" w14:textId="77777777" w:rsidR="00416D67" w:rsidRPr="00416D67" w:rsidRDefault="00416D67" w:rsidP="00416D67">
            <w:pPr>
              <w:jc w:val="right"/>
              <w:rPr>
                <w:color w:val="000000"/>
                <w:sz w:val="16"/>
                <w:szCs w:val="16"/>
              </w:rPr>
            </w:pPr>
            <w:r w:rsidRPr="00416D67">
              <w:rPr>
                <w:color w:val="000000"/>
                <w:sz w:val="16"/>
                <w:szCs w:val="16"/>
              </w:rPr>
              <w:t>62.944,00</w:t>
            </w:r>
          </w:p>
        </w:tc>
        <w:tc>
          <w:tcPr>
            <w:tcW w:w="960" w:type="dxa"/>
            <w:tcBorders>
              <w:top w:val="nil"/>
              <w:left w:val="nil"/>
              <w:bottom w:val="single" w:sz="4" w:space="0" w:color="auto"/>
              <w:right w:val="single" w:sz="4" w:space="0" w:color="auto"/>
            </w:tcBorders>
            <w:noWrap/>
            <w:vAlign w:val="center"/>
            <w:hideMark/>
          </w:tcPr>
          <w:p w14:paraId="4D7C2D7C"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2FE9C6FD" w14:textId="77777777" w:rsidR="00416D67" w:rsidRPr="00416D67" w:rsidRDefault="00416D67" w:rsidP="00416D67">
            <w:pPr>
              <w:jc w:val="right"/>
              <w:rPr>
                <w:color w:val="000000"/>
                <w:sz w:val="16"/>
                <w:szCs w:val="16"/>
              </w:rPr>
            </w:pPr>
            <w:r w:rsidRPr="00416D67">
              <w:rPr>
                <w:color w:val="000000"/>
                <w:sz w:val="16"/>
                <w:szCs w:val="16"/>
              </w:rPr>
              <w:t>62.944,00</w:t>
            </w:r>
          </w:p>
        </w:tc>
      </w:tr>
      <w:tr w:rsidR="00416D67" w:rsidRPr="00416D67" w14:paraId="349084F4" w14:textId="77777777" w:rsidTr="00BB1392">
        <w:trPr>
          <w:trHeight w:val="420"/>
        </w:trPr>
        <w:tc>
          <w:tcPr>
            <w:tcW w:w="1135" w:type="dxa"/>
            <w:tcBorders>
              <w:top w:val="nil"/>
              <w:left w:val="single" w:sz="4" w:space="0" w:color="auto"/>
              <w:bottom w:val="single" w:sz="4" w:space="0" w:color="auto"/>
              <w:right w:val="single" w:sz="4" w:space="0" w:color="auto"/>
            </w:tcBorders>
            <w:noWrap/>
            <w:vAlign w:val="center"/>
            <w:hideMark/>
          </w:tcPr>
          <w:p w14:paraId="73051E6A" w14:textId="77777777" w:rsidR="00416D67" w:rsidRPr="00416D67" w:rsidRDefault="00416D67" w:rsidP="00416D67">
            <w:pPr>
              <w:rPr>
                <w:b/>
                <w:bCs/>
                <w:color w:val="000000"/>
                <w:sz w:val="16"/>
                <w:szCs w:val="16"/>
              </w:rPr>
            </w:pPr>
            <w:r w:rsidRPr="00416D67">
              <w:rPr>
                <w:b/>
                <w:bCs/>
                <w:color w:val="000000"/>
                <w:sz w:val="16"/>
                <w:szCs w:val="16"/>
              </w:rPr>
              <w:t>274</w:t>
            </w:r>
          </w:p>
        </w:tc>
        <w:tc>
          <w:tcPr>
            <w:tcW w:w="4956" w:type="dxa"/>
            <w:tcBorders>
              <w:top w:val="nil"/>
              <w:left w:val="nil"/>
              <w:bottom w:val="single" w:sz="4" w:space="0" w:color="auto"/>
              <w:right w:val="single" w:sz="4" w:space="0" w:color="auto"/>
            </w:tcBorders>
            <w:vAlign w:val="center"/>
            <w:hideMark/>
          </w:tcPr>
          <w:p w14:paraId="266CB89A" w14:textId="77777777" w:rsidR="00416D67" w:rsidRPr="00416D67" w:rsidRDefault="00416D67" w:rsidP="00416D67">
            <w:pPr>
              <w:rPr>
                <w:b/>
                <w:bCs/>
                <w:color w:val="000000"/>
                <w:sz w:val="16"/>
                <w:szCs w:val="16"/>
              </w:rPr>
            </w:pPr>
            <w:r w:rsidRPr="00416D67">
              <w:rPr>
                <w:b/>
                <w:bCs/>
                <w:color w:val="000000"/>
                <w:sz w:val="16"/>
                <w:szCs w:val="16"/>
              </w:rPr>
              <w:t>Obveze proračuna za naplaćena sredstva proračunskog korisnika</w:t>
            </w:r>
          </w:p>
        </w:tc>
        <w:tc>
          <w:tcPr>
            <w:tcW w:w="1060" w:type="dxa"/>
            <w:tcBorders>
              <w:top w:val="nil"/>
              <w:left w:val="nil"/>
              <w:bottom w:val="single" w:sz="4" w:space="0" w:color="auto"/>
              <w:right w:val="single" w:sz="4" w:space="0" w:color="auto"/>
            </w:tcBorders>
            <w:noWrap/>
            <w:vAlign w:val="center"/>
            <w:hideMark/>
          </w:tcPr>
          <w:p w14:paraId="33F2BB98" w14:textId="77777777" w:rsidR="00416D67" w:rsidRPr="00416D67" w:rsidRDefault="00416D67" w:rsidP="00416D67">
            <w:pPr>
              <w:jc w:val="right"/>
              <w:rPr>
                <w:b/>
                <w:bCs/>
                <w:color w:val="000000"/>
                <w:sz w:val="16"/>
                <w:szCs w:val="16"/>
              </w:rPr>
            </w:pPr>
            <w:r w:rsidRPr="00416D67">
              <w:rPr>
                <w:b/>
                <w:bCs/>
                <w:color w:val="000000"/>
                <w:sz w:val="16"/>
                <w:szCs w:val="16"/>
              </w:rPr>
              <w:t>62.944,00</w:t>
            </w:r>
          </w:p>
        </w:tc>
        <w:tc>
          <w:tcPr>
            <w:tcW w:w="960" w:type="dxa"/>
            <w:tcBorders>
              <w:top w:val="nil"/>
              <w:left w:val="nil"/>
              <w:bottom w:val="single" w:sz="4" w:space="0" w:color="auto"/>
              <w:right w:val="single" w:sz="4" w:space="0" w:color="auto"/>
            </w:tcBorders>
            <w:noWrap/>
            <w:vAlign w:val="center"/>
            <w:hideMark/>
          </w:tcPr>
          <w:p w14:paraId="02139349" w14:textId="77777777" w:rsidR="00416D67" w:rsidRPr="00416D67" w:rsidRDefault="00416D67" w:rsidP="00416D67">
            <w:pPr>
              <w:jc w:val="right"/>
              <w:rPr>
                <w:b/>
                <w:bCs/>
                <w:color w:val="000000"/>
                <w:sz w:val="16"/>
                <w:szCs w:val="16"/>
              </w:rPr>
            </w:pPr>
            <w:r w:rsidRPr="00416D67">
              <w:rPr>
                <w:b/>
                <w:bCs/>
                <w:color w:val="000000"/>
                <w:sz w:val="16"/>
                <w:szCs w:val="16"/>
              </w:rPr>
              <w:t>0</w:t>
            </w:r>
          </w:p>
        </w:tc>
        <w:tc>
          <w:tcPr>
            <w:tcW w:w="1180" w:type="dxa"/>
            <w:tcBorders>
              <w:top w:val="nil"/>
              <w:left w:val="nil"/>
              <w:bottom w:val="single" w:sz="4" w:space="0" w:color="auto"/>
              <w:right w:val="single" w:sz="4" w:space="0" w:color="auto"/>
            </w:tcBorders>
            <w:noWrap/>
            <w:vAlign w:val="center"/>
            <w:hideMark/>
          </w:tcPr>
          <w:p w14:paraId="4405FB8F" w14:textId="77777777" w:rsidR="00416D67" w:rsidRPr="00416D67" w:rsidRDefault="00416D67" w:rsidP="00416D67">
            <w:pPr>
              <w:jc w:val="right"/>
              <w:rPr>
                <w:b/>
                <w:bCs/>
                <w:color w:val="000000"/>
                <w:sz w:val="16"/>
                <w:szCs w:val="16"/>
              </w:rPr>
            </w:pPr>
            <w:r w:rsidRPr="00416D67">
              <w:rPr>
                <w:b/>
                <w:bCs/>
                <w:color w:val="000000"/>
                <w:sz w:val="16"/>
                <w:szCs w:val="16"/>
              </w:rPr>
              <w:t>62.944,00</w:t>
            </w:r>
          </w:p>
        </w:tc>
      </w:tr>
      <w:tr w:rsidR="00416D67" w:rsidRPr="00416D67" w14:paraId="0E58DB72" w14:textId="77777777" w:rsidTr="00BB1392">
        <w:trPr>
          <w:trHeight w:val="420"/>
        </w:trPr>
        <w:tc>
          <w:tcPr>
            <w:tcW w:w="1135" w:type="dxa"/>
            <w:tcBorders>
              <w:top w:val="nil"/>
              <w:left w:val="single" w:sz="4" w:space="0" w:color="auto"/>
              <w:bottom w:val="single" w:sz="4" w:space="0" w:color="auto"/>
              <w:right w:val="single" w:sz="4" w:space="0" w:color="auto"/>
            </w:tcBorders>
            <w:noWrap/>
            <w:vAlign w:val="center"/>
            <w:hideMark/>
          </w:tcPr>
          <w:p w14:paraId="2749539E" w14:textId="77777777" w:rsidR="00416D67" w:rsidRPr="00416D67" w:rsidRDefault="00416D67" w:rsidP="00416D67">
            <w:pPr>
              <w:rPr>
                <w:b/>
                <w:bCs/>
                <w:color w:val="000000"/>
                <w:sz w:val="16"/>
                <w:szCs w:val="16"/>
              </w:rPr>
            </w:pPr>
            <w:r w:rsidRPr="00416D67">
              <w:rPr>
                <w:b/>
                <w:bCs/>
                <w:color w:val="000000"/>
                <w:sz w:val="16"/>
                <w:szCs w:val="16"/>
              </w:rPr>
              <w:t>27</w:t>
            </w:r>
          </w:p>
        </w:tc>
        <w:tc>
          <w:tcPr>
            <w:tcW w:w="4956" w:type="dxa"/>
            <w:tcBorders>
              <w:top w:val="nil"/>
              <w:left w:val="nil"/>
              <w:bottom w:val="single" w:sz="4" w:space="0" w:color="auto"/>
              <w:right w:val="single" w:sz="4" w:space="0" w:color="auto"/>
            </w:tcBorders>
            <w:vAlign w:val="center"/>
            <w:hideMark/>
          </w:tcPr>
          <w:p w14:paraId="4319991C" w14:textId="77777777" w:rsidR="00416D67" w:rsidRPr="00416D67" w:rsidRDefault="00416D67" w:rsidP="00416D67">
            <w:pPr>
              <w:rPr>
                <w:b/>
                <w:bCs/>
                <w:color w:val="000000"/>
                <w:sz w:val="16"/>
                <w:szCs w:val="16"/>
              </w:rPr>
            </w:pPr>
            <w:r w:rsidRPr="00416D67">
              <w:rPr>
                <w:b/>
                <w:bCs/>
                <w:color w:val="000000"/>
                <w:sz w:val="16"/>
                <w:szCs w:val="16"/>
              </w:rPr>
              <w:t xml:space="preserve">Obveze za predujmove, depozite, </w:t>
            </w:r>
            <w:proofErr w:type="spellStart"/>
            <w:r w:rsidRPr="00416D67">
              <w:rPr>
                <w:b/>
                <w:bCs/>
                <w:color w:val="000000"/>
                <w:sz w:val="16"/>
                <w:szCs w:val="16"/>
              </w:rPr>
              <w:t>jamčevne</w:t>
            </w:r>
            <w:proofErr w:type="spellEnd"/>
            <w:r w:rsidRPr="00416D67">
              <w:rPr>
                <w:b/>
                <w:bCs/>
                <w:color w:val="000000"/>
                <w:sz w:val="16"/>
                <w:szCs w:val="16"/>
              </w:rPr>
              <w:t xml:space="preserve"> </w:t>
            </w:r>
            <w:proofErr w:type="spellStart"/>
            <w:r w:rsidRPr="00416D67">
              <w:rPr>
                <w:b/>
                <w:bCs/>
                <w:color w:val="000000"/>
                <w:sz w:val="16"/>
                <w:szCs w:val="16"/>
              </w:rPr>
              <w:t>pologe</w:t>
            </w:r>
            <w:proofErr w:type="spellEnd"/>
            <w:r w:rsidRPr="00416D67">
              <w:rPr>
                <w:b/>
                <w:bCs/>
                <w:color w:val="000000"/>
                <w:sz w:val="16"/>
                <w:szCs w:val="16"/>
              </w:rPr>
              <w:t xml:space="preserve"> i tuđe prihode</w:t>
            </w:r>
          </w:p>
        </w:tc>
        <w:tc>
          <w:tcPr>
            <w:tcW w:w="1060" w:type="dxa"/>
            <w:tcBorders>
              <w:top w:val="nil"/>
              <w:left w:val="nil"/>
              <w:bottom w:val="single" w:sz="4" w:space="0" w:color="auto"/>
              <w:right w:val="single" w:sz="4" w:space="0" w:color="auto"/>
            </w:tcBorders>
            <w:noWrap/>
            <w:vAlign w:val="center"/>
            <w:hideMark/>
          </w:tcPr>
          <w:p w14:paraId="4813904D" w14:textId="77777777" w:rsidR="00416D67" w:rsidRPr="00416D67" w:rsidRDefault="00416D67" w:rsidP="00416D67">
            <w:pPr>
              <w:jc w:val="right"/>
              <w:rPr>
                <w:b/>
                <w:bCs/>
                <w:color w:val="000000"/>
                <w:sz w:val="16"/>
                <w:szCs w:val="16"/>
              </w:rPr>
            </w:pPr>
            <w:r w:rsidRPr="00416D67">
              <w:rPr>
                <w:b/>
                <w:bCs/>
                <w:color w:val="000000"/>
                <w:sz w:val="16"/>
                <w:szCs w:val="16"/>
              </w:rPr>
              <w:t>124.169,25</w:t>
            </w:r>
          </w:p>
        </w:tc>
        <w:tc>
          <w:tcPr>
            <w:tcW w:w="960" w:type="dxa"/>
            <w:tcBorders>
              <w:top w:val="nil"/>
              <w:left w:val="nil"/>
              <w:bottom w:val="single" w:sz="4" w:space="0" w:color="auto"/>
              <w:right w:val="single" w:sz="4" w:space="0" w:color="auto"/>
            </w:tcBorders>
            <w:noWrap/>
            <w:vAlign w:val="center"/>
            <w:hideMark/>
          </w:tcPr>
          <w:p w14:paraId="3193BE9A" w14:textId="77777777" w:rsidR="00416D67" w:rsidRPr="00416D67" w:rsidRDefault="00416D67" w:rsidP="00416D67">
            <w:pPr>
              <w:jc w:val="right"/>
              <w:rPr>
                <w:b/>
                <w:bCs/>
                <w:color w:val="000000"/>
                <w:sz w:val="16"/>
                <w:szCs w:val="16"/>
              </w:rPr>
            </w:pPr>
            <w:r w:rsidRPr="00416D67">
              <w:rPr>
                <w:b/>
                <w:bCs/>
                <w:color w:val="000000"/>
                <w:sz w:val="16"/>
                <w:szCs w:val="16"/>
              </w:rPr>
              <w:t>0</w:t>
            </w:r>
          </w:p>
        </w:tc>
        <w:tc>
          <w:tcPr>
            <w:tcW w:w="1180" w:type="dxa"/>
            <w:tcBorders>
              <w:top w:val="nil"/>
              <w:left w:val="nil"/>
              <w:bottom w:val="single" w:sz="4" w:space="0" w:color="auto"/>
              <w:right w:val="single" w:sz="4" w:space="0" w:color="auto"/>
            </w:tcBorders>
            <w:noWrap/>
            <w:vAlign w:val="center"/>
            <w:hideMark/>
          </w:tcPr>
          <w:p w14:paraId="0C03F19D" w14:textId="77777777" w:rsidR="00416D67" w:rsidRPr="00416D67" w:rsidRDefault="00416D67" w:rsidP="00416D67">
            <w:pPr>
              <w:jc w:val="right"/>
              <w:rPr>
                <w:b/>
                <w:bCs/>
                <w:color w:val="000000"/>
                <w:sz w:val="16"/>
                <w:szCs w:val="16"/>
              </w:rPr>
            </w:pPr>
            <w:r w:rsidRPr="00416D67">
              <w:rPr>
                <w:b/>
                <w:bCs/>
                <w:color w:val="000000"/>
                <w:sz w:val="16"/>
                <w:szCs w:val="16"/>
              </w:rPr>
              <w:t>124.169,25</w:t>
            </w:r>
          </w:p>
        </w:tc>
      </w:tr>
      <w:tr w:rsidR="00416D67" w:rsidRPr="00416D67" w14:paraId="73CEDAB0" w14:textId="77777777" w:rsidTr="00BB1392">
        <w:trPr>
          <w:trHeight w:val="300"/>
        </w:trPr>
        <w:tc>
          <w:tcPr>
            <w:tcW w:w="6091" w:type="dxa"/>
            <w:gridSpan w:val="2"/>
            <w:tcBorders>
              <w:top w:val="single" w:sz="4" w:space="0" w:color="auto"/>
              <w:left w:val="single" w:sz="4" w:space="0" w:color="auto"/>
              <w:bottom w:val="single" w:sz="4" w:space="0" w:color="auto"/>
              <w:right w:val="single" w:sz="4" w:space="0" w:color="auto"/>
            </w:tcBorders>
            <w:noWrap/>
            <w:vAlign w:val="center"/>
            <w:hideMark/>
          </w:tcPr>
          <w:p w14:paraId="01E75BDD" w14:textId="77777777" w:rsidR="00416D67" w:rsidRPr="00416D67" w:rsidRDefault="00416D67" w:rsidP="00416D67">
            <w:pPr>
              <w:rPr>
                <w:b/>
                <w:bCs/>
                <w:color w:val="000000"/>
                <w:sz w:val="16"/>
                <w:szCs w:val="16"/>
              </w:rPr>
            </w:pPr>
            <w:r w:rsidRPr="00416D67">
              <w:rPr>
                <w:b/>
                <w:bCs/>
                <w:color w:val="000000"/>
                <w:sz w:val="16"/>
                <w:szCs w:val="16"/>
              </w:rPr>
              <w:t xml:space="preserve">OBVEZE PRORAČUNSKI KORISNIK </w:t>
            </w:r>
          </w:p>
        </w:tc>
        <w:tc>
          <w:tcPr>
            <w:tcW w:w="1060" w:type="dxa"/>
            <w:tcBorders>
              <w:top w:val="nil"/>
              <w:left w:val="nil"/>
              <w:bottom w:val="single" w:sz="4" w:space="0" w:color="auto"/>
              <w:right w:val="single" w:sz="4" w:space="0" w:color="auto"/>
            </w:tcBorders>
            <w:noWrap/>
            <w:vAlign w:val="center"/>
            <w:hideMark/>
          </w:tcPr>
          <w:p w14:paraId="23BBF0A6" w14:textId="77777777" w:rsidR="00416D67" w:rsidRPr="00416D67" w:rsidRDefault="00416D67" w:rsidP="00416D67">
            <w:pPr>
              <w:jc w:val="right"/>
              <w:rPr>
                <w:b/>
                <w:bCs/>
                <w:color w:val="000000"/>
                <w:sz w:val="16"/>
                <w:szCs w:val="16"/>
              </w:rPr>
            </w:pPr>
            <w:r w:rsidRPr="00416D67">
              <w:rPr>
                <w:b/>
                <w:bCs/>
                <w:color w:val="000000"/>
                <w:sz w:val="16"/>
                <w:szCs w:val="16"/>
              </w:rPr>
              <w:t>60.028,69</w:t>
            </w:r>
          </w:p>
        </w:tc>
        <w:tc>
          <w:tcPr>
            <w:tcW w:w="960" w:type="dxa"/>
            <w:tcBorders>
              <w:top w:val="nil"/>
              <w:left w:val="nil"/>
              <w:bottom w:val="single" w:sz="4" w:space="0" w:color="auto"/>
              <w:right w:val="single" w:sz="4" w:space="0" w:color="auto"/>
            </w:tcBorders>
            <w:noWrap/>
            <w:vAlign w:val="center"/>
            <w:hideMark/>
          </w:tcPr>
          <w:p w14:paraId="7C0BCF18" w14:textId="77777777" w:rsidR="00416D67" w:rsidRPr="00416D67" w:rsidRDefault="00416D67" w:rsidP="00416D67">
            <w:pPr>
              <w:jc w:val="right"/>
              <w:rPr>
                <w:b/>
                <w:bCs/>
                <w:color w:val="000000"/>
                <w:sz w:val="16"/>
                <w:szCs w:val="16"/>
              </w:rPr>
            </w:pPr>
            <w:r w:rsidRPr="00416D67">
              <w:rPr>
                <w:b/>
                <w:bCs/>
                <w:color w:val="000000"/>
                <w:sz w:val="16"/>
                <w:szCs w:val="16"/>
              </w:rPr>
              <w:t>0,00</w:t>
            </w:r>
          </w:p>
        </w:tc>
        <w:tc>
          <w:tcPr>
            <w:tcW w:w="1180" w:type="dxa"/>
            <w:tcBorders>
              <w:top w:val="nil"/>
              <w:left w:val="nil"/>
              <w:bottom w:val="single" w:sz="4" w:space="0" w:color="auto"/>
              <w:right w:val="single" w:sz="4" w:space="0" w:color="auto"/>
            </w:tcBorders>
            <w:noWrap/>
            <w:vAlign w:val="center"/>
            <w:hideMark/>
          </w:tcPr>
          <w:p w14:paraId="6C14C4CD" w14:textId="77777777" w:rsidR="00416D67" w:rsidRPr="00416D67" w:rsidRDefault="00416D67" w:rsidP="00416D67">
            <w:pPr>
              <w:jc w:val="right"/>
              <w:rPr>
                <w:b/>
                <w:bCs/>
                <w:color w:val="000000"/>
                <w:sz w:val="16"/>
                <w:szCs w:val="16"/>
              </w:rPr>
            </w:pPr>
            <w:r w:rsidRPr="00416D67">
              <w:rPr>
                <w:b/>
                <w:bCs/>
                <w:color w:val="000000"/>
                <w:sz w:val="16"/>
                <w:szCs w:val="16"/>
              </w:rPr>
              <w:t>60.028,69</w:t>
            </w:r>
          </w:p>
        </w:tc>
      </w:tr>
      <w:tr w:rsidR="00416D67" w:rsidRPr="00416D67" w14:paraId="58C8AA58"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61A899A2" w14:textId="77777777" w:rsidR="00416D67" w:rsidRPr="00416D67" w:rsidRDefault="00416D67" w:rsidP="00416D67">
            <w:pPr>
              <w:rPr>
                <w:color w:val="000000"/>
                <w:sz w:val="16"/>
                <w:szCs w:val="16"/>
              </w:rPr>
            </w:pPr>
            <w:r w:rsidRPr="00416D67">
              <w:rPr>
                <w:color w:val="000000"/>
                <w:sz w:val="16"/>
                <w:szCs w:val="16"/>
              </w:rPr>
              <w:t>2311</w:t>
            </w:r>
          </w:p>
        </w:tc>
        <w:tc>
          <w:tcPr>
            <w:tcW w:w="4956" w:type="dxa"/>
            <w:tcBorders>
              <w:top w:val="nil"/>
              <w:left w:val="nil"/>
              <w:bottom w:val="single" w:sz="4" w:space="0" w:color="auto"/>
              <w:right w:val="single" w:sz="4" w:space="0" w:color="auto"/>
            </w:tcBorders>
            <w:vAlign w:val="center"/>
            <w:hideMark/>
          </w:tcPr>
          <w:p w14:paraId="1C1AB3E5" w14:textId="77777777" w:rsidR="00416D67" w:rsidRPr="00416D67" w:rsidRDefault="00416D67" w:rsidP="00416D67">
            <w:pPr>
              <w:rPr>
                <w:color w:val="000000"/>
                <w:sz w:val="16"/>
                <w:szCs w:val="16"/>
              </w:rPr>
            </w:pPr>
            <w:r w:rsidRPr="00416D67">
              <w:rPr>
                <w:color w:val="000000"/>
                <w:sz w:val="16"/>
                <w:szCs w:val="16"/>
              </w:rPr>
              <w:t>Obveze za plaće - neto</w:t>
            </w:r>
          </w:p>
        </w:tc>
        <w:tc>
          <w:tcPr>
            <w:tcW w:w="1060" w:type="dxa"/>
            <w:tcBorders>
              <w:top w:val="nil"/>
              <w:left w:val="nil"/>
              <w:bottom w:val="single" w:sz="4" w:space="0" w:color="auto"/>
              <w:right w:val="single" w:sz="4" w:space="0" w:color="auto"/>
            </w:tcBorders>
            <w:noWrap/>
            <w:vAlign w:val="center"/>
            <w:hideMark/>
          </w:tcPr>
          <w:p w14:paraId="47741C14" w14:textId="77777777" w:rsidR="00416D67" w:rsidRPr="00416D67" w:rsidRDefault="00416D67" w:rsidP="00416D67">
            <w:pPr>
              <w:jc w:val="right"/>
              <w:rPr>
                <w:color w:val="000000"/>
                <w:sz w:val="16"/>
                <w:szCs w:val="16"/>
              </w:rPr>
            </w:pPr>
            <w:r w:rsidRPr="00416D67">
              <w:rPr>
                <w:color w:val="000000"/>
                <w:sz w:val="16"/>
                <w:szCs w:val="16"/>
              </w:rPr>
              <w:t>31.775,91</w:t>
            </w:r>
          </w:p>
        </w:tc>
        <w:tc>
          <w:tcPr>
            <w:tcW w:w="960" w:type="dxa"/>
            <w:tcBorders>
              <w:top w:val="nil"/>
              <w:left w:val="nil"/>
              <w:bottom w:val="single" w:sz="4" w:space="0" w:color="auto"/>
              <w:right w:val="single" w:sz="4" w:space="0" w:color="auto"/>
            </w:tcBorders>
            <w:noWrap/>
            <w:vAlign w:val="center"/>
            <w:hideMark/>
          </w:tcPr>
          <w:p w14:paraId="4C65F478"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7E608B30" w14:textId="77777777" w:rsidR="00416D67" w:rsidRPr="00416D67" w:rsidRDefault="00416D67" w:rsidP="00416D67">
            <w:pPr>
              <w:jc w:val="right"/>
              <w:rPr>
                <w:color w:val="000000"/>
                <w:sz w:val="16"/>
                <w:szCs w:val="16"/>
              </w:rPr>
            </w:pPr>
            <w:r w:rsidRPr="00416D67">
              <w:rPr>
                <w:color w:val="000000"/>
                <w:sz w:val="16"/>
                <w:szCs w:val="16"/>
              </w:rPr>
              <w:t>31.775,91</w:t>
            </w:r>
          </w:p>
        </w:tc>
      </w:tr>
      <w:tr w:rsidR="00416D67" w:rsidRPr="00416D67" w14:paraId="41BCBE45"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253BE031" w14:textId="77777777" w:rsidR="00416D67" w:rsidRPr="00416D67" w:rsidRDefault="00416D67" w:rsidP="00416D67">
            <w:pPr>
              <w:rPr>
                <w:color w:val="000000"/>
                <w:sz w:val="16"/>
                <w:szCs w:val="16"/>
              </w:rPr>
            </w:pPr>
            <w:r w:rsidRPr="00416D67">
              <w:rPr>
                <w:color w:val="000000"/>
                <w:sz w:val="16"/>
                <w:szCs w:val="16"/>
              </w:rPr>
              <w:t>2312</w:t>
            </w:r>
          </w:p>
        </w:tc>
        <w:tc>
          <w:tcPr>
            <w:tcW w:w="4956" w:type="dxa"/>
            <w:tcBorders>
              <w:top w:val="nil"/>
              <w:left w:val="nil"/>
              <w:bottom w:val="single" w:sz="4" w:space="0" w:color="auto"/>
              <w:right w:val="single" w:sz="4" w:space="0" w:color="auto"/>
            </w:tcBorders>
            <w:vAlign w:val="center"/>
            <w:hideMark/>
          </w:tcPr>
          <w:p w14:paraId="051472B3" w14:textId="77777777" w:rsidR="00416D67" w:rsidRPr="00416D67" w:rsidRDefault="00416D67" w:rsidP="00416D67">
            <w:pPr>
              <w:rPr>
                <w:color w:val="000000"/>
                <w:sz w:val="16"/>
                <w:szCs w:val="16"/>
              </w:rPr>
            </w:pPr>
            <w:r w:rsidRPr="00416D67">
              <w:rPr>
                <w:color w:val="000000"/>
                <w:sz w:val="16"/>
                <w:szCs w:val="16"/>
              </w:rPr>
              <w:t>Obveze za naknade plaća – neto</w:t>
            </w:r>
          </w:p>
        </w:tc>
        <w:tc>
          <w:tcPr>
            <w:tcW w:w="1060" w:type="dxa"/>
            <w:tcBorders>
              <w:top w:val="nil"/>
              <w:left w:val="nil"/>
              <w:bottom w:val="single" w:sz="4" w:space="0" w:color="auto"/>
              <w:right w:val="single" w:sz="4" w:space="0" w:color="auto"/>
            </w:tcBorders>
            <w:noWrap/>
            <w:vAlign w:val="center"/>
            <w:hideMark/>
          </w:tcPr>
          <w:p w14:paraId="7C80E7A8" w14:textId="77777777" w:rsidR="00416D67" w:rsidRPr="00416D67" w:rsidRDefault="00416D67" w:rsidP="00416D67">
            <w:pPr>
              <w:jc w:val="right"/>
              <w:rPr>
                <w:color w:val="000000"/>
                <w:sz w:val="16"/>
                <w:szCs w:val="16"/>
              </w:rPr>
            </w:pPr>
            <w:r w:rsidRPr="00416D67">
              <w:rPr>
                <w:color w:val="000000"/>
                <w:sz w:val="16"/>
                <w:szCs w:val="16"/>
              </w:rPr>
              <w:t>363,8</w:t>
            </w:r>
          </w:p>
        </w:tc>
        <w:tc>
          <w:tcPr>
            <w:tcW w:w="960" w:type="dxa"/>
            <w:tcBorders>
              <w:top w:val="nil"/>
              <w:left w:val="nil"/>
              <w:bottom w:val="single" w:sz="4" w:space="0" w:color="auto"/>
              <w:right w:val="single" w:sz="4" w:space="0" w:color="auto"/>
            </w:tcBorders>
            <w:noWrap/>
            <w:vAlign w:val="center"/>
            <w:hideMark/>
          </w:tcPr>
          <w:p w14:paraId="784425CB"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696AD00F" w14:textId="77777777" w:rsidR="00416D67" w:rsidRPr="00416D67" w:rsidRDefault="00416D67" w:rsidP="00416D67">
            <w:pPr>
              <w:jc w:val="right"/>
              <w:rPr>
                <w:color w:val="000000"/>
                <w:sz w:val="16"/>
                <w:szCs w:val="16"/>
              </w:rPr>
            </w:pPr>
            <w:r w:rsidRPr="00416D67">
              <w:rPr>
                <w:color w:val="000000"/>
                <w:sz w:val="16"/>
                <w:szCs w:val="16"/>
              </w:rPr>
              <w:t>363,8</w:t>
            </w:r>
          </w:p>
        </w:tc>
      </w:tr>
      <w:tr w:rsidR="00416D67" w:rsidRPr="00416D67" w14:paraId="0A2859F1"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00DC2959" w14:textId="77777777" w:rsidR="00416D67" w:rsidRPr="00416D67" w:rsidRDefault="00416D67" w:rsidP="00416D67">
            <w:pPr>
              <w:rPr>
                <w:color w:val="000000"/>
                <w:sz w:val="16"/>
                <w:szCs w:val="16"/>
              </w:rPr>
            </w:pPr>
            <w:r w:rsidRPr="00416D67">
              <w:rPr>
                <w:color w:val="000000"/>
                <w:sz w:val="16"/>
                <w:szCs w:val="16"/>
              </w:rPr>
              <w:t>2314</w:t>
            </w:r>
          </w:p>
        </w:tc>
        <w:tc>
          <w:tcPr>
            <w:tcW w:w="4956" w:type="dxa"/>
            <w:tcBorders>
              <w:top w:val="nil"/>
              <w:left w:val="nil"/>
              <w:bottom w:val="single" w:sz="4" w:space="0" w:color="auto"/>
              <w:right w:val="single" w:sz="4" w:space="0" w:color="auto"/>
            </w:tcBorders>
            <w:vAlign w:val="center"/>
            <w:hideMark/>
          </w:tcPr>
          <w:p w14:paraId="192AEB5D" w14:textId="77777777" w:rsidR="00416D67" w:rsidRPr="00416D67" w:rsidRDefault="00416D67" w:rsidP="00416D67">
            <w:pPr>
              <w:rPr>
                <w:color w:val="000000"/>
                <w:sz w:val="16"/>
                <w:szCs w:val="16"/>
              </w:rPr>
            </w:pPr>
            <w:r w:rsidRPr="00416D67">
              <w:rPr>
                <w:color w:val="000000"/>
                <w:sz w:val="16"/>
                <w:szCs w:val="16"/>
              </w:rPr>
              <w:t>Obveze za porez na dohodak iz plaća</w:t>
            </w:r>
          </w:p>
        </w:tc>
        <w:tc>
          <w:tcPr>
            <w:tcW w:w="1060" w:type="dxa"/>
            <w:tcBorders>
              <w:top w:val="nil"/>
              <w:left w:val="nil"/>
              <w:bottom w:val="single" w:sz="4" w:space="0" w:color="auto"/>
              <w:right w:val="single" w:sz="4" w:space="0" w:color="auto"/>
            </w:tcBorders>
            <w:noWrap/>
            <w:vAlign w:val="center"/>
            <w:hideMark/>
          </w:tcPr>
          <w:p w14:paraId="1E9412D3" w14:textId="77777777" w:rsidR="00416D67" w:rsidRPr="00416D67" w:rsidRDefault="00416D67" w:rsidP="00416D67">
            <w:pPr>
              <w:jc w:val="right"/>
              <w:rPr>
                <w:color w:val="000000"/>
                <w:sz w:val="16"/>
                <w:szCs w:val="16"/>
              </w:rPr>
            </w:pPr>
            <w:r w:rsidRPr="00416D67">
              <w:rPr>
                <w:color w:val="000000"/>
                <w:sz w:val="16"/>
                <w:szCs w:val="16"/>
              </w:rPr>
              <w:t>3.515,83</w:t>
            </w:r>
          </w:p>
        </w:tc>
        <w:tc>
          <w:tcPr>
            <w:tcW w:w="960" w:type="dxa"/>
            <w:tcBorders>
              <w:top w:val="nil"/>
              <w:left w:val="nil"/>
              <w:bottom w:val="single" w:sz="4" w:space="0" w:color="auto"/>
              <w:right w:val="single" w:sz="4" w:space="0" w:color="auto"/>
            </w:tcBorders>
            <w:noWrap/>
            <w:vAlign w:val="center"/>
            <w:hideMark/>
          </w:tcPr>
          <w:p w14:paraId="31A2E4EF"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51357077" w14:textId="77777777" w:rsidR="00416D67" w:rsidRPr="00416D67" w:rsidRDefault="00416D67" w:rsidP="00416D67">
            <w:pPr>
              <w:jc w:val="right"/>
              <w:rPr>
                <w:color w:val="000000"/>
                <w:sz w:val="16"/>
                <w:szCs w:val="16"/>
              </w:rPr>
            </w:pPr>
            <w:r w:rsidRPr="00416D67">
              <w:rPr>
                <w:color w:val="000000"/>
                <w:sz w:val="16"/>
                <w:szCs w:val="16"/>
              </w:rPr>
              <w:t>3.515,83</w:t>
            </w:r>
          </w:p>
        </w:tc>
      </w:tr>
      <w:tr w:rsidR="00416D67" w:rsidRPr="00416D67" w14:paraId="6882A7E0"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490F201B" w14:textId="77777777" w:rsidR="00416D67" w:rsidRPr="00416D67" w:rsidRDefault="00416D67" w:rsidP="00416D67">
            <w:pPr>
              <w:rPr>
                <w:color w:val="000000"/>
                <w:sz w:val="16"/>
                <w:szCs w:val="16"/>
              </w:rPr>
            </w:pPr>
            <w:r w:rsidRPr="00416D67">
              <w:rPr>
                <w:color w:val="000000"/>
                <w:sz w:val="16"/>
                <w:szCs w:val="16"/>
              </w:rPr>
              <w:t>2315</w:t>
            </w:r>
          </w:p>
        </w:tc>
        <w:tc>
          <w:tcPr>
            <w:tcW w:w="4956" w:type="dxa"/>
            <w:tcBorders>
              <w:top w:val="nil"/>
              <w:left w:val="nil"/>
              <w:bottom w:val="single" w:sz="4" w:space="0" w:color="auto"/>
              <w:right w:val="single" w:sz="4" w:space="0" w:color="auto"/>
            </w:tcBorders>
            <w:vAlign w:val="center"/>
            <w:hideMark/>
          </w:tcPr>
          <w:p w14:paraId="644F966E" w14:textId="77777777" w:rsidR="00416D67" w:rsidRPr="00416D67" w:rsidRDefault="00416D67" w:rsidP="00416D67">
            <w:pPr>
              <w:rPr>
                <w:color w:val="000000"/>
                <w:sz w:val="16"/>
                <w:szCs w:val="16"/>
              </w:rPr>
            </w:pPr>
            <w:r w:rsidRPr="00416D67">
              <w:rPr>
                <w:color w:val="000000"/>
                <w:sz w:val="16"/>
                <w:szCs w:val="16"/>
              </w:rPr>
              <w:t>Obveze za doprinose iz plaća</w:t>
            </w:r>
          </w:p>
        </w:tc>
        <w:tc>
          <w:tcPr>
            <w:tcW w:w="1060" w:type="dxa"/>
            <w:tcBorders>
              <w:top w:val="nil"/>
              <w:left w:val="nil"/>
              <w:bottom w:val="single" w:sz="4" w:space="0" w:color="auto"/>
              <w:right w:val="single" w:sz="4" w:space="0" w:color="auto"/>
            </w:tcBorders>
            <w:noWrap/>
            <w:vAlign w:val="center"/>
            <w:hideMark/>
          </w:tcPr>
          <w:p w14:paraId="5C4AE602" w14:textId="77777777" w:rsidR="00416D67" w:rsidRPr="00416D67" w:rsidRDefault="00416D67" w:rsidP="00416D67">
            <w:pPr>
              <w:jc w:val="right"/>
              <w:rPr>
                <w:color w:val="000000"/>
                <w:sz w:val="16"/>
                <w:szCs w:val="16"/>
              </w:rPr>
            </w:pPr>
            <w:r w:rsidRPr="00416D67">
              <w:rPr>
                <w:color w:val="000000"/>
                <w:sz w:val="16"/>
                <w:szCs w:val="16"/>
              </w:rPr>
              <w:t>8.681,99</w:t>
            </w:r>
          </w:p>
        </w:tc>
        <w:tc>
          <w:tcPr>
            <w:tcW w:w="960" w:type="dxa"/>
            <w:tcBorders>
              <w:top w:val="nil"/>
              <w:left w:val="nil"/>
              <w:bottom w:val="single" w:sz="4" w:space="0" w:color="auto"/>
              <w:right w:val="single" w:sz="4" w:space="0" w:color="auto"/>
            </w:tcBorders>
            <w:noWrap/>
            <w:vAlign w:val="center"/>
            <w:hideMark/>
          </w:tcPr>
          <w:p w14:paraId="4066B1B8"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3EBCB543" w14:textId="77777777" w:rsidR="00416D67" w:rsidRPr="00416D67" w:rsidRDefault="00416D67" w:rsidP="00416D67">
            <w:pPr>
              <w:jc w:val="right"/>
              <w:rPr>
                <w:color w:val="000000"/>
                <w:sz w:val="16"/>
                <w:szCs w:val="16"/>
              </w:rPr>
            </w:pPr>
            <w:r w:rsidRPr="00416D67">
              <w:rPr>
                <w:color w:val="000000"/>
                <w:sz w:val="16"/>
                <w:szCs w:val="16"/>
              </w:rPr>
              <w:t>8.681,99</w:t>
            </w:r>
          </w:p>
        </w:tc>
      </w:tr>
      <w:tr w:rsidR="00416D67" w:rsidRPr="00416D67" w14:paraId="402E4964"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776F22B9" w14:textId="77777777" w:rsidR="00416D67" w:rsidRPr="00416D67" w:rsidRDefault="00416D67" w:rsidP="00416D67">
            <w:pPr>
              <w:rPr>
                <w:color w:val="000000"/>
                <w:sz w:val="16"/>
                <w:szCs w:val="16"/>
              </w:rPr>
            </w:pPr>
            <w:r w:rsidRPr="00416D67">
              <w:rPr>
                <w:color w:val="000000"/>
                <w:sz w:val="16"/>
                <w:szCs w:val="16"/>
              </w:rPr>
              <w:t>2316</w:t>
            </w:r>
          </w:p>
        </w:tc>
        <w:tc>
          <w:tcPr>
            <w:tcW w:w="4956" w:type="dxa"/>
            <w:tcBorders>
              <w:top w:val="nil"/>
              <w:left w:val="nil"/>
              <w:bottom w:val="single" w:sz="4" w:space="0" w:color="auto"/>
              <w:right w:val="single" w:sz="4" w:space="0" w:color="auto"/>
            </w:tcBorders>
            <w:vAlign w:val="center"/>
            <w:hideMark/>
          </w:tcPr>
          <w:p w14:paraId="7D94180D" w14:textId="77777777" w:rsidR="00416D67" w:rsidRPr="00416D67" w:rsidRDefault="00416D67" w:rsidP="00416D67">
            <w:pPr>
              <w:rPr>
                <w:color w:val="000000"/>
                <w:sz w:val="16"/>
                <w:szCs w:val="16"/>
              </w:rPr>
            </w:pPr>
            <w:r w:rsidRPr="00416D67">
              <w:rPr>
                <w:color w:val="000000"/>
                <w:sz w:val="16"/>
                <w:szCs w:val="16"/>
              </w:rPr>
              <w:t>Obveze za doprinose na plaće</w:t>
            </w:r>
          </w:p>
        </w:tc>
        <w:tc>
          <w:tcPr>
            <w:tcW w:w="1060" w:type="dxa"/>
            <w:tcBorders>
              <w:top w:val="nil"/>
              <w:left w:val="nil"/>
              <w:bottom w:val="single" w:sz="4" w:space="0" w:color="auto"/>
              <w:right w:val="single" w:sz="4" w:space="0" w:color="auto"/>
            </w:tcBorders>
            <w:noWrap/>
            <w:vAlign w:val="center"/>
            <w:hideMark/>
          </w:tcPr>
          <w:p w14:paraId="356BACE0" w14:textId="77777777" w:rsidR="00416D67" w:rsidRPr="00416D67" w:rsidRDefault="00416D67" w:rsidP="00416D67">
            <w:pPr>
              <w:jc w:val="right"/>
              <w:rPr>
                <w:color w:val="000000"/>
                <w:sz w:val="16"/>
                <w:szCs w:val="16"/>
              </w:rPr>
            </w:pPr>
            <w:r w:rsidRPr="00416D67">
              <w:rPr>
                <w:color w:val="000000"/>
                <w:sz w:val="16"/>
                <w:szCs w:val="16"/>
              </w:rPr>
              <w:t>7.255,71</w:t>
            </w:r>
          </w:p>
        </w:tc>
        <w:tc>
          <w:tcPr>
            <w:tcW w:w="960" w:type="dxa"/>
            <w:tcBorders>
              <w:top w:val="nil"/>
              <w:left w:val="nil"/>
              <w:bottom w:val="single" w:sz="4" w:space="0" w:color="auto"/>
              <w:right w:val="single" w:sz="4" w:space="0" w:color="auto"/>
            </w:tcBorders>
            <w:noWrap/>
            <w:vAlign w:val="center"/>
            <w:hideMark/>
          </w:tcPr>
          <w:p w14:paraId="7ED3D47A"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1F8B5AFC" w14:textId="77777777" w:rsidR="00416D67" w:rsidRPr="00416D67" w:rsidRDefault="00416D67" w:rsidP="00416D67">
            <w:pPr>
              <w:jc w:val="right"/>
              <w:rPr>
                <w:color w:val="000000"/>
                <w:sz w:val="16"/>
                <w:szCs w:val="16"/>
              </w:rPr>
            </w:pPr>
            <w:r w:rsidRPr="00416D67">
              <w:rPr>
                <w:color w:val="000000"/>
                <w:sz w:val="16"/>
                <w:szCs w:val="16"/>
              </w:rPr>
              <w:t>7.255,71</w:t>
            </w:r>
          </w:p>
        </w:tc>
      </w:tr>
      <w:tr w:rsidR="00416D67" w:rsidRPr="00416D67" w14:paraId="3CCC2CB5"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4AC264FB" w14:textId="77777777" w:rsidR="00416D67" w:rsidRPr="00416D67" w:rsidRDefault="00416D67" w:rsidP="00416D67">
            <w:pPr>
              <w:rPr>
                <w:color w:val="000000"/>
                <w:sz w:val="16"/>
                <w:szCs w:val="16"/>
              </w:rPr>
            </w:pPr>
            <w:r w:rsidRPr="00416D67">
              <w:rPr>
                <w:color w:val="000000"/>
                <w:sz w:val="16"/>
                <w:szCs w:val="16"/>
              </w:rPr>
              <w:t>2317</w:t>
            </w:r>
          </w:p>
        </w:tc>
        <w:tc>
          <w:tcPr>
            <w:tcW w:w="4956" w:type="dxa"/>
            <w:tcBorders>
              <w:top w:val="nil"/>
              <w:left w:val="nil"/>
              <w:bottom w:val="single" w:sz="4" w:space="0" w:color="auto"/>
              <w:right w:val="single" w:sz="4" w:space="0" w:color="auto"/>
            </w:tcBorders>
            <w:vAlign w:val="center"/>
            <w:hideMark/>
          </w:tcPr>
          <w:p w14:paraId="1EA8E15B" w14:textId="77777777" w:rsidR="00416D67" w:rsidRPr="00416D67" w:rsidRDefault="00416D67" w:rsidP="00416D67">
            <w:pPr>
              <w:rPr>
                <w:color w:val="000000"/>
                <w:sz w:val="16"/>
                <w:szCs w:val="16"/>
              </w:rPr>
            </w:pPr>
            <w:r w:rsidRPr="00416D67">
              <w:rPr>
                <w:color w:val="000000"/>
                <w:sz w:val="16"/>
                <w:szCs w:val="16"/>
              </w:rPr>
              <w:t>Ostale obveze za zaposlene</w:t>
            </w:r>
          </w:p>
        </w:tc>
        <w:tc>
          <w:tcPr>
            <w:tcW w:w="1060" w:type="dxa"/>
            <w:tcBorders>
              <w:top w:val="nil"/>
              <w:left w:val="nil"/>
              <w:bottom w:val="single" w:sz="4" w:space="0" w:color="auto"/>
              <w:right w:val="single" w:sz="4" w:space="0" w:color="auto"/>
            </w:tcBorders>
            <w:noWrap/>
            <w:vAlign w:val="center"/>
            <w:hideMark/>
          </w:tcPr>
          <w:p w14:paraId="4FDA1050" w14:textId="77777777" w:rsidR="00416D67" w:rsidRPr="00416D67" w:rsidRDefault="00416D67" w:rsidP="00416D67">
            <w:pPr>
              <w:jc w:val="right"/>
              <w:rPr>
                <w:color w:val="000000"/>
                <w:sz w:val="16"/>
                <w:szCs w:val="16"/>
              </w:rPr>
            </w:pPr>
            <w:r w:rsidRPr="00416D67">
              <w:rPr>
                <w:color w:val="000000"/>
                <w:sz w:val="16"/>
                <w:szCs w:val="16"/>
              </w:rPr>
              <w:t>2.359,09</w:t>
            </w:r>
          </w:p>
        </w:tc>
        <w:tc>
          <w:tcPr>
            <w:tcW w:w="960" w:type="dxa"/>
            <w:tcBorders>
              <w:top w:val="nil"/>
              <w:left w:val="nil"/>
              <w:bottom w:val="single" w:sz="4" w:space="0" w:color="auto"/>
              <w:right w:val="single" w:sz="4" w:space="0" w:color="auto"/>
            </w:tcBorders>
            <w:noWrap/>
            <w:vAlign w:val="center"/>
            <w:hideMark/>
          </w:tcPr>
          <w:p w14:paraId="7BB0A600"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42DD3F24" w14:textId="77777777" w:rsidR="00416D67" w:rsidRPr="00416D67" w:rsidRDefault="00416D67" w:rsidP="00416D67">
            <w:pPr>
              <w:jc w:val="right"/>
              <w:rPr>
                <w:color w:val="000000"/>
                <w:sz w:val="16"/>
                <w:szCs w:val="16"/>
              </w:rPr>
            </w:pPr>
            <w:r w:rsidRPr="00416D67">
              <w:rPr>
                <w:color w:val="000000"/>
                <w:sz w:val="16"/>
                <w:szCs w:val="16"/>
              </w:rPr>
              <w:t>2.359,09</w:t>
            </w:r>
          </w:p>
        </w:tc>
      </w:tr>
      <w:tr w:rsidR="00416D67" w:rsidRPr="00416D67" w14:paraId="1960AEA4"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7FDBF36B" w14:textId="77777777" w:rsidR="00416D67" w:rsidRPr="00416D67" w:rsidRDefault="00416D67" w:rsidP="00416D67">
            <w:pPr>
              <w:rPr>
                <w:b/>
                <w:bCs/>
                <w:color w:val="000000"/>
                <w:sz w:val="16"/>
                <w:szCs w:val="16"/>
              </w:rPr>
            </w:pPr>
            <w:r w:rsidRPr="00416D67">
              <w:rPr>
                <w:b/>
                <w:bCs/>
                <w:color w:val="000000"/>
                <w:sz w:val="16"/>
                <w:szCs w:val="16"/>
              </w:rPr>
              <w:t>231</w:t>
            </w:r>
          </w:p>
        </w:tc>
        <w:tc>
          <w:tcPr>
            <w:tcW w:w="4956" w:type="dxa"/>
            <w:tcBorders>
              <w:top w:val="nil"/>
              <w:left w:val="nil"/>
              <w:bottom w:val="single" w:sz="4" w:space="0" w:color="auto"/>
              <w:right w:val="single" w:sz="4" w:space="0" w:color="auto"/>
            </w:tcBorders>
            <w:vAlign w:val="center"/>
            <w:hideMark/>
          </w:tcPr>
          <w:p w14:paraId="34163DA4" w14:textId="77777777" w:rsidR="00416D67" w:rsidRPr="00416D67" w:rsidRDefault="00416D67" w:rsidP="00416D67">
            <w:pPr>
              <w:rPr>
                <w:b/>
                <w:bCs/>
                <w:color w:val="000000"/>
                <w:sz w:val="16"/>
                <w:szCs w:val="16"/>
              </w:rPr>
            </w:pPr>
            <w:r w:rsidRPr="00416D67">
              <w:rPr>
                <w:b/>
                <w:bCs/>
                <w:color w:val="000000"/>
                <w:sz w:val="16"/>
                <w:szCs w:val="16"/>
              </w:rPr>
              <w:t>Obveze za zaposlene</w:t>
            </w:r>
          </w:p>
        </w:tc>
        <w:tc>
          <w:tcPr>
            <w:tcW w:w="1060" w:type="dxa"/>
            <w:tcBorders>
              <w:top w:val="nil"/>
              <w:left w:val="nil"/>
              <w:bottom w:val="single" w:sz="4" w:space="0" w:color="auto"/>
              <w:right w:val="single" w:sz="4" w:space="0" w:color="auto"/>
            </w:tcBorders>
            <w:noWrap/>
            <w:vAlign w:val="center"/>
            <w:hideMark/>
          </w:tcPr>
          <w:p w14:paraId="54479A76" w14:textId="77777777" w:rsidR="00416D67" w:rsidRPr="00416D67" w:rsidRDefault="00416D67" w:rsidP="00416D67">
            <w:pPr>
              <w:jc w:val="right"/>
              <w:rPr>
                <w:b/>
                <w:bCs/>
                <w:color w:val="000000"/>
                <w:sz w:val="16"/>
                <w:szCs w:val="16"/>
              </w:rPr>
            </w:pPr>
            <w:r w:rsidRPr="00416D67">
              <w:rPr>
                <w:b/>
                <w:bCs/>
                <w:color w:val="000000"/>
                <w:sz w:val="16"/>
                <w:szCs w:val="16"/>
              </w:rPr>
              <w:t>53.952,33</w:t>
            </w:r>
          </w:p>
        </w:tc>
        <w:tc>
          <w:tcPr>
            <w:tcW w:w="960" w:type="dxa"/>
            <w:tcBorders>
              <w:top w:val="nil"/>
              <w:left w:val="nil"/>
              <w:bottom w:val="single" w:sz="4" w:space="0" w:color="auto"/>
              <w:right w:val="single" w:sz="4" w:space="0" w:color="auto"/>
            </w:tcBorders>
            <w:noWrap/>
            <w:vAlign w:val="center"/>
            <w:hideMark/>
          </w:tcPr>
          <w:p w14:paraId="59FD918F" w14:textId="77777777" w:rsidR="00416D67" w:rsidRPr="00416D67" w:rsidRDefault="00416D67" w:rsidP="00416D67">
            <w:pPr>
              <w:jc w:val="right"/>
              <w:rPr>
                <w:b/>
                <w:bCs/>
                <w:color w:val="000000"/>
                <w:sz w:val="16"/>
                <w:szCs w:val="16"/>
              </w:rPr>
            </w:pPr>
            <w:r w:rsidRPr="00416D67">
              <w:rPr>
                <w:b/>
                <w:bCs/>
                <w:color w:val="000000"/>
                <w:sz w:val="16"/>
                <w:szCs w:val="16"/>
              </w:rPr>
              <w:t>0,00</w:t>
            </w:r>
          </w:p>
        </w:tc>
        <w:tc>
          <w:tcPr>
            <w:tcW w:w="1180" w:type="dxa"/>
            <w:tcBorders>
              <w:top w:val="nil"/>
              <w:left w:val="nil"/>
              <w:bottom w:val="single" w:sz="4" w:space="0" w:color="auto"/>
              <w:right w:val="single" w:sz="4" w:space="0" w:color="auto"/>
            </w:tcBorders>
            <w:noWrap/>
            <w:vAlign w:val="center"/>
            <w:hideMark/>
          </w:tcPr>
          <w:p w14:paraId="6FC5FBFB" w14:textId="77777777" w:rsidR="00416D67" w:rsidRPr="00416D67" w:rsidRDefault="00416D67" w:rsidP="00416D67">
            <w:pPr>
              <w:jc w:val="right"/>
              <w:rPr>
                <w:b/>
                <w:bCs/>
                <w:color w:val="000000"/>
                <w:sz w:val="16"/>
                <w:szCs w:val="16"/>
              </w:rPr>
            </w:pPr>
            <w:r w:rsidRPr="00416D67">
              <w:rPr>
                <w:b/>
                <w:bCs/>
                <w:color w:val="000000"/>
                <w:sz w:val="16"/>
                <w:szCs w:val="16"/>
              </w:rPr>
              <w:t>53.952,33</w:t>
            </w:r>
          </w:p>
        </w:tc>
      </w:tr>
      <w:tr w:rsidR="00416D67" w:rsidRPr="00416D67" w14:paraId="1164F669"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2D189721" w14:textId="77777777" w:rsidR="00416D67" w:rsidRPr="00416D67" w:rsidRDefault="00416D67" w:rsidP="00416D67">
            <w:pPr>
              <w:rPr>
                <w:color w:val="000000"/>
                <w:sz w:val="16"/>
                <w:szCs w:val="16"/>
              </w:rPr>
            </w:pPr>
            <w:r w:rsidRPr="00416D67">
              <w:rPr>
                <w:color w:val="000000"/>
                <w:sz w:val="16"/>
                <w:szCs w:val="16"/>
              </w:rPr>
              <w:t>2321</w:t>
            </w:r>
          </w:p>
        </w:tc>
        <w:tc>
          <w:tcPr>
            <w:tcW w:w="4956" w:type="dxa"/>
            <w:tcBorders>
              <w:top w:val="nil"/>
              <w:left w:val="nil"/>
              <w:bottom w:val="single" w:sz="4" w:space="0" w:color="auto"/>
              <w:right w:val="single" w:sz="4" w:space="0" w:color="auto"/>
            </w:tcBorders>
            <w:vAlign w:val="center"/>
            <w:hideMark/>
          </w:tcPr>
          <w:p w14:paraId="236AA6C1" w14:textId="77777777" w:rsidR="00416D67" w:rsidRPr="00416D67" w:rsidRDefault="00416D67" w:rsidP="00416D67">
            <w:pPr>
              <w:rPr>
                <w:color w:val="000000"/>
                <w:sz w:val="16"/>
                <w:szCs w:val="16"/>
              </w:rPr>
            </w:pPr>
            <w:r w:rsidRPr="00416D67">
              <w:rPr>
                <w:color w:val="000000"/>
                <w:sz w:val="16"/>
                <w:szCs w:val="16"/>
              </w:rPr>
              <w:t>Naknade troškova zaposlenima</w:t>
            </w:r>
          </w:p>
        </w:tc>
        <w:tc>
          <w:tcPr>
            <w:tcW w:w="1060" w:type="dxa"/>
            <w:tcBorders>
              <w:top w:val="nil"/>
              <w:left w:val="nil"/>
              <w:bottom w:val="single" w:sz="4" w:space="0" w:color="auto"/>
              <w:right w:val="single" w:sz="4" w:space="0" w:color="auto"/>
            </w:tcBorders>
            <w:noWrap/>
            <w:vAlign w:val="center"/>
            <w:hideMark/>
          </w:tcPr>
          <w:p w14:paraId="4D8C04D1" w14:textId="77777777" w:rsidR="00416D67" w:rsidRPr="00416D67" w:rsidRDefault="00416D67" w:rsidP="00416D67">
            <w:pPr>
              <w:jc w:val="right"/>
              <w:rPr>
                <w:color w:val="000000"/>
                <w:sz w:val="16"/>
                <w:szCs w:val="16"/>
              </w:rPr>
            </w:pPr>
            <w:r w:rsidRPr="00416D67">
              <w:rPr>
                <w:color w:val="000000"/>
                <w:sz w:val="16"/>
                <w:szCs w:val="16"/>
              </w:rPr>
              <w:t>1.587,27</w:t>
            </w:r>
          </w:p>
        </w:tc>
        <w:tc>
          <w:tcPr>
            <w:tcW w:w="960" w:type="dxa"/>
            <w:tcBorders>
              <w:top w:val="nil"/>
              <w:left w:val="nil"/>
              <w:bottom w:val="single" w:sz="4" w:space="0" w:color="auto"/>
              <w:right w:val="single" w:sz="4" w:space="0" w:color="auto"/>
            </w:tcBorders>
            <w:noWrap/>
            <w:vAlign w:val="center"/>
            <w:hideMark/>
          </w:tcPr>
          <w:p w14:paraId="0FA1A371"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4707CD8A" w14:textId="77777777" w:rsidR="00416D67" w:rsidRPr="00416D67" w:rsidRDefault="00416D67" w:rsidP="00416D67">
            <w:pPr>
              <w:jc w:val="right"/>
              <w:rPr>
                <w:color w:val="000000"/>
                <w:sz w:val="16"/>
                <w:szCs w:val="16"/>
              </w:rPr>
            </w:pPr>
            <w:r w:rsidRPr="00416D67">
              <w:rPr>
                <w:color w:val="000000"/>
                <w:sz w:val="16"/>
                <w:szCs w:val="16"/>
              </w:rPr>
              <w:t>1.587,27</w:t>
            </w:r>
          </w:p>
        </w:tc>
      </w:tr>
      <w:tr w:rsidR="00416D67" w:rsidRPr="00416D67" w14:paraId="12699AC9"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694DD45D" w14:textId="77777777" w:rsidR="00416D67" w:rsidRPr="00416D67" w:rsidRDefault="00416D67" w:rsidP="00416D67">
            <w:pPr>
              <w:rPr>
                <w:color w:val="000000"/>
                <w:sz w:val="16"/>
                <w:szCs w:val="16"/>
              </w:rPr>
            </w:pPr>
            <w:r w:rsidRPr="00416D67">
              <w:rPr>
                <w:color w:val="000000"/>
                <w:sz w:val="16"/>
                <w:szCs w:val="16"/>
              </w:rPr>
              <w:t>2322</w:t>
            </w:r>
          </w:p>
        </w:tc>
        <w:tc>
          <w:tcPr>
            <w:tcW w:w="4956" w:type="dxa"/>
            <w:tcBorders>
              <w:top w:val="nil"/>
              <w:left w:val="nil"/>
              <w:bottom w:val="single" w:sz="4" w:space="0" w:color="auto"/>
              <w:right w:val="single" w:sz="4" w:space="0" w:color="auto"/>
            </w:tcBorders>
            <w:vAlign w:val="center"/>
            <w:hideMark/>
          </w:tcPr>
          <w:p w14:paraId="69D8D2CB" w14:textId="77777777" w:rsidR="00416D67" w:rsidRPr="00416D67" w:rsidRDefault="00416D67" w:rsidP="00416D67">
            <w:pPr>
              <w:rPr>
                <w:color w:val="000000"/>
                <w:sz w:val="16"/>
                <w:szCs w:val="16"/>
              </w:rPr>
            </w:pPr>
            <w:r w:rsidRPr="00416D67">
              <w:rPr>
                <w:color w:val="000000"/>
                <w:sz w:val="16"/>
                <w:szCs w:val="16"/>
              </w:rPr>
              <w:t>Rashodi za materijal i energiju</w:t>
            </w:r>
          </w:p>
        </w:tc>
        <w:tc>
          <w:tcPr>
            <w:tcW w:w="1060" w:type="dxa"/>
            <w:tcBorders>
              <w:top w:val="nil"/>
              <w:left w:val="nil"/>
              <w:bottom w:val="single" w:sz="4" w:space="0" w:color="auto"/>
              <w:right w:val="single" w:sz="4" w:space="0" w:color="auto"/>
            </w:tcBorders>
            <w:noWrap/>
            <w:vAlign w:val="center"/>
            <w:hideMark/>
          </w:tcPr>
          <w:p w14:paraId="3E1B9BE0" w14:textId="77777777" w:rsidR="00416D67" w:rsidRPr="00416D67" w:rsidRDefault="00416D67" w:rsidP="00416D67">
            <w:pPr>
              <w:jc w:val="right"/>
              <w:rPr>
                <w:color w:val="000000"/>
                <w:sz w:val="16"/>
                <w:szCs w:val="16"/>
              </w:rPr>
            </w:pPr>
            <w:r w:rsidRPr="00416D67">
              <w:rPr>
                <w:color w:val="000000"/>
                <w:sz w:val="16"/>
                <w:szCs w:val="16"/>
              </w:rPr>
              <w:t>568,77</w:t>
            </w:r>
          </w:p>
        </w:tc>
        <w:tc>
          <w:tcPr>
            <w:tcW w:w="960" w:type="dxa"/>
            <w:tcBorders>
              <w:top w:val="nil"/>
              <w:left w:val="nil"/>
              <w:bottom w:val="single" w:sz="4" w:space="0" w:color="auto"/>
              <w:right w:val="single" w:sz="4" w:space="0" w:color="auto"/>
            </w:tcBorders>
            <w:noWrap/>
            <w:vAlign w:val="center"/>
            <w:hideMark/>
          </w:tcPr>
          <w:p w14:paraId="4437A9F4"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267FDDB8" w14:textId="77777777" w:rsidR="00416D67" w:rsidRPr="00416D67" w:rsidRDefault="00416D67" w:rsidP="00416D67">
            <w:pPr>
              <w:jc w:val="right"/>
              <w:rPr>
                <w:color w:val="000000"/>
                <w:sz w:val="16"/>
                <w:szCs w:val="16"/>
              </w:rPr>
            </w:pPr>
            <w:r w:rsidRPr="00416D67">
              <w:rPr>
                <w:color w:val="000000"/>
                <w:sz w:val="16"/>
                <w:szCs w:val="16"/>
              </w:rPr>
              <w:t>568,77</w:t>
            </w:r>
          </w:p>
        </w:tc>
      </w:tr>
      <w:tr w:rsidR="00416D67" w:rsidRPr="00416D67" w14:paraId="202E1F4B"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7863DAAC" w14:textId="77777777" w:rsidR="00416D67" w:rsidRPr="00416D67" w:rsidRDefault="00416D67" w:rsidP="00416D67">
            <w:pPr>
              <w:rPr>
                <w:color w:val="000000"/>
                <w:sz w:val="16"/>
                <w:szCs w:val="16"/>
              </w:rPr>
            </w:pPr>
            <w:r w:rsidRPr="00416D67">
              <w:rPr>
                <w:color w:val="000000"/>
                <w:sz w:val="16"/>
                <w:szCs w:val="16"/>
              </w:rPr>
              <w:t>2323</w:t>
            </w:r>
          </w:p>
        </w:tc>
        <w:tc>
          <w:tcPr>
            <w:tcW w:w="4956" w:type="dxa"/>
            <w:tcBorders>
              <w:top w:val="nil"/>
              <w:left w:val="nil"/>
              <w:bottom w:val="single" w:sz="4" w:space="0" w:color="auto"/>
              <w:right w:val="single" w:sz="4" w:space="0" w:color="auto"/>
            </w:tcBorders>
            <w:vAlign w:val="center"/>
            <w:hideMark/>
          </w:tcPr>
          <w:p w14:paraId="29C8E788" w14:textId="77777777" w:rsidR="00416D67" w:rsidRPr="00416D67" w:rsidRDefault="00416D67" w:rsidP="00416D67">
            <w:pPr>
              <w:rPr>
                <w:color w:val="000000"/>
                <w:sz w:val="16"/>
                <w:szCs w:val="16"/>
              </w:rPr>
            </w:pPr>
            <w:r w:rsidRPr="00416D67">
              <w:rPr>
                <w:color w:val="000000"/>
                <w:sz w:val="16"/>
                <w:szCs w:val="16"/>
              </w:rPr>
              <w:t>Rashodi za usluge</w:t>
            </w:r>
          </w:p>
        </w:tc>
        <w:tc>
          <w:tcPr>
            <w:tcW w:w="1060" w:type="dxa"/>
            <w:tcBorders>
              <w:top w:val="nil"/>
              <w:left w:val="nil"/>
              <w:bottom w:val="single" w:sz="4" w:space="0" w:color="auto"/>
              <w:right w:val="single" w:sz="4" w:space="0" w:color="auto"/>
            </w:tcBorders>
            <w:noWrap/>
            <w:vAlign w:val="center"/>
            <w:hideMark/>
          </w:tcPr>
          <w:p w14:paraId="1B670761" w14:textId="77777777" w:rsidR="00416D67" w:rsidRPr="00416D67" w:rsidRDefault="00416D67" w:rsidP="00416D67">
            <w:pPr>
              <w:jc w:val="right"/>
              <w:rPr>
                <w:color w:val="000000"/>
                <w:sz w:val="16"/>
                <w:szCs w:val="16"/>
              </w:rPr>
            </w:pPr>
            <w:r w:rsidRPr="00416D67">
              <w:rPr>
                <w:color w:val="000000"/>
                <w:sz w:val="16"/>
                <w:szCs w:val="16"/>
              </w:rPr>
              <w:t>1.516,81</w:t>
            </w:r>
          </w:p>
        </w:tc>
        <w:tc>
          <w:tcPr>
            <w:tcW w:w="960" w:type="dxa"/>
            <w:tcBorders>
              <w:top w:val="nil"/>
              <w:left w:val="nil"/>
              <w:bottom w:val="single" w:sz="4" w:space="0" w:color="auto"/>
              <w:right w:val="single" w:sz="4" w:space="0" w:color="auto"/>
            </w:tcBorders>
            <w:noWrap/>
            <w:vAlign w:val="center"/>
            <w:hideMark/>
          </w:tcPr>
          <w:p w14:paraId="5A92C5D7" w14:textId="77777777" w:rsidR="00416D67" w:rsidRPr="00416D67" w:rsidRDefault="00416D67" w:rsidP="00416D67">
            <w:pPr>
              <w:jc w:val="right"/>
              <w:rPr>
                <w:color w:val="000000"/>
                <w:sz w:val="16"/>
                <w:szCs w:val="16"/>
              </w:rPr>
            </w:pPr>
            <w:r w:rsidRPr="00416D67">
              <w:rPr>
                <w:color w:val="000000"/>
                <w:sz w:val="16"/>
                <w:szCs w:val="16"/>
              </w:rPr>
              <w:t xml:space="preserve"> </w:t>
            </w:r>
          </w:p>
        </w:tc>
        <w:tc>
          <w:tcPr>
            <w:tcW w:w="1180" w:type="dxa"/>
            <w:tcBorders>
              <w:top w:val="nil"/>
              <w:left w:val="nil"/>
              <w:bottom w:val="single" w:sz="4" w:space="0" w:color="auto"/>
              <w:right w:val="single" w:sz="4" w:space="0" w:color="auto"/>
            </w:tcBorders>
            <w:noWrap/>
            <w:vAlign w:val="center"/>
            <w:hideMark/>
          </w:tcPr>
          <w:p w14:paraId="4BBCAC63" w14:textId="77777777" w:rsidR="00416D67" w:rsidRPr="00416D67" w:rsidRDefault="00416D67" w:rsidP="00416D67">
            <w:pPr>
              <w:jc w:val="right"/>
              <w:rPr>
                <w:color w:val="000000"/>
                <w:sz w:val="16"/>
                <w:szCs w:val="16"/>
              </w:rPr>
            </w:pPr>
            <w:r w:rsidRPr="00416D67">
              <w:rPr>
                <w:color w:val="000000"/>
                <w:sz w:val="16"/>
                <w:szCs w:val="16"/>
              </w:rPr>
              <w:t>1.516,81</w:t>
            </w:r>
          </w:p>
        </w:tc>
      </w:tr>
      <w:tr w:rsidR="00416D67" w:rsidRPr="00416D67" w14:paraId="61AFBF75" w14:textId="77777777" w:rsidTr="00BB1392">
        <w:trPr>
          <w:trHeight w:val="151"/>
        </w:trPr>
        <w:tc>
          <w:tcPr>
            <w:tcW w:w="1135" w:type="dxa"/>
            <w:tcBorders>
              <w:top w:val="nil"/>
              <w:left w:val="single" w:sz="4" w:space="0" w:color="auto"/>
              <w:bottom w:val="single" w:sz="4" w:space="0" w:color="auto"/>
              <w:right w:val="single" w:sz="4" w:space="0" w:color="auto"/>
            </w:tcBorders>
            <w:noWrap/>
            <w:vAlign w:val="center"/>
            <w:hideMark/>
          </w:tcPr>
          <w:p w14:paraId="2473451B" w14:textId="77777777" w:rsidR="00416D67" w:rsidRPr="00416D67" w:rsidRDefault="00416D67" w:rsidP="00416D67">
            <w:pPr>
              <w:rPr>
                <w:color w:val="000000"/>
                <w:sz w:val="16"/>
                <w:szCs w:val="16"/>
              </w:rPr>
            </w:pPr>
            <w:r w:rsidRPr="00416D67">
              <w:rPr>
                <w:color w:val="000000"/>
                <w:sz w:val="16"/>
                <w:szCs w:val="16"/>
              </w:rPr>
              <w:t>2329</w:t>
            </w:r>
          </w:p>
        </w:tc>
        <w:tc>
          <w:tcPr>
            <w:tcW w:w="4956" w:type="dxa"/>
            <w:tcBorders>
              <w:top w:val="nil"/>
              <w:left w:val="nil"/>
              <w:bottom w:val="single" w:sz="4" w:space="0" w:color="auto"/>
              <w:right w:val="single" w:sz="4" w:space="0" w:color="auto"/>
            </w:tcBorders>
            <w:vAlign w:val="center"/>
            <w:hideMark/>
          </w:tcPr>
          <w:p w14:paraId="752EF3DF" w14:textId="77777777" w:rsidR="00416D67" w:rsidRPr="00416D67" w:rsidRDefault="00416D67" w:rsidP="00416D67">
            <w:pPr>
              <w:rPr>
                <w:color w:val="000000"/>
                <w:sz w:val="16"/>
                <w:szCs w:val="16"/>
              </w:rPr>
            </w:pPr>
            <w:r w:rsidRPr="00416D67">
              <w:rPr>
                <w:color w:val="000000"/>
                <w:sz w:val="16"/>
                <w:szCs w:val="16"/>
              </w:rPr>
              <w:t>Ostali nespomenuti rashodi poslovanja</w:t>
            </w:r>
          </w:p>
        </w:tc>
        <w:tc>
          <w:tcPr>
            <w:tcW w:w="1060" w:type="dxa"/>
            <w:tcBorders>
              <w:top w:val="nil"/>
              <w:left w:val="nil"/>
              <w:bottom w:val="single" w:sz="4" w:space="0" w:color="auto"/>
              <w:right w:val="single" w:sz="4" w:space="0" w:color="auto"/>
            </w:tcBorders>
            <w:noWrap/>
            <w:vAlign w:val="center"/>
            <w:hideMark/>
          </w:tcPr>
          <w:p w14:paraId="254EB4C3" w14:textId="77777777" w:rsidR="00416D67" w:rsidRPr="00416D67" w:rsidRDefault="00416D67" w:rsidP="00416D67">
            <w:pPr>
              <w:jc w:val="right"/>
              <w:rPr>
                <w:color w:val="000000"/>
                <w:sz w:val="16"/>
                <w:szCs w:val="16"/>
              </w:rPr>
            </w:pPr>
            <w:r w:rsidRPr="00416D67">
              <w:rPr>
                <w:color w:val="000000"/>
                <w:sz w:val="16"/>
                <w:szCs w:val="16"/>
              </w:rPr>
              <w:t>1.680,00</w:t>
            </w:r>
          </w:p>
        </w:tc>
        <w:tc>
          <w:tcPr>
            <w:tcW w:w="960" w:type="dxa"/>
            <w:tcBorders>
              <w:top w:val="nil"/>
              <w:left w:val="nil"/>
              <w:bottom w:val="single" w:sz="4" w:space="0" w:color="auto"/>
              <w:right w:val="single" w:sz="4" w:space="0" w:color="auto"/>
            </w:tcBorders>
            <w:noWrap/>
            <w:vAlign w:val="center"/>
            <w:hideMark/>
          </w:tcPr>
          <w:p w14:paraId="57797554" w14:textId="77777777" w:rsidR="00416D67" w:rsidRPr="00416D67" w:rsidRDefault="00416D67" w:rsidP="00416D67">
            <w:pPr>
              <w:jc w:val="right"/>
              <w:rPr>
                <w:color w:val="000000"/>
                <w:sz w:val="16"/>
                <w:szCs w:val="16"/>
              </w:rPr>
            </w:pPr>
            <w:r w:rsidRPr="00416D67">
              <w:rPr>
                <w:color w:val="000000"/>
                <w:sz w:val="16"/>
                <w:szCs w:val="16"/>
              </w:rPr>
              <w:t xml:space="preserve"> </w:t>
            </w:r>
          </w:p>
        </w:tc>
        <w:tc>
          <w:tcPr>
            <w:tcW w:w="1180" w:type="dxa"/>
            <w:tcBorders>
              <w:top w:val="nil"/>
              <w:left w:val="nil"/>
              <w:bottom w:val="single" w:sz="4" w:space="0" w:color="auto"/>
              <w:right w:val="single" w:sz="4" w:space="0" w:color="auto"/>
            </w:tcBorders>
            <w:noWrap/>
            <w:vAlign w:val="center"/>
            <w:hideMark/>
          </w:tcPr>
          <w:p w14:paraId="69970535" w14:textId="77777777" w:rsidR="00416D67" w:rsidRPr="00416D67" w:rsidRDefault="00416D67" w:rsidP="00416D67">
            <w:pPr>
              <w:jc w:val="right"/>
              <w:rPr>
                <w:color w:val="000000"/>
                <w:sz w:val="16"/>
                <w:szCs w:val="16"/>
              </w:rPr>
            </w:pPr>
            <w:r w:rsidRPr="00416D67">
              <w:rPr>
                <w:color w:val="000000"/>
                <w:sz w:val="16"/>
                <w:szCs w:val="16"/>
              </w:rPr>
              <w:t>1.680,00</w:t>
            </w:r>
          </w:p>
        </w:tc>
      </w:tr>
      <w:tr w:rsidR="00416D67" w:rsidRPr="00416D67" w14:paraId="0B870F7F"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2E50D95A" w14:textId="77777777" w:rsidR="00416D67" w:rsidRPr="00416D67" w:rsidRDefault="00416D67" w:rsidP="00416D67">
            <w:pPr>
              <w:rPr>
                <w:b/>
                <w:bCs/>
                <w:color w:val="000000"/>
                <w:sz w:val="16"/>
                <w:szCs w:val="16"/>
              </w:rPr>
            </w:pPr>
            <w:r w:rsidRPr="00416D67">
              <w:rPr>
                <w:b/>
                <w:bCs/>
                <w:color w:val="000000"/>
                <w:sz w:val="16"/>
                <w:szCs w:val="16"/>
              </w:rPr>
              <w:t>232</w:t>
            </w:r>
          </w:p>
        </w:tc>
        <w:tc>
          <w:tcPr>
            <w:tcW w:w="4956" w:type="dxa"/>
            <w:tcBorders>
              <w:top w:val="nil"/>
              <w:left w:val="nil"/>
              <w:bottom w:val="single" w:sz="4" w:space="0" w:color="auto"/>
              <w:right w:val="single" w:sz="4" w:space="0" w:color="auto"/>
            </w:tcBorders>
            <w:vAlign w:val="center"/>
            <w:hideMark/>
          </w:tcPr>
          <w:p w14:paraId="6EAF101C" w14:textId="77777777" w:rsidR="00416D67" w:rsidRPr="00416D67" w:rsidRDefault="00416D67" w:rsidP="00416D67">
            <w:pPr>
              <w:rPr>
                <w:b/>
                <w:bCs/>
                <w:color w:val="000000"/>
                <w:sz w:val="16"/>
                <w:szCs w:val="16"/>
              </w:rPr>
            </w:pPr>
            <w:r w:rsidRPr="00416D67">
              <w:rPr>
                <w:b/>
                <w:bCs/>
                <w:color w:val="000000"/>
                <w:sz w:val="16"/>
                <w:szCs w:val="16"/>
              </w:rPr>
              <w:t>Obveze za materijalne rashode</w:t>
            </w:r>
          </w:p>
        </w:tc>
        <w:tc>
          <w:tcPr>
            <w:tcW w:w="1060" w:type="dxa"/>
            <w:tcBorders>
              <w:top w:val="nil"/>
              <w:left w:val="nil"/>
              <w:bottom w:val="single" w:sz="4" w:space="0" w:color="auto"/>
              <w:right w:val="single" w:sz="4" w:space="0" w:color="auto"/>
            </w:tcBorders>
            <w:noWrap/>
            <w:vAlign w:val="center"/>
            <w:hideMark/>
          </w:tcPr>
          <w:p w14:paraId="4D09E7C6" w14:textId="77777777" w:rsidR="00416D67" w:rsidRPr="00416D67" w:rsidRDefault="00416D67" w:rsidP="00416D67">
            <w:pPr>
              <w:jc w:val="right"/>
              <w:rPr>
                <w:b/>
                <w:bCs/>
                <w:color w:val="000000"/>
                <w:sz w:val="16"/>
                <w:szCs w:val="16"/>
              </w:rPr>
            </w:pPr>
            <w:r w:rsidRPr="00416D67">
              <w:rPr>
                <w:b/>
                <w:bCs/>
                <w:color w:val="000000"/>
                <w:sz w:val="16"/>
                <w:szCs w:val="16"/>
              </w:rPr>
              <w:t>5.352,85</w:t>
            </w:r>
          </w:p>
        </w:tc>
        <w:tc>
          <w:tcPr>
            <w:tcW w:w="960" w:type="dxa"/>
            <w:tcBorders>
              <w:top w:val="nil"/>
              <w:left w:val="nil"/>
              <w:bottom w:val="single" w:sz="4" w:space="0" w:color="auto"/>
              <w:right w:val="single" w:sz="4" w:space="0" w:color="auto"/>
            </w:tcBorders>
            <w:noWrap/>
            <w:vAlign w:val="center"/>
            <w:hideMark/>
          </w:tcPr>
          <w:p w14:paraId="100D7C76" w14:textId="77777777" w:rsidR="00416D67" w:rsidRPr="00416D67" w:rsidRDefault="00416D67" w:rsidP="00416D67">
            <w:pPr>
              <w:jc w:val="right"/>
              <w:rPr>
                <w:b/>
                <w:bCs/>
                <w:color w:val="000000"/>
                <w:sz w:val="16"/>
                <w:szCs w:val="16"/>
              </w:rPr>
            </w:pPr>
            <w:r w:rsidRPr="00416D67">
              <w:rPr>
                <w:b/>
                <w:bCs/>
                <w:color w:val="000000"/>
                <w:sz w:val="16"/>
                <w:szCs w:val="16"/>
              </w:rPr>
              <w:t>0,00</w:t>
            </w:r>
          </w:p>
        </w:tc>
        <w:tc>
          <w:tcPr>
            <w:tcW w:w="1180" w:type="dxa"/>
            <w:tcBorders>
              <w:top w:val="nil"/>
              <w:left w:val="nil"/>
              <w:bottom w:val="single" w:sz="4" w:space="0" w:color="auto"/>
              <w:right w:val="single" w:sz="4" w:space="0" w:color="auto"/>
            </w:tcBorders>
            <w:noWrap/>
            <w:vAlign w:val="center"/>
            <w:hideMark/>
          </w:tcPr>
          <w:p w14:paraId="706C7310" w14:textId="77777777" w:rsidR="00416D67" w:rsidRPr="00416D67" w:rsidRDefault="00416D67" w:rsidP="00416D67">
            <w:pPr>
              <w:jc w:val="right"/>
              <w:rPr>
                <w:b/>
                <w:bCs/>
                <w:color w:val="000000"/>
                <w:sz w:val="16"/>
                <w:szCs w:val="16"/>
              </w:rPr>
            </w:pPr>
            <w:r w:rsidRPr="00416D67">
              <w:rPr>
                <w:b/>
                <w:bCs/>
                <w:color w:val="000000"/>
                <w:sz w:val="16"/>
                <w:szCs w:val="16"/>
              </w:rPr>
              <w:t>5.352,85</w:t>
            </w:r>
          </w:p>
        </w:tc>
      </w:tr>
      <w:tr w:rsidR="00416D67" w:rsidRPr="00416D67" w14:paraId="0E2433B1" w14:textId="77777777" w:rsidTr="00BB1392">
        <w:trPr>
          <w:trHeight w:val="216"/>
        </w:trPr>
        <w:tc>
          <w:tcPr>
            <w:tcW w:w="1135" w:type="dxa"/>
            <w:tcBorders>
              <w:top w:val="nil"/>
              <w:left w:val="single" w:sz="4" w:space="0" w:color="auto"/>
              <w:bottom w:val="single" w:sz="4" w:space="0" w:color="auto"/>
              <w:right w:val="single" w:sz="4" w:space="0" w:color="auto"/>
            </w:tcBorders>
            <w:noWrap/>
            <w:vAlign w:val="center"/>
            <w:hideMark/>
          </w:tcPr>
          <w:p w14:paraId="576A3727" w14:textId="77777777" w:rsidR="00416D67" w:rsidRPr="00416D67" w:rsidRDefault="00416D67" w:rsidP="00416D67">
            <w:pPr>
              <w:rPr>
                <w:color w:val="000000"/>
                <w:sz w:val="16"/>
                <w:szCs w:val="16"/>
              </w:rPr>
            </w:pPr>
            <w:r w:rsidRPr="00416D67">
              <w:rPr>
                <w:color w:val="000000"/>
                <w:sz w:val="16"/>
                <w:szCs w:val="16"/>
              </w:rPr>
              <w:t>2343</w:t>
            </w:r>
          </w:p>
        </w:tc>
        <w:tc>
          <w:tcPr>
            <w:tcW w:w="4956" w:type="dxa"/>
            <w:tcBorders>
              <w:top w:val="nil"/>
              <w:left w:val="nil"/>
              <w:bottom w:val="single" w:sz="4" w:space="0" w:color="auto"/>
              <w:right w:val="single" w:sz="4" w:space="0" w:color="auto"/>
            </w:tcBorders>
            <w:vAlign w:val="center"/>
            <w:hideMark/>
          </w:tcPr>
          <w:p w14:paraId="20D2BFF7" w14:textId="77777777" w:rsidR="00416D67" w:rsidRPr="00416D67" w:rsidRDefault="00416D67" w:rsidP="00416D67">
            <w:pPr>
              <w:rPr>
                <w:color w:val="000000"/>
                <w:sz w:val="16"/>
                <w:szCs w:val="16"/>
              </w:rPr>
            </w:pPr>
            <w:r w:rsidRPr="00416D67">
              <w:rPr>
                <w:color w:val="000000"/>
                <w:sz w:val="16"/>
                <w:szCs w:val="16"/>
              </w:rPr>
              <w:t>Obveze za ostale financijske rashode</w:t>
            </w:r>
          </w:p>
        </w:tc>
        <w:tc>
          <w:tcPr>
            <w:tcW w:w="1060" w:type="dxa"/>
            <w:tcBorders>
              <w:top w:val="nil"/>
              <w:left w:val="nil"/>
              <w:bottom w:val="single" w:sz="4" w:space="0" w:color="auto"/>
              <w:right w:val="single" w:sz="4" w:space="0" w:color="auto"/>
            </w:tcBorders>
            <w:noWrap/>
            <w:vAlign w:val="center"/>
            <w:hideMark/>
          </w:tcPr>
          <w:p w14:paraId="501B36AE" w14:textId="77777777" w:rsidR="00416D67" w:rsidRPr="00416D67" w:rsidRDefault="00416D67" w:rsidP="00416D67">
            <w:pPr>
              <w:jc w:val="right"/>
              <w:rPr>
                <w:color w:val="000000"/>
                <w:sz w:val="16"/>
                <w:szCs w:val="16"/>
              </w:rPr>
            </w:pPr>
            <w:r w:rsidRPr="00416D67">
              <w:rPr>
                <w:color w:val="000000"/>
                <w:sz w:val="16"/>
                <w:szCs w:val="16"/>
              </w:rPr>
              <w:t>64,42</w:t>
            </w:r>
          </w:p>
        </w:tc>
        <w:tc>
          <w:tcPr>
            <w:tcW w:w="960" w:type="dxa"/>
            <w:tcBorders>
              <w:top w:val="nil"/>
              <w:left w:val="nil"/>
              <w:bottom w:val="single" w:sz="4" w:space="0" w:color="auto"/>
              <w:right w:val="single" w:sz="4" w:space="0" w:color="auto"/>
            </w:tcBorders>
            <w:noWrap/>
            <w:vAlign w:val="center"/>
            <w:hideMark/>
          </w:tcPr>
          <w:p w14:paraId="3F0D83C8"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04856FF1" w14:textId="77777777" w:rsidR="00416D67" w:rsidRPr="00416D67" w:rsidRDefault="00416D67" w:rsidP="00416D67">
            <w:pPr>
              <w:jc w:val="right"/>
              <w:rPr>
                <w:color w:val="000000"/>
                <w:sz w:val="16"/>
                <w:szCs w:val="16"/>
              </w:rPr>
            </w:pPr>
            <w:r w:rsidRPr="00416D67">
              <w:rPr>
                <w:color w:val="000000"/>
                <w:sz w:val="16"/>
                <w:szCs w:val="16"/>
              </w:rPr>
              <w:t>64,42</w:t>
            </w:r>
          </w:p>
        </w:tc>
      </w:tr>
      <w:tr w:rsidR="00416D67" w:rsidRPr="00416D67" w14:paraId="32341D36"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1DDFB730" w14:textId="77777777" w:rsidR="00416D67" w:rsidRPr="00416D67" w:rsidRDefault="00416D67" w:rsidP="00416D67">
            <w:pPr>
              <w:rPr>
                <w:b/>
                <w:bCs/>
                <w:color w:val="000000"/>
                <w:sz w:val="16"/>
                <w:szCs w:val="16"/>
              </w:rPr>
            </w:pPr>
            <w:r w:rsidRPr="00416D67">
              <w:rPr>
                <w:b/>
                <w:bCs/>
                <w:color w:val="000000"/>
                <w:sz w:val="16"/>
                <w:szCs w:val="16"/>
              </w:rPr>
              <w:t>234</w:t>
            </w:r>
          </w:p>
        </w:tc>
        <w:tc>
          <w:tcPr>
            <w:tcW w:w="4956" w:type="dxa"/>
            <w:tcBorders>
              <w:top w:val="nil"/>
              <w:left w:val="nil"/>
              <w:bottom w:val="single" w:sz="4" w:space="0" w:color="auto"/>
              <w:right w:val="single" w:sz="4" w:space="0" w:color="auto"/>
            </w:tcBorders>
            <w:vAlign w:val="center"/>
            <w:hideMark/>
          </w:tcPr>
          <w:p w14:paraId="2A837485" w14:textId="77777777" w:rsidR="00416D67" w:rsidRPr="00416D67" w:rsidRDefault="00416D67" w:rsidP="00416D67">
            <w:pPr>
              <w:rPr>
                <w:b/>
                <w:bCs/>
                <w:color w:val="000000"/>
                <w:sz w:val="16"/>
                <w:szCs w:val="16"/>
              </w:rPr>
            </w:pPr>
            <w:r w:rsidRPr="00416D67">
              <w:rPr>
                <w:b/>
                <w:bCs/>
                <w:color w:val="000000"/>
                <w:sz w:val="16"/>
                <w:szCs w:val="16"/>
              </w:rPr>
              <w:t>Obveze za financijske rashode</w:t>
            </w:r>
          </w:p>
        </w:tc>
        <w:tc>
          <w:tcPr>
            <w:tcW w:w="1060" w:type="dxa"/>
            <w:tcBorders>
              <w:top w:val="nil"/>
              <w:left w:val="nil"/>
              <w:bottom w:val="single" w:sz="4" w:space="0" w:color="auto"/>
              <w:right w:val="single" w:sz="4" w:space="0" w:color="auto"/>
            </w:tcBorders>
            <w:noWrap/>
            <w:vAlign w:val="center"/>
            <w:hideMark/>
          </w:tcPr>
          <w:p w14:paraId="1019E21E" w14:textId="77777777" w:rsidR="00416D67" w:rsidRPr="00416D67" w:rsidRDefault="00416D67" w:rsidP="00416D67">
            <w:pPr>
              <w:jc w:val="right"/>
              <w:rPr>
                <w:b/>
                <w:bCs/>
                <w:color w:val="000000"/>
                <w:sz w:val="16"/>
                <w:szCs w:val="16"/>
              </w:rPr>
            </w:pPr>
            <w:r w:rsidRPr="00416D67">
              <w:rPr>
                <w:b/>
                <w:bCs/>
                <w:color w:val="000000"/>
                <w:sz w:val="16"/>
                <w:szCs w:val="16"/>
              </w:rPr>
              <w:t>64,42</w:t>
            </w:r>
          </w:p>
        </w:tc>
        <w:tc>
          <w:tcPr>
            <w:tcW w:w="960" w:type="dxa"/>
            <w:tcBorders>
              <w:top w:val="nil"/>
              <w:left w:val="nil"/>
              <w:bottom w:val="single" w:sz="4" w:space="0" w:color="auto"/>
              <w:right w:val="single" w:sz="4" w:space="0" w:color="auto"/>
            </w:tcBorders>
            <w:noWrap/>
            <w:vAlign w:val="center"/>
            <w:hideMark/>
          </w:tcPr>
          <w:p w14:paraId="4C045D88" w14:textId="77777777" w:rsidR="00416D67" w:rsidRPr="00416D67" w:rsidRDefault="00416D67" w:rsidP="00416D67">
            <w:pPr>
              <w:jc w:val="right"/>
              <w:rPr>
                <w:b/>
                <w:bCs/>
                <w:color w:val="000000"/>
                <w:sz w:val="16"/>
                <w:szCs w:val="16"/>
              </w:rPr>
            </w:pPr>
            <w:r w:rsidRPr="00416D67">
              <w:rPr>
                <w:b/>
                <w:bCs/>
                <w:color w:val="000000"/>
                <w:sz w:val="16"/>
                <w:szCs w:val="16"/>
              </w:rPr>
              <w:t xml:space="preserve"> </w:t>
            </w:r>
          </w:p>
        </w:tc>
        <w:tc>
          <w:tcPr>
            <w:tcW w:w="1180" w:type="dxa"/>
            <w:tcBorders>
              <w:top w:val="nil"/>
              <w:left w:val="nil"/>
              <w:bottom w:val="single" w:sz="4" w:space="0" w:color="auto"/>
              <w:right w:val="single" w:sz="4" w:space="0" w:color="auto"/>
            </w:tcBorders>
            <w:noWrap/>
            <w:vAlign w:val="center"/>
            <w:hideMark/>
          </w:tcPr>
          <w:p w14:paraId="5E8512EE" w14:textId="77777777" w:rsidR="00416D67" w:rsidRPr="00416D67" w:rsidRDefault="00416D67" w:rsidP="00416D67">
            <w:pPr>
              <w:jc w:val="right"/>
              <w:rPr>
                <w:b/>
                <w:bCs/>
                <w:color w:val="000000"/>
                <w:sz w:val="16"/>
                <w:szCs w:val="16"/>
              </w:rPr>
            </w:pPr>
            <w:r w:rsidRPr="00416D67">
              <w:rPr>
                <w:b/>
                <w:bCs/>
                <w:color w:val="000000"/>
                <w:sz w:val="16"/>
                <w:szCs w:val="16"/>
              </w:rPr>
              <w:t>64,42</w:t>
            </w:r>
          </w:p>
        </w:tc>
      </w:tr>
      <w:tr w:rsidR="00416D67" w:rsidRPr="00416D67" w14:paraId="55AF1C3E" w14:textId="77777777" w:rsidTr="00BB1392">
        <w:trPr>
          <w:trHeight w:val="110"/>
        </w:trPr>
        <w:tc>
          <w:tcPr>
            <w:tcW w:w="1135" w:type="dxa"/>
            <w:tcBorders>
              <w:top w:val="nil"/>
              <w:left w:val="single" w:sz="4" w:space="0" w:color="auto"/>
              <w:bottom w:val="single" w:sz="4" w:space="0" w:color="auto"/>
              <w:right w:val="single" w:sz="4" w:space="0" w:color="auto"/>
            </w:tcBorders>
            <w:noWrap/>
            <w:vAlign w:val="center"/>
            <w:hideMark/>
          </w:tcPr>
          <w:p w14:paraId="145177E9" w14:textId="77777777" w:rsidR="00416D67" w:rsidRPr="00416D67" w:rsidRDefault="00416D67" w:rsidP="00416D67">
            <w:pPr>
              <w:rPr>
                <w:color w:val="000000"/>
                <w:sz w:val="16"/>
                <w:szCs w:val="16"/>
              </w:rPr>
            </w:pPr>
            <w:r w:rsidRPr="00416D67">
              <w:rPr>
                <w:color w:val="000000"/>
                <w:sz w:val="16"/>
                <w:szCs w:val="16"/>
              </w:rPr>
              <w:t>2395</w:t>
            </w:r>
          </w:p>
        </w:tc>
        <w:tc>
          <w:tcPr>
            <w:tcW w:w="4956" w:type="dxa"/>
            <w:tcBorders>
              <w:top w:val="nil"/>
              <w:left w:val="nil"/>
              <w:bottom w:val="single" w:sz="4" w:space="0" w:color="auto"/>
              <w:right w:val="single" w:sz="4" w:space="0" w:color="auto"/>
            </w:tcBorders>
            <w:vAlign w:val="center"/>
            <w:hideMark/>
          </w:tcPr>
          <w:p w14:paraId="1471F093" w14:textId="77777777" w:rsidR="00416D67" w:rsidRPr="00416D67" w:rsidRDefault="00416D67" w:rsidP="00416D67">
            <w:pPr>
              <w:rPr>
                <w:color w:val="000000"/>
                <w:sz w:val="16"/>
                <w:szCs w:val="16"/>
              </w:rPr>
            </w:pPr>
            <w:r w:rsidRPr="00416D67">
              <w:rPr>
                <w:color w:val="000000"/>
                <w:sz w:val="16"/>
                <w:szCs w:val="16"/>
              </w:rPr>
              <w:t>Ostale nespomenute obveze</w:t>
            </w:r>
          </w:p>
        </w:tc>
        <w:tc>
          <w:tcPr>
            <w:tcW w:w="1060" w:type="dxa"/>
            <w:tcBorders>
              <w:top w:val="nil"/>
              <w:left w:val="nil"/>
              <w:bottom w:val="single" w:sz="4" w:space="0" w:color="auto"/>
              <w:right w:val="single" w:sz="4" w:space="0" w:color="auto"/>
            </w:tcBorders>
            <w:noWrap/>
            <w:vAlign w:val="center"/>
            <w:hideMark/>
          </w:tcPr>
          <w:p w14:paraId="72270374" w14:textId="77777777" w:rsidR="00416D67" w:rsidRPr="00416D67" w:rsidRDefault="00416D67" w:rsidP="00416D67">
            <w:pPr>
              <w:jc w:val="right"/>
              <w:rPr>
                <w:color w:val="000000"/>
                <w:sz w:val="16"/>
                <w:szCs w:val="16"/>
              </w:rPr>
            </w:pPr>
            <w:r w:rsidRPr="00416D67">
              <w:rPr>
                <w:color w:val="000000"/>
                <w:sz w:val="16"/>
                <w:szCs w:val="16"/>
              </w:rPr>
              <w:t>659,09</w:t>
            </w:r>
          </w:p>
        </w:tc>
        <w:tc>
          <w:tcPr>
            <w:tcW w:w="960" w:type="dxa"/>
            <w:tcBorders>
              <w:top w:val="nil"/>
              <w:left w:val="nil"/>
              <w:bottom w:val="single" w:sz="4" w:space="0" w:color="auto"/>
              <w:right w:val="single" w:sz="4" w:space="0" w:color="auto"/>
            </w:tcBorders>
            <w:noWrap/>
            <w:vAlign w:val="center"/>
            <w:hideMark/>
          </w:tcPr>
          <w:p w14:paraId="5DBC60FD" w14:textId="77777777" w:rsidR="00416D67" w:rsidRPr="00416D67" w:rsidRDefault="00416D67" w:rsidP="00416D67">
            <w:pPr>
              <w:rPr>
                <w:color w:val="000000"/>
                <w:sz w:val="16"/>
                <w:szCs w:val="16"/>
              </w:rPr>
            </w:pPr>
            <w:r w:rsidRPr="00416D67">
              <w:rPr>
                <w:color w:val="000000"/>
                <w:sz w:val="16"/>
                <w:szCs w:val="16"/>
              </w:rPr>
              <w:t> </w:t>
            </w:r>
          </w:p>
        </w:tc>
        <w:tc>
          <w:tcPr>
            <w:tcW w:w="1180" w:type="dxa"/>
            <w:tcBorders>
              <w:top w:val="nil"/>
              <w:left w:val="nil"/>
              <w:bottom w:val="single" w:sz="4" w:space="0" w:color="auto"/>
              <w:right w:val="single" w:sz="4" w:space="0" w:color="auto"/>
            </w:tcBorders>
            <w:noWrap/>
            <w:vAlign w:val="center"/>
            <w:hideMark/>
          </w:tcPr>
          <w:p w14:paraId="1EE1C0D3" w14:textId="77777777" w:rsidR="00416D67" w:rsidRPr="00416D67" w:rsidRDefault="00416D67" w:rsidP="00416D67">
            <w:pPr>
              <w:jc w:val="right"/>
              <w:rPr>
                <w:color w:val="000000"/>
                <w:sz w:val="16"/>
                <w:szCs w:val="16"/>
              </w:rPr>
            </w:pPr>
            <w:r w:rsidRPr="00416D67">
              <w:rPr>
                <w:color w:val="000000"/>
                <w:sz w:val="16"/>
                <w:szCs w:val="16"/>
              </w:rPr>
              <w:t>659,09</w:t>
            </w:r>
          </w:p>
        </w:tc>
      </w:tr>
      <w:tr w:rsidR="00416D67" w:rsidRPr="00416D67" w14:paraId="67BD0952"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39DB5C34" w14:textId="77777777" w:rsidR="00416D67" w:rsidRPr="00416D67" w:rsidRDefault="00416D67" w:rsidP="00416D67">
            <w:pPr>
              <w:rPr>
                <w:b/>
                <w:bCs/>
                <w:color w:val="000000"/>
                <w:sz w:val="16"/>
                <w:szCs w:val="16"/>
              </w:rPr>
            </w:pPr>
            <w:r w:rsidRPr="00416D67">
              <w:rPr>
                <w:b/>
                <w:bCs/>
                <w:color w:val="000000"/>
                <w:sz w:val="16"/>
                <w:szCs w:val="16"/>
              </w:rPr>
              <w:t>239</w:t>
            </w:r>
          </w:p>
        </w:tc>
        <w:tc>
          <w:tcPr>
            <w:tcW w:w="4956" w:type="dxa"/>
            <w:tcBorders>
              <w:top w:val="nil"/>
              <w:left w:val="nil"/>
              <w:bottom w:val="single" w:sz="4" w:space="0" w:color="auto"/>
              <w:right w:val="single" w:sz="4" w:space="0" w:color="auto"/>
            </w:tcBorders>
            <w:vAlign w:val="center"/>
            <w:hideMark/>
          </w:tcPr>
          <w:p w14:paraId="2F6CFD06" w14:textId="77777777" w:rsidR="00416D67" w:rsidRPr="00416D67" w:rsidRDefault="00416D67" w:rsidP="00416D67">
            <w:pPr>
              <w:rPr>
                <w:b/>
                <w:bCs/>
                <w:color w:val="000000"/>
                <w:sz w:val="16"/>
                <w:szCs w:val="16"/>
              </w:rPr>
            </w:pPr>
            <w:r w:rsidRPr="00416D67">
              <w:rPr>
                <w:b/>
                <w:bCs/>
                <w:color w:val="000000"/>
                <w:sz w:val="16"/>
                <w:szCs w:val="16"/>
              </w:rPr>
              <w:t>Ostale tekuće obveze</w:t>
            </w:r>
          </w:p>
        </w:tc>
        <w:tc>
          <w:tcPr>
            <w:tcW w:w="1060" w:type="dxa"/>
            <w:tcBorders>
              <w:top w:val="nil"/>
              <w:left w:val="nil"/>
              <w:bottom w:val="single" w:sz="4" w:space="0" w:color="auto"/>
              <w:right w:val="single" w:sz="4" w:space="0" w:color="auto"/>
            </w:tcBorders>
            <w:noWrap/>
            <w:vAlign w:val="center"/>
            <w:hideMark/>
          </w:tcPr>
          <w:p w14:paraId="0333A99F" w14:textId="77777777" w:rsidR="00416D67" w:rsidRPr="00416D67" w:rsidRDefault="00416D67" w:rsidP="00416D67">
            <w:pPr>
              <w:jc w:val="right"/>
              <w:rPr>
                <w:b/>
                <w:bCs/>
                <w:color w:val="000000"/>
                <w:sz w:val="16"/>
                <w:szCs w:val="16"/>
              </w:rPr>
            </w:pPr>
            <w:r w:rsidRPr="00416D67">
              <w:rPr>
                <w:b/>
                <w:bCs/>
                <w:color w:val="000000"/>
                <w:sz w:val="16"/>
                <w:szCs w:val="16"/>
              </w:rPr>
              <w:t>659,09</w:t>
            </w:r>
          </w:p>
        </w:tc>
        <w:tc>
          <w:tcPr>
            <w:tcW w:w="960" w:type="dxa"/>
            <w:tcBorders>
              <w:top w:val="nil"/>
              <w:left w:val="nil"/>
              <w:bottom w:val="single" w:sz="4" w:space="0" w:color="auto"/>
              <w:right w:val="single" w:sz="4" w:space="0" w:color="auto"/>
            </w:tcBorders>
            <w:noWrap/>
            <w:vAlign w:val="center"/>
            <w:hideMark/>
          </w:tcPr>
          <w:p w14:paraId="6FFEF573" w14:textId="77777777" w:rsidR="00416D67" w:rsidRPr="00416D67" w:rsidRDefault="00416D67" w:rsidP="00416D67">
            <w:pPr>
              <w:jc w:val="right"/>
              <w:rPr>
                <w:b/>
                <w:bCs/>
                <w:color w:val="000000"/>
                <w:sz w:val="16"/>
                <w:szCs w:val="16"/>
              </w:rPr>
            </w:pPr>
            <w:r w:rsidRPr="00416D67">
              <w:rPr>
                <w:b/>
                <w:bCs/>
                <w:color w:val="000000"/>
                <w:sz w:val="16"/>
                <w:szCs w:val="16"/>
              </w:rPr>
              <w:t>0,00</w:t>
            </w:r>
          </w:p>
        </w:tc>
        <w:tc>
          <w:tcPr>
            <w:tcW w:w="1180" w:type="dxa"/>
            <w:tcBorders>
              <w:top w:val="nil"/>
              <w:left w:val="nil"/>
              <w:bottom w:val="single" w:sz="4" w:space="0" w:color="auto"/>
              <w:right w:val="single" w:sz="4" w:space="0" w:color="auto"/>
            </w:tcBorders>
            <w:noWrap/>
            <w:vAlign w:val="center"/>
            <w:hideMark/>
          </w:tcPr>
          <w:p w14:paraId="231B41EE" w14:textId="77777777" w:rsidR="00416D67" w:rsidRPr="00416D67" w:rsidRDefault="00416D67" w:rsidP="00416D67">
            <w:pPr>
              <w:jc w:val="right"/>
              <w:rPr>
                <w:b/>
                <w:bCs/>
                <w:color w:val="000000"/>
                <w:sz w:val="16"/>
                <w:szCs w:val="16"/>
              </w:rPr>
            </w:pPr>
            <w:r w:rsidRPr="00416D67">
              <w:rPr>
                <w:b/>
                <w:bCs/>
                <w:color w:val="000000"/>
                <w:sz w:val="16"/>
                <w:szCs w:val="16"/>
              </w:rPr>
              <w:t>659,09</w:t>
            </w:r>
          </w:p>
        </w:tc>
      </w:tr>
      <w:tr w:rsidR="00416D67" w:rsidRPr="00416D67" w14:paraId="476AA757" w14:textId="77777777" w:rsidTr="00BB1392">
        <w:trPr>
          <w:trHeight w:val="300"/>
        </w:trPr>
        <w:tc>
          <w:tcPr>
            <w:tcW w:w="1135" w:type="dxa"/>
            <w:tcBorders>
              <w:top w:val="nil"/>
              <w:left w:val="single" w:sz="4" w:space="0" w:color="auto"/>
              <w:bottom w:val="single" w:sz="4" w:space="0" w:color="auto"/>
              <w:right w:val="single" w:sz="4" w:space="0" w:color="auto"/>
            </w:tcBorders>
            <w:noWrap/>
            <w:vAlign w:val="center"/>
            <w:hideMark/>
          </w:tcPr>
          <w:p w14:paraId="5A1B8207" w14:textId="77777777" w:rsidR="00416D67" w:rsidRPr="00416D67" w:rsidRDefault="00416D67" w:rsidP="00416D67">
            <w:pPr>
              <w:rPr>
                <w:b/>
                <w:bCs/>
                <w:color w:val="000000"/>
                <w:sz w:val="16"/>
                <w:szCs w:val="16"/>
              </w:rPr>
            </w:pPr>
            <w:r w:rsidRPr="00416D67">
              <w:rPr>
                <w:b/>
                <w:bCs/>
                <w:color w:val="000000"/>
                <w:sz w:val="16"/>
                <w:szCs w:val="16"/>
              </w:rPr>
              <w:t>23</w:t>
            </w:r>
          </w:p>
        </w:tc>
        <w:tc>
          <w:tcPr>
            <w:tcW w:w="4956" w:type="dxa"/>
            <w:tcBorders>
              <w:top w:val="nil"/>
              <w:left w:val="nil"/>
              <w:bottom w:val="single" w:sz="4" w:space="0" w:color="auto"/>
              <w:right w:val="single" w:sz="4" w:space="0" w:color="auto"/>
            </w:tcBorders>
            <w:vAlign w:val="center"/>
            <w:hideMark/>
          </w:tcPr>
          <w:p w14:paraId="6C582E51" w14:textId="77777777" w:rsidR="00416D67" w:rsidRPr="00416D67" w:rsidRDefault="00416D67" w:rsidP="00416D67">
            <w:pPr>
              <w:rPr>
                <w:b/>
                <w:bCs/>
                <w:color w:val="000000"/>
                <w:sz w:val="16"/>
                <w:szCs w:val="16"/>
              </w:rPr>
            </w:pPr>
            <w:r w:rsidRPr="00416D67">
              <w:rPr>
                <w:b/>
                <w:bCs/>
                <w:color w:val="000000"/>
                <w:sz w:val="16"/>
                <w:szCs w:val="16"/>
              </w:rPr>
              <w:t>Obveze za rashode poslovanja</w:t>
            </w:r>
          </w:p>
        </w:tc>
        <w:tc>
          <w:tcPr>
            <w:tcW w:w="1060" w:type="dxa"/>
            <w:tcBorders>
              <w:top w:val="nil"/>
              <w:left w:val="nil"/>
              <w:bottom w:val="single" w:sz="4" w:space="0" w:color="auto"/>
              <w:right w:val="single" w:sz="4" w:space="0" w:color="auto"/>
            </w:tcBorders>
            <w:noWrap/>
            <w:vAlign w:val="center"/>
            <w:hideMark/>
          </w:tcPr>
          <w:p w14:paraId="0DF5C939" w14:textId="77777777" w:rsidR="00416D67" w:rsidRPr="00416D67" w:rsidRDefault="00416D67" w:rsidP="00416D67">
            <w:pPr>
              <w:jc w:val="right"/>
              <w:rPr>
                <w:b/>
                <w:bCs/>
                <w:color w:val="000000"/>
                <w:sz w:val="16"/>
                <w:szCs w:val="16"/>
              </w:rPr>
            </w:pPr>
            <w:r w:rsidRPr="00416D67">
              <w:rPr>
                <w:b/>
                <w:bCs/>
                <w:color w:val="000000"/>
                <w:sz w:val="16"/>
                <w:szCs w:val="16"/>
              </w:rPr>
              <w:t>60.028,69</w:t>
            </w:r>
          </w:p>
        </w:tc>
        <w:tc>
          <w:tcPr>
            <w:tcW w:w="960" w:type="dxa"/>
            <w:tcBorders>
              <w:top w:val="nil"/>
              <w:left w:val="nil"/>
              <w:bottom w:val="single" w:sz="4" w:space="0" w:color="auto"/>
              <w:right w:val="single" w:sz="4" w:space="0" w:color="auto"/>
            </w:tcBorders>
            <w:noWrap/>
            <w:vAlign w:val="center"/>
            <w:hideMark/>
          </w:tcPr>
          <w:p w14:paraId="2935437C" w14:textId="77777777" w:rsidR="00416D67" w:rsidRPr="00416D67" w:rsidRDefault="00416D67" w:rsidP="00416D67">
            <w:pPr>
              <w:jc w:val="right"/>
              <w:rPr>
                <w:b/>
                <w:bCs/>
                <w:color w:val="000000"/>
                <w:sz w:val="16"/>
                <w:szCs w:val="16"/>
              </w:rPr>
            </w:pPr>
            <w:r w:rsidRPr="00416D67">
              <w:rPr>
                <w:b/>
                <w:bCs/>
                <w:color w:val="000000"/>
                <w:sz w:val="16"/>
                <w:szCs w:val="16"/>
              </w:rPr>
              <w:t>0,00</w:t>
            </w:r>
          </w:p>
        </w:tc>
        <w:tc>
          <w:tcPr>
            <w:tcW w:w="1180" w:type="dxa"/>
            <w:tcBorders>
              <w:top w:val="nil"/>
              <w:left w:val="nil"/>
              <w:bottom w:val="single" w:sz="4" w:space="0" w:color="auto"/>
              <w:right w:val="single" w:sz="4" w:space="0" w:color="auto"/>
            </w:tcBorders>
            <w:noWrap/>
            <w:vAlign w:val="center"/>
            <w:hideMark/>
          </w:tcPr>
          <w:p w14:paraId="7B6AB33A" w14:textId="77777777" w:rsidR="00416D67" w:rsidRPr="00416D67" w:rsidRDefault="00416D67" w:rsidP="00416D67">
            <w:pPr>
              <w:jc w:val="right"/>
              <w:rPr>
                <w:b/>
                <w:bCs/>
                <w:color w:val="000000"/>
                <w:sz w:val="16"/>
                <w:szCs w:val="16"/>
              </w:rPr>
            </w:pPr>
            <w:r w:rsidRPr="00416D67">
              <w:rPr>
                <w:b/>
                <w:bCs/>
                <w:color w:val="000000"/>
                <w:sz w:val="16"/>
                <w:szCs w:val="16"/>
              </w:rPr>
              <w:t>60.028,69</w:t>
            </w:r>
          </w:p>
        </w:tc>
      </w:tr>
    </w:tbl>
    <w:p w14:paraId="31CA51CC" w14:textId="77777777" w:rsidR="00A41313" w:rsidRDefault="00A41313" w:rsidP="007B3E41">
      <w:pPr>
        <w:jc w:val="both"/>
      </w:pPr>
    </w:p>
    <w:p w14:paraId="30A7C86C" w14:textId="77777777" w:rsidR="002D7FA2" w:rsidRDefault="002D7FA2" w:rsidP="007B3E41">
      <w:pPr>
        <w:jc w:val="both"/>
        <w:sectPr w:rsidR="002D7FA2" w:rsidSect="00416D67">
          <w:pgSz w:w="11906" w:h="16838"/>
          <w:pgMar w:top="1417" w:right="1417" w:bottom="1417" w:left="1417" w:header="708" w:footer="708" w:gutter="0"/>
          <w:cols w:space="708"/>
          <w:titlePg/>
          <w:docGrid w:linePitch="360"/>
        </w:sectPr>
      </w:pPr>
    </w:p>
    <w:p w14:paraId="235FD465" w14:textId="77777777" w:rsidR="002D7FA2" w:rsidRPr="002D7FA2" w:rsidRDefault="002D7FA2" w:rsidP="002D7FA2">
      <w:pPr>
        <w:spacing w:line="260" w:lineRule="exact"/>
        <w:ind w:left="927"/>
        <w:jc w:val="both"/>
        <w:rPr>
          <w:b/>
          <w:color w:val="000000"/>
        </w:rPr>
      </w:pPr>
      <w:r w:rsidRPr="002D7FA2">
        <w:rPr>
          <w:b/>
          <w:color w:val="000000"/>
        </w:rPr>
        <w:lastRenderedPageBreak/>
        <w:t>9.Stanje potencijalnih obveza po osnovi sudskih postupaka Općine Marčana i proračunskog korisnika DV Vrtuljak Marčana</w:t>
      </w:r>
    </w:p>
    <w:p w14:paraId="2E63DB4B" w14:textId="77777777" w:rsidR="002D7FA2" w:rsidRPr="002D7FA2" w:rsidRDefault="002D7FA2" w:rsidP="002D7FA2">
      <w:pPr>
        <w:spacing w:line="260" w:lineRule="exact"/>
        <w:jc w:val="both"/>
        <w:rPr>
          <w:color w:val="FF0000"/>
          <w:spacing w:val="1"/>
          <w:position w:val="-1"/>
        </w:rPr>
      </w:pPr>
    </w:p>
    <w:p w14:paraId="47E0935A" w14:textId="77777777" w:rsidR="002D7FA2" w:rsidRPr="002D7FA2" w:rsidRDefault="002D7FA2" w:rsidP="002D7FA2">
      <w:pPr>
        <w:spacing w:line="260" w:lineRule="exact"/>
        <w:jc w:val="both"/>
        <w:rPr>
          <w:spacing w:val="1"/>
          <w:position w:val="-1"/>
        </w:rPr>
      </w:pPr>
      <w:r w:rsidRPr="002D7FA2">
        <w:rPr>
          <w:spacing w:val="1"/>
          <w:position w:val="-1"/>
        </w:rPr>
        <w:tab/>
        <w:t xml:space="preserve">Pregled </w:t>
      </w:r>
      <w:proofErr w:type="spellStart"/>
      <w:r w:rsidRPr="002D7FA2">
        <w:rPr>
          <w:spacing w:val="1"/>
          <w:position w:val="-1"/>
        </w:rPr>
        <w:t>potencijalih</w:t>
      </w:r>
      <w:proofErr w:type="spellEnd"/>
      <w:r w:rsidRPr="002D7FA2">
        <w:rPr>
          <w:spacing w:val="1"/>
          <w:position w:val="-1"/>
        </w:rPr>
        <w:t xml:space="preserve"> obveza kod sudskih </w:t>
      </w:r>
      <w:proofErr w:type="spellStart"/>
      <w:r w:rsidRPr="002D7FA2">
        <w:rPr>
          <w:spacing w:val="1"/>
          <w:position w:val="-1"/>
        </w:rPr>
        <w:t>postupakau</w:t>
      </w:r>
      <w:proofErr w:type="spellEnd"/>
      <w:r w:rsidRPr="002D7FA2">
        <w:rPr>
          <w:spacing w:val="1"/>
          <w:position w:val="-1"/>
        </w:rPr>
        <w:t xml:space="preserve"> iznosu od 147.286,95 EUR na dan 31.prosinca 2025. godine u cijelosti se odnosi na potencijalne obveze Općine,  Proračunski korisnik Dječji vrtić Vrtuljak Marčana nema u tijeku sudskih postupaka. </w:t>
      </w:r>
    </w:p>
    <w:p w14:paraId="0D81CC00" w14:textId="77777777" w:rsidR="002D7FA2" w:rsidRPr="002D7FA2" w:rsidRDefault="002D7FA2" w:rsidP="002D7FA2">
      <w:pPr>
        <w:spacing w:line="260" w:lineRule="exact"/>
        <w:jc w:val="both"/>
        <w:rPr>
          <w:spacing w:val="1"/>
          <w:position w:val="-1"/>
        </w:rPr>
      </w:pPr>
    </w:p>
    <w:tbl>
      <w:tblPr>
        <w:tblW w:w="145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957"/>
        <w:gridCol w:w="1529"/>
        <w:gridCol w:w="1510"/>
        <w:gridCol w:w="1116"/>
        <w:gridCol w:w="3073"/>
        <w:gridCol w:w="2124"/>
        <w:gridCol w:w="2321"/>
        <w:gridCol w:w="1334"/>
      </w:tblGrid>
      <w:tr w:rsidR="002D7FA2" w:rsidRPr="002D7FA2" w14:paraId="0EE5ED5F" w14:textId="77777777" w:rsidTr="00BB1392">
        <w:trPr>
          <w:trHeight w:val="675"/>
        </w:trPr>
        <w:tc>
          <w:tcPr>
            <w:tcW w:w="440" w:type="dxa"/>
            <w:vAlign w:val="center"/>
            <w:hideMark/>
          </w:tcPr>
          <w:p w14:paraId="477BC97B" w14:textId="77777777" w:rsidR="002D7FA2" w:rsidRPr="002D7FA2" w:rsidRDefault="002D7FA2" w:rsidP="002D7FA2">
            <w:pPr>
              <w:jc w:val="center"/>
              <w:rPr>
                <w:color w:val="000000"/>
                <w:sz w:val="16"/>
                <w:szCs w:val="16"/>
              </w:rPr>
            </w:pPr>
            <w:r w:rsidRPr="002D7FA2">
              <w:rPr>
                <w:color w:val="000000"/>
                <w:sz w:val="16"/>
                <w:szCs w:val="16"/>
              </w:rPr>
              <w:t>R.br.</w:t>
            </w:r>
          </w:p>
        </w:tc>
        <w:tc>
          <w:tcPr>
            <w:tcW w:w="960" w:type="dxa"/>
            <w:vAlign w:val="center"/>
            <w:hideMark/>
          </w:tcPr>
          <w:p w14:paraId="72ED5756" w14:textId="77777777" w:rsidR="002D7FA2" w:rsidRPr="002D7FA2" w:rsidRDefault="002D7FA2" w:rsidP="002D7FA2">
            <w:pPr>
              <w:jc w:val="center"/>
              <w:rPr>
                <w:color w:val="000000"/>
                <w:sz w:val="16"/>
                <w:szCs w:val="16"/>
              </w:rPr>
            </w:pPr>
            <w:r w:rsidRPr="002D7FA2">
              <w:rPr>
                <w:color w:val="000000"/>
                <w:sz w:val="16"/>
                <w:szCs w:val="16"/>
              </w:rPr>
              <w:t>Tužitelj</w:t>
            </w:r>
          </w:p>
        </w:tc>
        <w:tc>
          <w:tcPr>
            <w:tcW w:w="1540" w:type="dxa"/>
            <w:vAlign w:val="center"/>
            <w:hideMark/>
          </w:tcPr>
          <w:p w14:paraId="163C6E6A" w14:textId="77777777" w:rsidR="002D7FA2" w:rsidRPr="002D7FA2" w:rsidRDefault="002D7FA2" w:rsidP="002D7FA2">
            <w:pPr>
              <w:jc w:val="center"/>
              <w:rPr>
                <w:color w:val="000000"/>
                <w:sz w:val="16"/>
                <w:szCs w:val="16"/>
              </w:rPr>
            </w:pPr>
            <w:r w:rsidRPr="002D7FA2">
              <w:rPr>
                <w:color w:val="000000"/>
                <w:sz w:val="16"/>
                <w:szCs w:val="16"/>
              </w:rPr>
              <w:t>Tuženik</w:t>
            </w:r>
          </w:p>
        </w:tc>
        <w:tc>
          <w:tcPr>
            <w:tcW w:w="1520" w:type="dxa"/>
            <w:vAlign w:val="center"/>
            <w:hideMark/>
          </w:tcPr>
          <w:p w14:paraId="276488D7" w14:textId="77777777" w:rsidR="002D7FA2" w:rsidRPr="002D7FA2" w:rsidRDefault="002D7FA2" w:rsidP="002D7FA2">
            <w:pPr>
              <w:jc w:val="center"/>
              <w:rPr>
                <w:color w:val="000000"/>
                <w:sz w:val="16"/>
                <w:szCs w:val="16"/>
              </w:rPr>
            </w:pPr>
            <w:r w:rsidRPr="002D7FA2">
              <w:rPr>
                <w:color w:val="000000"/>
                <w:sz w:val="16"/>
                <w:szCs w:val="16"/>
              </w:rPr>
              <w:t>Nadležni sud</w:t>
            </w:r>
          </w:p>
        </w:tc>
        <w:tc>
          <w:tcPr>
            <w:tcW w:w="1120" w:type="dxa"/>
            <w:vAlign w:val="center"/>
            <w:hideMark/>
          </w:tcPr>
          <w:p w14:paraId="56E259A6" w14:textId="77777777" w:rsidR="002D7FA2" w:rsidRPr="002D7FA2" w:rsidRDefault="002D7FA2" w:rsidP="002D7FA2">
            <w:pPr>
              <w:jc w:val="center"/>
              <w:rPr>
                <w:color w:val="000000"/>
                <w:sz w:val="16"/>
                <w:szCs w:val="16"/>
              </w:rPr>
            </w:pPr>
            <w:r w:rsidRPr="002D7FA2">
              <w:rPr>
                <w:color w:val="000000"/>
                <w:sz w:val="16"/>
                <w:szCs w:val="16"/>
              </w:rPr>
              <w:t>Broj predmeta</w:t>
            </w:r>
          </w:p>
        </w:tc>
        <w:tc>
          <w:tcPr>
            <w:tcW w:w="3100" w:type="dxa"/>
            <w:vAlign w:val="center"/>
            <w:hideMark/>
          </w:tcPr>
          <w:p w14:paraId="44962253" w14:textId="77777777" w:rsidR="002D7FA2" w:rsidRPr="002D7FA2" w:rsidRDefault="002D7FA2" w:rsidP="002D7FA2">
            <w:pPr>
              <w:jc w:val="center"/>
              <w:rPr>
                <w:color w:val="000000"/>
                <w:sz w:val="16"/>
                <w:szCs w:val="16"/>
              </w:rPr>
            </w:pPr>
            <w:r w:rsidRPr="002D7FA2">
              <w:rPr>
                <w:color w:val="000000"/>
                <w:sz w:val="16"/>
                <w:szCs w:val="16"/>
              </w:rPr>
              <w:t>Opis prirode sudskog spora</w:t>
            </w:r>
          </w:p>
        </w:tc>
        <w:tc>
          <w:tcPr>
            <w:tcW w:w="2140" w:type="dxa"/>
            <w:vAlign w:val="center"/>
            <w:hideMark/>
          </w:tcPr>
          <w:p w14:paraId="4EAFAF01" w14:textId="77777777" w:rsidR="002D7FA2" w:rsidRPr="002D7FA2" w:rsidRDefault="002D7FA2" w:rsidP="002D7FA2">
            <w:pPr>
              <w:jc w:val="center"/>
              <w:rPr>
                <w:color w:val="000000"/>
                <w:sz w:val="16"/>
                <w:szCs w:val="16"/>
              </w:rPr>
            </w:pPr>
            <w:r w:rsidRPr="002D7FA2">
              <w:rPr>
                <w:color w:val="000000"/>
                <w:sz w:val="16"/>
                <w:szCs w:val="16"/>
              </w:rPr>
              <w:t>Vrijednost spora – procjena financijskog učinka za Općinu Marčana EUR</w:t>
            </w:r>
          </w:p>
        </w:tc>
        <w:tc>
          <w:tcPr>
            <w:tcW w:w="2340" w:type="dxa"/>
            <w:vAlign w:val="center"/>
            <w:hideMark/>
          </w:tcPr>
          <w:p w14:paraId="44D9A5EF" w14:textId="77777777" w:rsidR="002D7FA2" w:rsidRPr="002D7FA2" w:rsidRDefault="002D7FA2" w:rsidP="002D7FA2">
            <w:pPr>
              <w:jc w:val="center"/>
              <w:rPr>
                <w:color w:val="000000"/>
                <w:sz w:val="16"/>
                <w:szCs w:val="16"/>
              </w:rPr>
            </w:pPr>
            <w:r w:rsidRPr="002D7FA2">
              <w:rPr>
                <w:color w:val="000000"/>
                <w:sz w:val="16"/>
                <w:szCs w:val="16"/>
              </w:rPr>
              <w:t>Procijenjeno vrijeme odljeva ili priljeva sredstava</w:t>
            </w:r>
          </w:p>
        </w:tc>
        <w:tc>
          <w:tcPr>
            <w:tcW w:w="1340" w:type="dxa"/>
            <w:vAlign w:val="center"/>
            <w:hideMark/>
          </w:tcPr>
          <w:p w14:paraId="6CBFA33B" w14:textId="77777777" w:rsidR="002D7FA2" w:rsidRPr="002D7FA2" w:rsidRDefault="002D7FA2" w:rsidP="002D7FA2">
            <w:pPr>
              <w:jc w:val="center"/>
              <w:rPr>
                <w:color w:val="000000"/>
                <w:sz w:val="16"/>
                <w:szCs w:val="16"/>
              </w:rPr>
            </w:pPr>
            <w:r w:rsidRPr="002D7FA2">
              <w:rPr>
                <w:color w:val="000000"/>
                <w:sz w:val="16"/>
                <w:szCs w:val="16"/>
              </w:rPr>
              <w:t>Napomena – status predmeta</w:t>
            </w:r>
          </w:p>
        </w:tc>
      </w:tr>
      <w:tr w:rsidR="002D7FA2" w:rsidRPr="002D7FA2" w14:paraId="35797271" w14:textId="77777777" w:rsidTr="00BB1392">
        <w:trPr>
          <w:trHeight w:val="225"/>
        </w:trPr>
        <w:tc>
          <w:tcPr>
            <w:tcW w:w="440" w:type="dxa"/>
            <w:vAlign w:val="center"/>
            <w:hideMark/>
          </w:tcPr>
          <w:p w14:paraId="25D00E62" w14:textId="77777777" w:rsidR="002D7FA2" w:rsidRPr="002D7FA2" w:rsidRDefault="002D7FA2" w:rsidP="002D7FA2">
            <w:pPr>
              <w:jc w:val="center"/>
              <w:rPr>
                <w:color w:val="000000"/>
                <w:sz w:val="16"/>
                <w:szCs w:val="16"/>
              </w:rPr>
            </w:pPr>
            <w:r w:rsidRPr="002D7FA2">
              <w:rPr>
                <w:color w:val="000000"/>
                <w:sz w:val="16"/>
                <w:szCs w:val="16"/>
              </w:rPr>
              <w:t>1</w:t>
            </w:r>
          </w:p>
        </w:tc>
        <w:tc>
          <w:tcPr>
            <w:tcW w:w="960" w:type="dxa"/>
            <w:vAlign w:val="center"/>
            <w:hideMark/>
          </w:tcPr>
          <w:p w14:paraId="39C49A45" w14:textId="77777777" w:rsidR="002D7FA2" w:rsidRPr="002D7FA2" w:rsidRDefault="002D7FA2" w:rsidP="002D7FA2">
            <w:pPr>
              <w:rPr>
                <w:color w:val="000000"/>
                <w:sz w:val="16"/>
                <w:szCs w:val="16"/>
              </w:rPr>
            </w:pPr>
            <w:r w:rsidRPr="002D7FA2">
              <w:rPr>
                <w:color w:val="000000"/>
                <w:sz w:val="16"/>
                <w:szCs w:val="16"/>
              </w:rPr>
              <w:t>I.P.D.</w:t>
            </w:r>
          </w:p>
        </w:tc>
        <w:tc>
          <w:tcPr>
            <w:tcW w:w="1540" w:type="dxa"/>
            <w:vAlign w:val="center"/>
            <w:hideMark/>
          </w:tcPr>
          <w:p w14:paraId="465F2CA5" w14:textId="77777777" w:rsidR="002D7FA2" w:rsidRPr="002D7FA2" w:rsidRDefault="002D7FA2" w:rsidP="002D7FA2">
            <w:pPr>
              <w:rPr>
                <w:color w:val="000000"/>
                <w:sz w:val="16"/>
                <w:szCs w:val="16"/>
              </w:rPr>
            </w:pPr>
            <w:r w:rsidRPr="002D7FA2">
              <w:rPr>
                <w:color w:val="000000"/>
                <w:sz w:val="16"/>
                <w:szCs w:val="16"/>
              </w:rPr>
              <w:t>Općina Marčana</w:t>
            </w:r>
          </w:p>
        </w:tc>
        <w:tc>
          <w:tcPr>
            <w:tcW w:w="1520" w:type="dxa"/>
            <w:vAlign w:val="center"/>
            <w:hideMark/>
          </w:tcPr>
          <w:p w14:paraId="4C409F24" w14:textId="77777777" w:rsidR="002D7FA2" w:rsidRPr="002D7FA2" w:rsidRDefault="002D7FA2" w:rsidP="002D7FA2">
            <w:pPr>
              <w:rPr>
                <w:color w:val="000000"/>
                <w:sz w:val="16"/>
                <w:szCs w:val="16"/>
              </w:rPr>
            </w:pPr>
            <w:r w:rsidRPr="002D7FA2">
              <w:rPr>
                <w:color w:val="000000"/>
                <w:sz w:val="16"/>
                <w:szCs w:val="16"/>
              </w:rPr>
              <w:t>Općinski sud u Puli</w:t>
            </w:r>
          </w:p>
        </w:tc>
        <w:tc>
          <w:tcPr>
            <w:tcW w:w="1120" w:type="dxa"/>
            <w:vAlign w:val="center"/>
            <w:hideMark/>
          </w:tcPr>
          <w:p w14:paraId="662602D0" w14:textId="77777777" w:rsidR="002D7FA2" w:rsidRPr="002D7FA2" w:rsidRDefault="002D7FA2" w:rsidP="002D7FA2">
            <w:pPr>
              <w:rPr>
                <w:color w:val="000000"/>
                <w:sz w:val="16"/>
                <w:szCs w:val="16"/>
              </w:rPr>
            </w:pPr>
            <w:r w:rsidRPr="002D7FA2">
              <w:rPr>
                <w:color w:val="000000"/>
                <w:sz w:val="16"/>
                <w:szCs w:val="16"/>
              </w:rPr>
              <w:t> </w:t>
            </w:r>
          </w:p>
        </w:tc>
        <w:tc>
          <w:tcPr>
            <w:tcW w:w="3100" w:type="dxa"/>
            <w:vAlign w:val="center"/>
            <w:hideMark/>
          </w:tcPr>
          <w:p w14:paraId="5B46E47D" w14:textId="77777777" w:rsidR="002D7FA2" w:rsidRPr="002D7FA2" w:rsidRDefault="002D7FA2" w:rsidP="002D7FA2">
            <w:pPr>
              <w:rPr>
                <w:color w:val="000000"/>
                <w:sz w:val="16"/>
                <w:szCs w:val="16"/>
              </w:rPr>
            </w:pPr>
            <w:r w:rsidRPr="002D7FA2">
              <w:rPr>
                <w:color w:val="000000"/>
                <w:sz w:val="16"/>
                <w:szCs w:val="16"/>
              </w:rPr>
              <w:t>radi utvrđivanja prava vlasništva</w:t>
            </w:r>
          </w:p>
        </w:tc>
        <w:tc>
          <w:tcPr>
            <w:tcW w:w="2140" w:type="dxa"/>
            <w:vAlign w:val="center"/>
            <w:hideMark/>
          </w:tcPr>
          <w:p w14:paraId="49B88413" w14:textId="77777777" w:rsidR="002D7FA2" w:rsidRPr="002D7FA2" w:rsidRDefault="002D7FA2" w:rsidP="002D7FA2">
            <w:pPr>
              <w:jc w:val="right"/>
              <w:rPr>
                <w:color w:val="000000"/>
                <w:sz w:val="16"/>
                <w:szCs w:val="16"/>
              </w:rPr>
            </w:pPr>
            <w:r w:rsidRPr="002D7FA2">
              <w:rPr>
                <w:color w:val="000000"/>
                <w:sz w:val="16"/>
                <w:szCs w:val="16"/>
              </w:rPr>
              <w:t>20.000,00</w:t>
            </w:r>
          </w:p>
        </w:tc>
        <w:tc>
          <w:tcPr>
            <w:tcW w:w="2340" w:type="dxa"/>
            <w:vAlign w:val="center"/>
            <w:hideMark/>
          </w:tcPr>
          <w:p w14:paraId="46AF9FA0" w14:textId="77777777" w:rsidR="002D7FA2" w:rsidRPr="002D7FA2" w:rsidRDefault="002D7FA2" w:rsidP="002D7FA2">
            <w:pPr>
              <w:rPr>
                <w:color w:val="000000"/>
                <w:sz w:val="16"/>
                <w:szCs w:val="16"/>
              </w:rPr>
            </w:pPr>
            <w:r w:rsidRPr="002D7FA2">
              <w:rPr>
                <w:color w:val="000000"/>
                <w:sz w:val="16"/>
                <w:szCs w:val="16"/>
              </w:rPr>
              <w:t>10 godina</w:t>
            </w:r>
          </w:p>
        </w:tc>
        <w:tc>
          <w:tcPr>
            <w:tcW w:w="1340" w:type="dxa"/>
            <w:vAlign w:val="center"/>
            <w:hideMark/>
          </w:tcPr>
          <w:p w14:paraId="5A8B84FB" w14:textId="77777777" w:rsidR="002D7FA2" w:rsidRPr="002D7FA2" w:rsidRDefault="002D7FA2" w:rsidP="002D7FA2">
            <w:pPr>
              <w:rPr>
                <w:color w:val="000000"/>
                <w:sz w:val="16"/>
                <w:szCs w:val="16"/>
              </w:rPr>
            </w:pPr>
            <w:r w:rsidRPr="002D7FA2">
              <w:rPr>
                <w:color w:val="000000"/>
                <w:sz w:val="16"/>
                <w:szCs w:val="16"/>
              </w:rPr>
              <w:t>u rješavanju</w:t>
            </w:r>
          </w:p>
        </w:tc>
      </w:tr>
      <w:tr w:rsidR="002D7FA2" w:rsidRPr="002D7FA2" w14:paraId="423D48F2" w14:textId="77777777" w:rsidTr="00BB1392">
        <w:trPr>
          <w:trHeight w:val="225"/>
        </w:trPr>
        <w:tc>
          <w:tcPr>
            <w:tcW w:w="440" w:type="dxa"/>
            <w:vAlign w:val="center"/>
            <w:hideMark/>
          </w:tcPr>
          <w:p w14:paraId="0F282A0D" w14:textId="77777777" w:rsidR="002D7FA2" w:rsidRPr="002D7FA2" w:rsidRDefault="002D7FA2" w:rsidP="002D7FA2">
            <w:pPr>
              <w:jc w:val="center"/>
              <w:rPr>
                <w:color w:val="000000"/>
                <w:sz w:val="16"/>
                <w:szCs w:val="16"/>
              </w:rPr>
            </w:pPr>
            <w:r w:rsidRPr="002D7FA2">
              <w:rPr>
                <w:color w:val="000000"/>
                <w:sz w:val="16"/>
                <w:szCs w:val="16"/>
              </w:rPr>
              <w:t>2</w:t>
            </w:r>
          </w:p>
        </w:tc>
        <w:tc>
          <w:tcPr>
            <w:tcW w:w="960" w:type="dxa"/>
            <w:vAlign w:val="center"/>
            <w:hideMark/>
          </w:tcPr>
          <w:p w14:paraId="12E1F5C3" w14:textId="77777777" w:rsidR="002D7FA2" w:rsidRPr="002D7FA2" w:rsidRDefault="002D7FA2" w:rsidP="002D7FA2">
            <w:pPr>
              <w:rPr>
                <w:color w:val="000000"/>
                <w:sz w:val="16"/>
                <w:szCs w:val="16"/>
              </w:rPr>
            </w:pPr>
            <w:r w:rsidRPr="002D7FA2">
              <w:rPr>
                <w:color w:val="000000"/>
                <w:sz w:val="16"/>
                <w:szCs w:val="16"/>
              </w:rPr>
              <w:t>R.C.</w:t>
            </w:r>
          </w:p>
        </w:tc>
        <w:tc>
          <w:tcPr>
            <w:tcW w:w="1540" w:type="dxa"/>
            <w:vAlign w:val="center"/>
            <w:hideMark/>
          </w:tcPr>
          <w:p w14:paraId="019E06CC" w14:textId="77777777" w:rsidR="002D7FA2" w:rsidRPr="002D7FA2" w:rsidRDefault="002D7FA2" w:rsidP="002D7FA2">
            <w:pPr>
              <w:rPr>
                <w:color w:val="000000"/>
                <w:sz w:val="16"/>
                <w:szCs w:val="16"/>
              </w:rPr>
            </w:pPr>
            <w:r w:rsidRPr="002D7FA2">
              <w:rPr>
                <w:color w:val="000000"/>
                <w:sz w:val="16"/>
                <w:szCs w:val="16"/>
              </w:rPr>
              <w:t>Općina Marčana</w:t>
            </w:r>
          </w:p>
        </w:tc>
        <w:tc>
          <w:tcPr>
            <w:tcW w:w="1520" w:type="dxa"/>
            <w:vAlign w:val="center"/>
            <w:hideMark/>
          </w:tcPr>
          <w:p w14:paraId="26776221" w14:textId="77777777" w:rsidR="002D7FA2" w:rsidRPr="002D7FA2" w:rsidRDefault="002D7FA2" w:rsidP="002D7FA2">
            <w:pPr>
              <w:rPr>
                <w:color w:val="000000"/>
                <w:sz w:val="16"/>
                <w:szCs w:val="16"/>
              </w:rPr>
            </w:pPr>
            <w:r w:rsidRPr="002D7FA2">
              <w:rPr>
                <w:color w:val="000000"/>
                <w:sz w:val="16"/>
                <w:szCs w:val="16"/>
              </w:rPr>
              <w:t>Općinski sud u Puli</w:t>
            </w:r>
          </w:p>
        </w:tc>
        <w:tc>
          <w:tcPr>
            <w:tcW w:w="1120" w:type="dxa"/>
            <w:vAlign w:val="center"/>
            <w:hideMark/>
          </w:tcPr>
          <w:p w14:paraId="4CFC514C" w14:textId="77777777" w:rsidR="002D7FA2" w:rsidRPr="002D7FA2" w:rsidRDefault="002D7FA2" w:rsidP="002D7FA2">
            <w:pPr>
              <w:rPr>
                <w:color w:val="000000"/>
                <w:sz w:val="16"/>
                <w:szCs w:val="16"/>
              </w:rPr>
            </w:pPr>
            <w:r w:rsidRPr="002D7FA2">
              <w:rPr>
                <w:color w:val="000000"/>
                <w:sz w:val="16"/>
                <w:szCs w:val="16"/>
              </w:rPr>
              <w:t> </w:t>
            </w:r>
          </w:p>
        </w:tc>
        <w:tc>
          <w:tcPr>
            <w:tcW w:w="3100" w:type="dxa"/>
            <w:vAlign w:val="center"/>
            <w:hideMark/>
          </w:tcPr>
          <w:p w14:paraId="06C7B6A1" w14:textId="77777777" w:rsidR="002D7FA2" w:rsidRPr="002D7FA2" w:rsidRDefault="002D7FA2" w:rsidP="002D7FA2">
            <w:pPr>
              <w:rPr>
                <w:color w:val="000000"/>
                <w:sz w:val="16"/>
                <w:szCs w:val="16"/>
              </w:rPr>
            </w:pPr>
            <w:r w:rsidRPr="002D7FA2">
              <w:rPr>
                <w:color w:val="000000"/>
                <w:sz w:val="16"/>
                <w:szCs w:val="16"/>
              </w:rPr>
              <w:t>radi utvrđivanja prava vlasništva</w:t>
            </w:r>
          </w:p>
        </w:tc>
        <w:tc>
          <w:tcPr>
            <w:tcW w:w="2140" w:type="dxa"/>
            <w:vAlign w:val="center"/>
            <w:hideMark/>
          </w:tcPr>
          <w:p w14:paraId="36B5EA66" w14:textId="77777777" w:rsidR="002D7FA2" w:rsidRPr="002D7FA2" w:rsidRDefault="002D7FA2" w:rsidP="002D7FA2">
            <w:pPr>
              <w:jc w:val="right"/>
              <w:rPr>
                <w:color w:val="000000"/>
                <w:sz w:val="16"/>
                <w:szCs w:val="16"/>
              </w:rPr>
            </w:pPr>
            <w:r w:rsidRPr="002D7FA2">
              <w:rPr>
                <w:color w:val="000000"/>
                <w:sz w:val="16"/>
                <w:szCs w:val="16"/>
              </w:rPr>
              <w:t>2.000,00</w:t>
            </w:r>
          </w:p>
        </w:tc>
        <w:tc>
          <w:tcPr>
            <w:tcW w:w="2340" w:type="dxa"/>
            <w:vAlign w:val="center"/>
            <w:hideMark/>
          </w:tcPr>
          <w:p w14:paraId="7BEE0F76" w14:textId="77777777" w:rsidR="002D7FA2" w:rsidRPr="002D7FA2" w:rsidRDefault="002D7FA2" w:rsidP="002D7FA2">
            <w:pPr>
              <w:rPr>
                <w:color w:val="000000"/>
                <w:sz w:val="16"/>
                <w:szCs w:val="16"/>
              </w:rPr>
            </w:pPr>
            <w:r w:rsidRPr="002D7FA2">
              <w:rPr>
                <w:color w:val="000000"/>
                <w:sz w:val="16"/>
                <w:szCs w:val="16"/>
              </w:rPr>
              <w:t>10 godina</w:t>
            </w:r>
          </w:p>
        </w:tc>
        <w:tc>
          <w:tcPr>
            <w:tcW w:w="1340" w:type="dxa"/>
            <w:vAlign w:val="center"/>
            <w:hideMark/>
          </w:tcPr>
          <w:p w14:paraId="76D41BD9" w14:textId="77777777" w:rsidR="002D7FA2" w:rsidRPr="002D7FA2" w:rsidRDefault="002D7FA2" w:rsidP="002D7FA2">
            <w:pPr>
              <w:rPr>
                <w:color w:val="000000"/>
                <w:sz w:val="16"/>
                <w:szCs w:val="16"/>
              </w:rPr>
            </w:pPr>
            <w:r w:rsidRPr="002D7FA2">
              <w:rPr>
                <w:color w:val="000000"/>
                <w:sz w:val="16"/>
                <w:szCs w:val="16"/>
              </w:rPr>
              <w:t>u rješavanju</w:t>
            </w:r>
          </w:p>
        </w:tc>
      </w:tr>
      <w:tr w:rsidR="002D7FA2" w:rsidRPr="002D7FA2" w14:paraId="7041503E" w14:textId="77777777" w:rsidTr="00BB1392">
        <w:trPr>
          <w:trHeight w:val="450"/>
        </w:trPr>
        <w:tc>
          <w:tcPr>
            <w:tcW w:w="440" w:type="dxa"/>
            <w:vAlign w:val="center"/>
            <w:hideMark/>
          </w:tcPr>
          <w:p w14:paraId="44244228" w14:textId="77777777" w:rsidR="002D7FA2" w:rsidRPr="002D7FA2" w:rsidRDefault="002D7FA2" w:rsidP="002D7FA2">
            <w:pPr>
              <w:jc w:val="center"/>
              <w:rPr>
                <w:color w:val="000000"/>
                <w:sz w:val="16"/>
                <w:szCs w:val="16"/>
              </w:rPr>
            </w:pPr>
            <w:r w:rsidRPr="002D7FA2">
              <w:rPr>
                <w:color w:val="000000"/>
                <w:sz w:val="16"/>
                <w:szCs w:val="16"/>
              </w:rPr>
              <w:t>3</w:t>
            </w:r>
          </w:p>
        </w:tc>
        <w:tc>
          <w:tcPr>
            <w:tcW w:w="960" w:type="dxa"/>
            <w:vAlign w:val="center"/>
            <w:hideMark/>
          </w:tcPr>
          <w:p w14:paraId="3E0AD4FE" w14:textId="77777777" w:rsidR="002D7FA2" w:rsidRPr="002D7FA2" w:rsidRDefault="002D7FA2" w:rsidP="002D7FA2">
            <w:pPr>
              <w:rPr>
                <w:color w:val="000000"/>
                <w:sz w:val="16"/>
                <w:szCs w:val="16"/>
              </w:rPr>
            </w:pPr>
            <w:r w:rsidRPr="002D7FA2">
              <w:rPr>
                <w:color w:val="000000"/>
                <w:sz w:val="16"/>
                <w:szCs w:val="16"/>
              </w:rPr>
              <w:t>Š.M. Š.M. Š.C.L. Š.J.</w:t>
            </w:r>
          </w:p>
        </w:tc>
        <w:tc>
          <w:tcPr>
            <w:tcW w:w="1540" w:type="dxa"/>
            <w:vAlign w:val="center"/>
            <w:hideMark/>
          </w:tcPr>
          <w:p w14:paraId="4099F3A8" w14:textId="77777777" w:rsidR="002D7FA2" w:rsidRPr="002D7FA2" w:rsidRDefault="002D7FA2" w:rsidP="002D7FA2">
            <w:pPr>
              <w:rPr>
                <w:color w:val="000000"/>
                <w:sz w:val="16"/>
                <w:szCs w:val="16"/>
              </w:rPr>
            </w:pPr>
            <w:r w:rsidRPr="002D7FA2">
              <w:rPr>
                <w:color w:val="000000"/>
                <w:sz w:val="16"/>
                <w:szCs w:val="16"/>
              </w:rPr>
              <w:t>Općina Marčana</w:t>
            </w:r>
          </w:p>
        </w:tc>
        <w:tc>
          <w:tcPr>
            <w:tcW w:w="1520" w:type="dxa"/>
            <w:vAlign w:val="center"/>
            <w:hideMark/>
          </w:tcPr>
          <w:p w14:paraId="6D2556A2" w14:textId="77777777" w:rsidR="002D7FA2" w:rsidRPr="002D7FA2" w:rsidRDefault="002D7FA2" w:rsidP="002D7FA2">
            <w:pPr>
              <w:rPr>
                <w:color w:val="000000"/>
                <w:sz w:val="16"/>
                <w:szCs w:val="16"/>
              </w:rPr>
            </w:pPr>
            <w:r w:rsidRPr="002D7FA2">
              <w:rPr>
                <w:color w:val="000000"/>
                <w:sz w:val="16"/>
                <w:szCs w:val="16"/>
              </w:rPr>
              <w:t>Općinski sud u Puli</w:t>
            </w:r>
          </w:p>
        </w:tc>
        <w:tc>
          <w:tcPr>
            <w:tcW w:w="1120" w:type="dxa"/>
            <w:vAlign w:val="center"/>
            <w:hideMark/>
          </w:tcPr>
          <w:p w14:paraId="4C79868D" w14:textId="77777777" w:rsidR="002D7FA2" w:rsidRPr="002D7FA2" w:rsidRDefault="002D7FA2" w:rsidP="002D7FA2">
            <w:pPr>
              <w:rPr>
                <w:color w:val="000000"/>
                <w:sz w:val="16"/>
                <w:szCs w:val="16"/>
              </w:rPr>
            </w:pPr>
            <w:r w:rsidRPr="002D7FA2">
              <w:rPr>
                <w:color w:val="000000"/>
                <w:sz w:val="16"/>
                <w:szCs w:val="16"/>
              </w:rPr>
              <w:t>p-711/22-48</w:t>
            </w:r>
          </w:p>
        </w:tc>
        <w:tc>
          <w:tcPr>
            <w:tcW w:w="3100" w:type="dxa"/>
            <w:vAlign w:val="center"/>
            <w:hideMark/>
          </w:tcPr>
          <w:p w14:paraId="6D2BB93E" w14:textId="77777777" w:rsidR="002D7FA2" w:rsidRPr="002D7FA2" w:rsidRDefault="002D7FA2" w:rsidP="002D7FA2">
            <w:pPr>
              <w:rPr>
                <w:color w:val="000000"/>
                <w:sz w:val="16"/>
                <w:szCs w:val="16"/>
              </w:rPr>
            </w:pPr>
            <w:r w:rsidRPr="002D7FA2">
              <w:rPr>
                <w:color w:val="000000"/>
                <w:sz w:val="16"/>
                <w:szCs w:val="16"/>
              </w:rPr>
              <w:t>radi utvrđivanja prava vlasništva</w:t>
            </w:r>
          </w:p>
        </w:tc>
        <w:tc>
          <w:tcPr>
            <w:tcW w:w="2140" w:type="dxa"/>
            <w:vAlign w:val="center"/>
            <w:hideMark/>
          </w:tcPr>
          <w:p w14:paraId="416E808D" w14:textId="77777777" w:rsidR="002D7FA2" w:rsidRPr="002D7FA2" w:rsidRDefault="002D7FA2" w:rsidP="002D7FA2">
            <w:pPr>
              <w:jc w:val="right"/>
              <w:rPr>
                <w:color w:val="000000"/>
                <w:sz w:val="16"/>
                <w:szCs w:val="16"/>
              </w:rPr>
            </w:pPr>
            <w:r w:rsidRPr="002D7FA2">
              <w:rPr>
                <w:color w:val="000000"/>
                <w:sz w:val="16"/>
                <w:szCs w:val="16"/>
              </w:rPr>
              <w:t>1.327,22</w:t>
            </w:r>
          </w:p>
        </w:tc>
        <w:tc>
          <w:tcPr>
            <w:tcW w:w="2340" w:type="dxa"/>
            <w:vAlign w:val="center"/>
            <w:hideMark/>
          </w:tcPr>
          <w:p w14:paraId="474672F8" w14:textId="77777777" w:rsidR="002D7FA2" w:rsidRPr="002D7FA2" w:rsidRDefault="002D7FA2" w:rsidP="002D7FA2">
            <w:pPr>
              <w:rPr>
                <w:color w:val="000000"/>
                <w:sz w:val="16"/>
                <w:szCs w:val="16"/>
              </w:rPr>
            </w:pPr>
            <w:r w:rsidRPr="002D7FA2">
              <w:rPr>
                <w:color w:val="000000"/>
                <w:sz w:val="16"/>
                <w:szCs w:val="16"/>
              </w:rPr>
              <w:t>10 godina</w:t>
            </w:r>
          </w:p>
        </w:tc>
        <w:tc>
          <w:tcPr>
            <w:tcW w:w="1340" w:type="dxa"/>
            <w:vAlign w:val="center"/>
            <w:hideMark/>
          </w:tcPr>
          <w:p w14:paraId="74B57473" w14:textId="77777777" w:rsidR="002D7FA2" w:rsidRPr="002D7FA2" w:rsidRDefault="002D7FA2" w:rsidP="002D7FA2">
            <w:pPr>
              <w:rPr>
                <w:color w:val="000000"/>
                <w:sz w:val="16"/>
                <w:szCs w:val="16"/>
              </w:rPr>
            </w:pPr>
            <w:r w:rsidRPr="002D7FA2">
              <w:rPr>
                <w:color w:val="000000"/>
                <w:sz w:val="16"/>
                <w:szCs w:val="16"/>
              </w:rPr>
              <w:t>u rješavanju</w:t>
            </w:r>
          </w:p>
        </w:tc>
      </w:tr>
      <w:tr w:rsidR="002D7FA2" w:rsidRPr="002D7FA2" w14:paraId="73B098C4" w14:textId="77777777" w:rsidTr="00BB1392">
        <w:trPr>
          <w:trHeight w:val="450"/>
        </w:trPr>
        <w:tc>
          <w:tcPr>
            <w:tcW w:w="440" w:type="dxa"/>
            <w:vAlign w:val="center"/>
            <w:hideMark/>
          </w:tcPr>
          <w:p w14:paraId="14B04D17" w14:textId="77777777" w:rsidR="002D7FA2" w:rsidRPr="002D7FA2" w:rsidRDefault="002D7FA2" w:rsidP="002D7FA2">
            <w:pPr>
              <w:jc w:val="center"/>
              <w:rPr>
                <w:color w:val="000000"/>
                <w:sz w:val="16"/>
                <w:szCs w:val="16"/>
              </w:rPr>
            </w:pPr>
            <w:r w:rsidRPr="002D7FA2">
              <w:rPr>
                <w:color w:val="000000"/>
                <w:sz w:val="16"/>
                <w:szCs w:val="16"/>
              </w:rPr>
              <w:t>4</w:t>
            </w:r>
          </w:p>
        </w:tc>
        <w:tc>
          <w:tcPr>
            <w:tcW w:w="960" w:type="dxa"/>
            <w:vAlign w:val="center"/>
            <w:hideMark/>
          </w:tcPr>
          <w:p w14:paraId="4A8A3ADB" w14:textId="77777777" w:rsidR="002D7FA2" w:rsidRPr="002D7FA2" w:rsidRDefault="002D7FA2" w:rsidP="002D7FA2">
            <w:pPr>
              <w:rPr>
                <w:color w:val="000000"/>
                <w:sz w:val="16"/>
                <w:szCs w:val="16"/>
              </w:rPr>
            </w:pPr>
            <w:r w:rsidRPr="002D7FA2">
              <w:rPr>
                <w:color w:val="000000"/>
                <w:sz w:val="16"/>
                <w:szCs w:val="16"/>
              </w:rPr>
              <w:t>D.P.</w:t>
            </w:r>
          </w:p>
        </w:tc>
        <w:tc>
          <w:tcPr>
            <w:tcW w:w="1540" w:type="dxa"/>
            <w:vAlign w:val="center"/>
            <w:hideMark/>
          </w:tcPr>
          <w:p w14:paraId="3400B2AF" w14:textId="77777777" w:rsidR="002D7FA2" w:rsidRPr="002D7FA2" w:rsidRDefault="002D7FA2" w:rsidP="002D7FA2">
            <w:pPr>
              <w:rPr>
                <w:color w:val="000000"/>
                <w:sz w:val="16"/>
                <w:szCs w:val="16"/>
              </w:rPr>
            </w:pPr>
            <w:r w:rsidRPr="002D7FA2">
              <w:rPr>
                <w:color w:val="000000"/>
                <w:sz w:val="16"/>
                <w:szCs w:val="16"/>
              </w:rPr>
              <w:t>Općina Marčana</w:t>
            </w:r>
          </w:p>
        </w:tc>
        <w:tc>
          <w:tcPr>
            <w:tcW w:w="1520" w:type="dxa"/>
            <w:vAlign w:val="center"/>
            <w:hideMark/>
          </w:tcPr>
          <w:p w14:paraId="19D3B639" w14:textId="77777777" w:rsidR="002D7FA2" w:rsidRPr="002D7FA2" w:rsidRDefault="002D7FA2" w:rsidP="002D7FA2">
            <w:pPr>
              <w:rPr>
                <w:color w:val="000000"/>
                <w:sz w:val="16"/>
                <w:szCs w:val="16"/>
              </w:rPr>
            </w:pPr>
            <w:r w:rsidRPr="002D7FA2">
              <w:rPr>
                <w:color w:val="000000"/>
                <w:sz w:val="16"/>
                <w:szCs w:val="16"/>
              </w:rPr>
              <w:t>Općinski sud u Puli</w:t>
            </w:r>
          </w:p>
        </w:tc>
        <w:tc>
          <w:tcPr>
            <w:tcW w:w="1120" w:type="dxa"/>
            <w:vAlign w:val="center"/>
            <w:hideMark/>
          </w:tcPr>
          <w:p w14:paraId="6A026998" w14:textId="77777777" w:rsidR="002D7FA2" w:rsidRPr="002D7FA2" w:rsidRDefault="002D7FA2" w:rsidP="002D7FA2">
            <w:pPr>
              <w:rPr>
                <w:color w:val="000000"/>
                <w:sz w:val="16"/>
                <w:szCs w:val="16"/>
              </w:rPr>
            </w:pPr>
            <w:r w:rsidRPr="002D7FA2">
              <w:rPr>
                <w:color w:val="000000"/>
                <w:sz w:val="16"/>
                <w:szCs w:val="16"/>
              </w:rPr>
              <w:t> </w:t>
            </w:r>
          </w:p>
        </w:tc>
        <w:tc>
          <w:tcPr>
            <w:tcW w:w="3100" w:type="dxa"/>
            <w:vAlign w:val="center"/>
            <w:hideMark/>
          </w:tcPr>
          <w:p w14:paraId="7999D198" w14:textId="77777777" w:rsidR="002D7FA2" w:rsidRPr="002D7FA2" w:rsidRDefault="002D7FA2" w:rsidP="002D7FA2">
            <w:pPr>
              <w:rPr>
                <w:color w:val="000000"/>
                <w:sz w:val="16"/>
                <w:szCs w:val="16"/>
              </w:rPr>
            </w:pPr>
            <w:r w:rsidRPr="002D7FA2">
              <w:rPr>
                <w:color w:val="000000"/>
                <w:sz w:val="16"/>
                <w:szCs w:val="16"/>
              </w:rPr>
              <w:t>radi utvrđivanja prava vlasništva nekretnina</w:t>
            </w:r>
          </w:p>
        </w:tc>
        <w:tc>
          <w:tcPr>
            <w:tcW w:w="2140" w:type="dxa"/>
            <w:vAlign w:val="center"/>
            <w:hideMark/>
          </w:tcPr>
          <w:p w14:paraId="1D0AAB35" w14:textId="77777777" w:rsidR="002D7FA2" w:rsidRPr="002D7FA2" w:rsidRDefault="002D7FA2" w:rsidP="002D7FA2">
            <w:pPr>
              <w:jc w:val="right"/>
              <w:rPr>
                <w:color w:val="000000"/>
                <w:sz w:val="16"/>
                <w:szCs w:val="16"/>
              </w:rPr>
            </w:pPr>
            <w:r w:rsidRPr="002D7FA2">
              <w:rPr>
                <w:color w:val="000000"/>
                <w:sz w:val="16"/>
                <w:szCs w:val="16"/>
              </w:rPr>
              <w:t>1.327,22</w:t>
            </w:r>
          </w:p>
        </w:tc>
        <w:tc>
          <w:tcPr>
            <w:tcW w:w="2340" w:type="dxa"/>
            <w:vAlign w:val="center"/>
            <w:hideMark/>
          </w:tcPr>
          <w:p w14:paraId="3D56D4D0" w14:textId="77777777" w:rsidR="002D7FA2" w:rsidRPr="002D7FA2" w:rsidRDefault="002D7FA2" w:rsidP="002D7FA2">
            <w:pPr>
              <w:rPr>
                <w:color w:val="000000"/>
                <w:sz w:val="16"/>
                <w:szCs w:val="16"/>
              </w:rPr>
            </w:pPr>
            <w:r w:rsidRPr="002D7FA2">
              <w:rPr>
                <w:color w:val="000000"/>
                <w:sz w:val="16"/>
                <w:szCs w:val="16"/>
              </w:rPr>
              <w:t>10 godina</w:t>
            </w:r>
          </w:p>
        </w:tc>
        <w:tc>
          <w:tcPr>
            <w:tcW w:w="1340" w:type="dxa"/>
            <w:vAlign w:val="center"/>
            <w:hideMark/>
          </w:tcPr>
          <w:p w14:paraId="472F111E" w14:textId="77777777" w:rsidR="002D7FA2" w:rsidRPr="002D7FA2" w:rsidRDefault="002D7FA2" w:rsidP="002D7FA2">
            <w:pPr>
              <w:rPr>
                <w:color w:val="000000"/>
                <w:sz w:val="16"/>
                <w:szCs w:val="16"/>
              </w:rPr>
            </w:pPr>
            <w:r w:rsidRPr="002D7FA2">
              <w:rPr>
                <w:color w:val="000000"/>
                <w:sz w:val="16"/>
                <w:szCs w:val="16"/>
              </w:rPr>
              <w:t>u rješavanju</w:t>
            </w:r>
          </w:p>
        </w:tc>
      </w:tr>
      <w:tr w:rsidR="002D7FA2" w:rsidRPr="002D7FA2" w14:paraId="4729BBC9" w14:textId="77777777" w:rsidTr="00BB1392">
        <w:trPr>
          <w:trHeight w:val="450"/>
        </w:trPr>
        <w:tc>
          <w:tcPr>
            <w:tcW w:w="440" w:type="dxa"/>
            <w:vAlign w:val="center"/>
            <w:hideMark/>
          </w:tcPr>
          <w:p w14:paraId="58E1947B" w14:textId="77777777" w:rsidR="002D7FA2" w:rsidRPr="002D7FA2" w:rsidRDefault="002D7FA2" w:rsidP="002D7FA2">
            <w:pPr>
              <w:jc w:val="center"/>
              <w:rPr>
                <w:color w:val="000000"/>
                <w:sz w:val="16"/>
                <w:szCs w:val="16"/>
              </w:rPr>
            </w:pPr>
            <w:r w:rsidRPr="002D7FA2">
              <w:rPr>
                <w:color w:val="000000"/>
                <w:sz w:val="16"/>
                <w:szCs w:val="16"/>
              </w:rPr>
              <w:t>5</w:t>
            </w:r>
          </w:p>
        </w:tc>
        <w:tc>
          <w:tcPr>
            <w:tcW w:w="960" w:type="dxa"/>
            <w:vAlign w:val="center"/>
            <w:hideMark/>
          </w:tcPr>
          <w:p w14:paraId="610A277F" w14:textId="77777777" w:rsidR="002D7FA2" w:rsidRPr="002D7FA2" w:rsidRDefault="002D7FA2" w:rsidP="002D7FA2">
            <w:pPr>
              <w:rPr>
                <w:color w:val="000000"/>
                <w:sz w:val="16"/>
                <w:szCs w:val="16"/>
              </w:rPr>
            </w:pPr>
            <w:r w:rsidRPr="002D7FA2">
              <w:rPr>
                <w:color w:val="000000"/>
                <w:sz w:val="16"/>
                <w:szCs w:val="16"/>
              </w:rPr>
              <w:t>A.C.</w:t>
            </w:r>
          </w:p>
        </w:tc>
        <w:tc>
          <w:tcPr>
            <w:tcW w:w="1540" w:type="dxa"/>
            <w:vAlign w:val="center"/>
            <w:hideMark/>
          </w:tcPr>
          <w:p w14:paraId="5D9A13CB" w14:textId="77777777" w:rsidR="002D7FA2" w:rsidRPr="002D7FA2" w:rsidRDefault="002D7FA2" w:rsidP="002D7FA2">
            <w:pPr>
              <w:rPr>
                <w:color w:val="000000"/>
                <w:sz w:val="16"/>
                <w:szCs w:val="16"/>
              </w:rPr>
            </w:pPr>
            <w:r w:rsidRPr="002D7FA2">
              <w:rPr>
                <w:color w:val="000000"/>
                <w:sz w:val="16"/>
                <w:szCs w:val="16"/>
              </w:rPr>
              <w:t>Općina Marčana</w:t>
            </w:r>
          </w:p>
        </w:tc>
        <w:tc>
          <w:tcPr>
            <w:tcW w:w="1520" w:type="dxa"/>
            <w:vAlign w:val="center"/>
            <w:hideMark/>
          </w:tcPr>
          <w:p w14:paraId="7AF638B8" w14:textId="77777777" w:rsidR="002D7FA2" w:rsidRPr="002D7FA2" w:rsidRDefault="002D7FA2" w:rsidP="002D7FA2">
            <w:pPr>
              <w:rPr>
                <w:color w:val="000000"/>
                <w:sz w:val="16"/>
                <w:szCs w:val="16"/>
              </w:rPr>
            </w:pPr>
            <w:r w:rsidRPr="002D7FA2">
              <w:rPr>
                <w:color w:val="000000"/>
                <w:sz w:val="16"/>
                <w:szCs w:val="16"/>
              </w:rPr>
              <w:t>Općinski sud u Puli</w:t>
            </w:r>
          </w:p>
        </w:tc>
        <w:tc>
          <w:tcPr>
            <w:tcW w:w="1120" w:type="dxa"/>
            <w:vAlign w:val="center"/>
            <w:hideMark/>
          </w:tcPr>
          <w:p w14:paraId="52EAF336" w14:textId="77777777" w:rsidR="002D7FA2" w:rsidRPr="002D7FA2" w:rsidRDefault="002D7FA2" w:rsidP="002D7FA2">
            <w:pPr>
              <w:rPr>
                <w:color w:val="000000"/>
                <w:sz w:val="16"/>
                <w:szCs w:val="16"/>
              </w:rPr>
            </w:pPr>
            <w:r w:rsidRPr="002D7FA2">
              <w:rPr>
                <w:color w:val="000000"/>
                <w:sz w:val="16"/>
                <w:szCs w:val="16"/>
              </w:rPr>
              <w:t> </w:t>
            </w:r>
          </w:p>
        </w:tc>
        <w:tc>
          <w:tcPr>
            <w:tcW w:w="3100" w:type="dxa"/>
            <w:vAlign w:val="center"/>
            <w:hideMark/>
          </w:tcPr>
          <w:p w14:paraId="1A814EF0" w14:textId="77777777" w:rsidR="002D7FA2" w:rsidRPr="002D7FA2" w:rsidRDefault="002D7FA2" w:rsidP="002D7FA2">
            <w:pPr>
              <w:rPr>
                <w:color w:val="000000"/>
                <w:sz w:val="16"/>
                <w:szCs w:val="16"/>
              </w:rPr>
            </w:pPr>
            <w:r w:rsidRPr="002D7FA2">
              <w:rPr>
                <w:color w:val="000000"/>
                <w:sz w:val="16"/>
                <w:szCs w:val="16"/>
              </w:rPr>
              <w:t xml:space="preserve">Brisanja upisa i uspostave prijašnjeg </w:t>
            </w:r>
            <w:proofErr w:type="spellStart"/>
            <w:r w:rsidRPr="002D7FA2">
              <w:rPr>
                <w:color w:val="000000"/>
                <w:sz w:val="16"/>
                <w:szCs w:val="16"/>
              </w:rPr>
              <w:t>zemljoknjižnog</w:t>
            </w:r>
            <w:proofErr w:type="spellEnd"/>
            <w:r w:rsidRPr="002D7FA2">
              <w:rPr>
                <w:color w:val="000000"/>
                <w:sz w:val="16"/>
                <w:szCs w:val="16"/>
              </w:rPr>
              <w:t xml:space="preserve"> stanja</w:t>
            </w:r>
          </w:p>
        </w:tc>
        <w:tc>
          <w:tcPr>
            <w:tcW w:w="2140" w:type="dxa"/>
            <w:vAlign w:val="center"/>
            <w:hideMark/>
          </w:tcPr>
          <w:p w14:paraId="6DBE0B60" w14:textId="77777777" w:rsidR="002D7FA2" w:rsidRPr="002D7FA2" w:rsidRDefault="002D7FA2" w:rsidP="002D7FA2">
            <w:pPr>
              <w:jc w:val="right"/>
              <w:rPr>
                <w:color w:val="000000"/>
                <w:sz w:val="16"/>
                <w:szCs w:val="16"/>
              </w:rPr>
            </w:pPr>
            <w:r w:rsidRPr="002D7FA2">
              <w:rPr>
                <w:color w:val="000000"/>
                <w:sz w:val="16"/>
                <w:szCs w:val="16"/>
              </w:rPr>
              <w:t>13.500,00</w:t>
            </w:r>
          </w:p>
        </w:tc>
        <w:tc>
          <w:tcPr>
            <w:tcW w:w="2340" w:type="dxa"/>
            <w:vAlign w:val="center"/>
            <w:hideMark/>
          </w:tcPr>
          <w:p w14:paraId="2EC758F0" w14:textId="77777777" w:rsidR="002D7FA2" w:rsidRPr="002D7FA2" w:rsidRDefault="002D7FA2" w:rsidP="002D7FA2">
            <w:pPr>
              <w:rPr>
                <w:color w:val="000000"/>
                <w:sz w:val="16"/>
                <w:szCs w:val="16"/>
              </w:rPr>
            </w:pPr>
            <w:r w:rsidRPr="002D7FA2">
              <w:rPr>
                <w:color w:val="000000"/>
                <w:sz w:val="16"/>
                <w:szCs w:val="16"/>
              </w:rPr>
              <w:t>10 godina</w:t>
            </w:r>
          </w:p>
        </w:tc>
        <w:tc>
          <w:tcPr>
            <w:tcW w:w="1340" w:type="dxa"/>
            <w:vAlign w:val="center"/>
            <w:hideMark/>
          </w:tcPr>
          <w:p w14:paraId="30ABBACB" w14:textId="77777777" w:rsidR="002D7FA2" w:rsidRPr="002D7FA2" w:rsidRDefault="002D7FA2" w:rsidP="002D7FA2">
            <w:pPr>
              <w:rPr>
                <w:color w:val="000000"/>
                <w:sz w:val="16"/>
                <w:szCs w:val="16"/>
              </w:rPr>
            </w:pPr>
            <w:r w:rsidRPr="002D7FA2">
              <w:rPr>
                <w:color w:val="000000"/>
                <w:sz w:val="16"/>
                <w:szCs w:val="16"/>
              </w:rPr>
              <w:t>u rješavanju</w:t>
            </w:r>
          </w:p>
        </w:tc>
      </w:tr>
      <w:tr w:rsidR="002D7FA2" w:rsidRPr="002D7FA2" w14:paraId="30161C15" w14:textId="77777777" w:rsidTr="00BB1392">
        <w:trPr>
          <w:trHeight w:val="225"/>
        </w:trPr>
        <w:tc>
          <w:tcPr>
            <w:tcW w:w="440" w:type="dxa"/>
            <w:vAlign w:val="center"/>
            <w:hideMark/>
          </w:tcPr>
          <w:p w14:paraId="2715F725" w14:textId="77777777" w:rsidR="002D7FA2" w:rsidRPr="002D7FA2" w:rsidRDefault="002D7FA2" w:rsidP="002D7FA2">
            <w:pPr>
              <w:jc w:val="center"/>
              <w:rPr>
                <w:color w:val="000000"/>
                <w:sz w:val="16"/>
                <w:szCs w:val="16"/>
              </w:rPr>
            </w:pPr>
            <w:r w:rsidRPr="002D7FA2">
              <w:rPr>
                <w:color w:val="000000"/>
                <w:sz w:val="16"/>
                <w:szCs w:val="16"/>
              </w:rPr>
              <w:t>6</w:t>
            </w:r>
          </w:p>
        </w:tc>
        <w:tc>
          <w:tcPr>
            <w:tcW w:w="960" w:type="dxa"/>
            <w:vAlign w:val="center"/>
            <w:hideMark/>
          </w:tcPr>
          <w:p w14:paraId="10B71A37" w14:textId="77777777" w:rsidR="002D7FA2" w:rsidRPr="002D7FA2" w:rsidRDefault="002D7FA2" w:rsidP="002D7FA2">
            <w:pPr>
              <w:rPr>
                <w:color w:val="000000"/>
                <w:sz w:val="16"/>
                <w:szCs w:val="16"/>
              </w:rPr>
            </w:pPr>
            <w:r w:rsidRPr="002D7FA2">
              <w:rPr>
                <w:color w:val="000000"/>
                <w:sz w:val="16"/>
                <w:szCs w:val="16"/>
              </w:rPr>
              <w:t>C.P.</w:t>
            </w:r>
          </w:p>
        </w:tc>
        <w:tc>
          <w:tcPr>
            <w:tcW w:w="1540" w:type="dxa"/>
            <w:vAlign w:val="center"/>
            <w:hideMark/>
          </w:tcPr>
          <w:p w14:paraId="5B75664D" w14:textId="77777777" w:rsidR="002D7FA2" w:rsidRPr="002D7FA2" w:rsidRDefault="002D7FA2" w:rsidP="002D7FA2">
            <w:pPr>
              <w:rPr>
                <w:color w:val="000000"/>
                <w:sz w:val="16"/>
                <w:szCs w:val="16"/>
              </w:rPr>
            </w:pPr>
            <w:r w:rsidRPr="002D7FA2">
              <w:rPr>
                <w:color w:val="000000"/>
                <w:sz w:val="16"/>
                <w:szCs w:val="16"/>
              </w:rPr>
              <w:t>Općina Marčana</w:t>
            </w:r>
          </w:p>
        </w:tc>
        <w:tc>
          <w:tcPr>
            <w:tcW w:w="1520" w:type="dxa"/>
            <w:vAlign w:val="center"/>
            <w:hideMark/>
          </w:tcPr>
          <w:p w14:paraId="41E28C43" w14:textId="77777777" w:rsidR="002D7FA2" w:rsidRPr="002D7FA2" w:rsidRDefault="002D7FA2" w:rsidP="002D7FA2">
            <w:pPr>
              <w:rPr>
                <w:color w:val="000000"/>
                <w:sz w:val="16"/>
                <w:szCs w:val="16"/>
              </w:rPr>
            </w:pPr>
            <w:r w:rsidRPr="002D7FA2">
              <w:rPr>
                <w:color w:val="000000"/>
                <w:sz w:val="16"/>
                <w:szCs w:val="16"/>
              </w:rPr>
              <w:t>Općinski sud u Puli</w:t>
            </w:r>
          </w:p>
        </w:tc>
        <w:tc>
          <w:tcPr>
            <w:tcW w:w="1120" w:type="dxa"/>
            <w:vAlign w:val="center"/>
            <w:hideMark/>
          </w:tcPr>
          <w:p w14:paraId="2B2BBC95" w14:textId="77777777" w:rsidR="002D7FA2" w:rsidRPr="002D7FA2" w:rsidRDefault="002D7FA2" w:rsidP="002D7FA2">
            <w:pPr>
              <w:rPr>
                <w:color w:val="000000"/>
                <w:sz w:val="16"/>
                <w:szCs w:val="16"/>
              </w:rPr>
            </w:pPr>
            <w:r w:rsidRPr="002D7FA2">
              <w:rPr>
                <w:color w:val="000000"/>
                <w:sz w:val="16"/>
                <w:szCs w:val="16"/>
              </w:rPr>
              <w:t> </w:t>
            </w:r>
          </w:p>
        </w:tc>
        <w:tc>
          <w:tcPr>
            <w:tcW w:w="3100" w:type="dxa"/>
            <w:vAlign w:val="center"/>
            <w:hideMark/>
          </w:tcPr>
          <w:p w14:paraId="47EE7C97" w14:textId="77777777" w:rsidR="002D7FA2" w:rsidRPr="002D7FA2" w:rsidRDefault="002D7FA2" w:rsidP="002D7FA2">
            <w:pPr>
              <w:rPr>
                <w:color w:val="000000"/>
                <w:sz w:val="16"/>
                <w:szCs w:val="16"/>
              </w:rPr>
            </w:pPr>
            <w:r w:rsidRPr="002D7FA2">
              <w:rPr>
                <w:color w:val="000000"/>
                <w:sz w:val="16"/>
                <w:szCs w:val="16"/>
              </w:rPr>
              <w:t xml:space="preserve">Utvrđenja, </w:t>
            </w:r>
            <w:proofErr w:type="spellStart"/>
            <w:r w:rsidRPr="002D7FA2">
              <w:rPr>
                <w:color w:val="000000"/>
                <w:sz w:val="16"/>
                <w:szCs w:val="16"/>
              </w:rPr>
              <w:t>zk</w:t>
            </w:r>
            <w:proofErr w:type="spellEnd"/>
            <w:r w:rsidRPr="002D7FA2">
              <w:rPr>
                <w:color w:val="000000"/>
                <w:sz w:val="16"/>
                <w:szCs w:val="16"/>
              </w:rPr>
              <w:t>. upisa i dr.</w:t>
            </w:r>
          </w:p>
        </w:tc>
        <w:tc>
          <w:tcPr>
            <w:tcW w:w="2140" w:type="dxa"/>
            <w:vAlign w:val="center"/>
            <w:hideMark/>
          </w:tcPr>
          <w:p w14:paraId="232E8C3E" w14:textId="77777777" w:rsidR="002D7FA2" w:rsidRPr="002D7FA2" w:rsidRDefault="002D7FA2" w:rsidP="002D7FA2">
            <w:pPr>
              <w:jc w:val="right"/>
              <w:rPr>
                <w:color w:val="000000"/>
                <w:sz w:val="16"/>
                <w:szCs w:val="16"/>
              </w:rPr>
            </w:pPr>
            <w:r w:rsidRPr="002D7FA2">
              <w:rPr>
                <w:color w:val="000000"/>
                <w:sz w:val="16"/>
                <w:szCs w:val="16"/>
              </w:rPr>
              <w:t>35.000,00</w:t>
            </w:r>
          </w:p>
        </w:tc>
        <w:tc>
          <w:tcPr>
            <w:tcW w:w="2340" w:type="dxa"/>
            <w:vAlign w:val="center"/>
            <w:hideMark/>
          </w:tcPr>
          <w:p w14:paraId="4BC6E2C4" w14:textId="77777777" w:rsidR="002D7FA2" w:rsidRPr="002D7FA2" w:rsidRDefault="002D7FA2" w:rsidP="002D7FA2">
            <w:pPr>
              <w:rPr>
                <w:color w:val="000000"/>
                <w:sz w:val="16"/>
                <w:szCs w:val="16"/>
              </w:rPr>
            </w:pPr>
            <w:r w:rsidRPr="002D7FA2">
              <w:rPr>
                <w:color w:val="000000"/>
                <w:sz w:val="16"/>
                <w:szCs w:val="16"/>
              </w:rPr>
              <w:t>10 godina</w:t>
            </w:r>
          </w:p>
        </w:tc>
        <w:tc>
          <w:tcPr>
            <w:tcW w:w="1340" w:type="dxa"/>
            <w:vAlign w:val="center"/>
            <w:hideMark/>
          </w:tcPr>
          <w:p w14:paraId="27F6548B" w14:textId="77777777" w:rsidR="002D7FA2" w:rsidRPr="002D7FA2" w:rsidRDefault="002D7FA2" w:rsidP="002D7FA2">
            <w:pPr>
              <w:rPr>
                <w:color w:val="000000"/>
                <w:sz w:val="16"/>
                <w:szCs w:val="16"/>
              </w:rPr>
            </w:pPr>
            <w:r w:rsidRPr="002D7FA2">
              <w:rPr>
                <w:color w:val="000000"/>
                <w:sz w:val="16"/>
                <w:szCs w:val="16"/>
              </w:rPr>
              <w:t>u rješavanju</w:t>
            </w:r>
          </w:p>
        </w:tc>
      </w:tr>
      <w:tr w:rsidR="002D7FA2" w:rsidRPr="002D7FA2" w14:paraId="0A035ACA" w14:textId="77777777" w:rsidTr="00BB1392">
        <w:trPr>
          <w:trHeight w:val="225"/>
        </w:trPr>
        <w:tc>
          <w:tcPr>
            <w:tcW w:w="440" w:type="dxa"/>
            <w:vAlign w:val="center"/>
            <w:hideMark/>
          </w:tcPr>
          <w:p w14:paraId="5B402553" w14:textId="77777777" w:rsidR="002D7FA2" w:rsidRPr="002D7FA2" w:rsidRDefault="002D7FA2" w:rsidP="002D7FA2">
            <w:pPr>
              <w:jc w:val="center"/>
              <w:rPr>
                <w:color w:val="000000"/>
                <w:sz w:val="16"/>
                <w:szCs w:val="16"/>
              </w:rPr>
            </w:pPr>
            <w:r w:rsidRPr="002D7FA2">
              <w:rPr>
                <w:color w:val="000000"/>
                <w:sz w:val="16"/>
                <w:szCs w:val="16"/>
              </w:rPr>
              <w:t>7</w:t>
            </w:r>
          </w:p>
        </w:tc>
        <w:tc>
          <w:tcPr>
            <w:tcW w:w="960" w:type="dxa"/>
            <w:vAlign w:val="center"/>
            <w:hideMark/>
          </w:tcPr>
          <w:p w14:paraId="46E4B6DF" w14:textId="77777777" w:rsidR="002D7FA2" w:rsidRPr="002D7FA2" w:rsidRDefault="002D7FA2" w:rsidP="002D7FA2">
            <w:pPr>
              <w:rPr>
                <w:color w:val="000000"/>
                <w:sz w:val="16"/>
                <w:szCs w:val="16"/>
              </w:rPr>
            </w:pPr>
            <w:r w:rsidRPr="002D7FA2">
              <w:rPr>
                <w:color w:val="000000"/>
                <w:sz w:val="16"/>
                <w:szCs w:val="16"/>
              </w:rPr>
              <w:t>M.Z.</w:t>
            </w:r>
          </w:p>
        </w:tc>
        <w:tc>
          <w:tcPr>
            <w:tcW w:w="1540" w:type="dxa"/>
            <w:vAlign w:val="center"/>
            <w:hideMark/>
          </w:tcPr>
          <w:p w14:paraId="4F485B0F" w14:textId="77777777" w:rsidR="002D7FA2" w:rsidRPr="002D7FA2" w:rsidRDefault="002D7FA2" w:rsidP="002D7FA2">
            <w:pPr>
              <w:rPr>
                <w:color w:val="000000"/>
                <w:sz w:val="16"/>
                <w:szCs w:val="16"/>
              </w:rPr>
            </w:pPr>
            <w:r w:rsidRPr="002D7FA2">
              <w:rPr>
                <w:color w:val="000000"/>
                <w:sz w:val="16"/>
                <w:szCs w:val="16"/>
              </w:rPr>
              <w:t>Općina Marčana</w:t>
            </w:r>
          </w:p>
        </w:tc>
        <w:tc>
          <w:tcPr>
            <w:tcW w:w="1520" w:type="dxa"/>
            <w:vAlign w:val="center"/>
            <w:hideMark/>
          </w:tcPr>
          <w:p w14:paraId="25DA2452" w14:textId="77777777" w:rsidR="002D7FA2" w:rsidRPr="002D7FA2" w:rsidRDefault="002D7FA2" w:rsidP="002D7FA2">
            <w:pPr>
              <w:rPr>
                <w:color w:val="000000"/>
                <w:sz w:val="16"/>
                <w:szCs w:val="16"/>
              </w:rPr>
            </w:pPr>
            <w:r w:rsidRPr="002D7FA2">
              <w:rPr>
                <w:color w:val="000000"/>
                <w:sz w:val="16"/>
                <w:szCs w:val="16"/>
              </w:rPr>
              <w:t>Općinski sud u Puli</w:t>
            </w:r>
          </w:p>
        </w:tc>
        <w:tc>
          <w:tcPr>
            <w:tcW w:w="1120" w:type="dxa"/>
            <w:vAlign w:val="center"/>
            <w:hideMark/>
          </w:tcPr>
          <w:p w14:paraId="3CB01769" w14:textId="77777777" w:rsidR="002D7FA2" w:rsidRPr="002D7FA2" w:rsidRDefault="002D7FA2" w:rsidP="002D7FA2">
            <w:pPr>
              <w:rPr>
                <w:color w:val="000000"/>
                <w:sz w:val="16"/>
                <w:szCs w:val="16"/>
              </w:rPr>
            </w:pPr>
            <w:r w:rsidRPr="002D7FA2">
              <w:rPr>
                <w:color w:val="000000"/>
                <w:sz w:val="16"/>
                <w:szCs w:val="16"/>
              </w:rPr>
              <w:t> </w:t>
            </w:r>
          </w:p>
        </w:tc>
        <w:tc>
          <w:tcPr>
            <w:tcW w:w="3100" w:type="dxa"/>
            <w:vAlign w:val="center"/>
            <w:hideMark/>
          </w:tcPr>
          <w:p w14:paraId="4A7EE4C5" w14:textId="77777777" w:rsidR="002D7FA2" w:rsidRPr="002D7FA2" w:rsidRDefault="002D7FA2" w:rsidP="002D7FA2">
            <w:pPr>
              <w:rPr>
                <w:color w:val="000000"/>
                <w:sz w:val="16"/>
                <w:szCs w:val="16"/>
              </w:rPr>
            </w:pPr>
            <w:r w:rsidRPr="002D7FA2">
              <w:rPr>
                <w:color w:val="000000"/>
                <w:sz w:val="16"/>
                <w:szCs w:val="16"/>
              </w:rPr>
              <w:t>radi utvrđivanja prava vlasništva</w:t>
            </w:r>
          </w:p>
        </w:tc>
        <w:tc>
          <w:tcPr>
            <w:tcW w:w="2140" w:type="dxa"/>
            <w:vAlign w:val="center"/>
            <w:hideMark/>
          </w:tcPr>
          <w:p w14:paraId="011B3A4E" w14:textId="77777777" w:rsidR="002D7FA2" w:rsidRPr="002D7FA2" w:rsidRDefault="002D7FA2" w:rsidP="002D7FA2">
            <w:pPr>
              <w:jc w:val="right"/>
              <w:rPr>
                <w:color w:val="000000"/>
                <w:sz w:val="16"/>
                <w:szCs w:val="16"/>
              </w:rPr>
            </w:pPr>
            <w:r w:rsidRPr="002D7FA2">
              <w:rPr>
                <w:color w:val="000000"/>
                <w:sz w:val="16"/>
                <w:szCs w:val="16"/>
              </w:rPr>
              <w:t>10.000,00</w:t>
            </w:r>
          </w:p>
        </w:tc>
        <w:tc>
          <w:tcPr>
            <w:tcW w:w="2340" w:type="dxa"/>
            <w:vAlign w:val="center"/>
            <w:hideMark/>
          </w:tcPr>
          <w:p w14:paraId="0C98628F" w14:textId="77777777" w:rsidR="002D7FA2" w:rsidRPr="002D7FA2" w:rsidRDefault="002D7FA2" w:rsidP="002D7FA2">
            <w:pPr>
              <w:rPr>
                <w:color w:val="000000"/>
                <w:sz w:val="16"/>
                <w:szCs w:val="16"/>
              </w:rPr>
            </w:pPr>
            <w:r w:rsidRPr="002D7FA2">
              <w:rPr>
                <w:color w:val="000000"/>
                <w:sz w:val="16"/>
                <w:szCs w:val="16"/>
              </w:rPr>
              <w:t>10 godina</w:t>
            </w:r>
          </w:p>
        </w:tc>
        <w:tc>
          <w:tcPr>
            <w:tcW w:w="1340" w:type="dxa"/>
            <w:vAlign w:val="center"/>
            <w:hideMark/>
          </w:tcPr>
          <w:p w14:paraId="4D09BF79" w14:textId="77777777" w:rsidR="002D7FA2" w:rsidRPr="002D7FA2" w:rsidRDefault="002D7FA2" w:rsidP="002D7FA2">
            <w:pPr>
              <w:rPr>
                <w:color w:val="000000"/>
                <w:sz w:val="16"/>
                <w:szCs w:val="16"/>
              </w:rPr>
            </w:pPr>
            <w:r w:rsidRPr="002D7FA2">
              <w:rPr>
                <w:color w:val="000000"/>
                <w:sz w:val="16"/>
                <w:szCs w:val="16"/>
              </w:rPr>
              <w:t>u rješavanju</w:t>
            </w:r>
          </w:p>
        </w:tc>
      </w:tr>
      <w:tr w:rsidR="002D7FA2" w:rsidRPr="002D7FA2" w14:paraId="44F7D071" w14:textId="77777777" w:rsidTr="00BB1392">
        <w:trPr>
          <w:trHeight w:val="225"/>
        </w:trPr>
        <w:tc>
          <w:tcPr>
            <w:tcW w:w="440" w:type="dxa"/>
            <w:vAlign w:val="center"/>
            <w:hideMark/>
          </w:tcPr>
          <w:p w14:paraId="3DBEC0AA" w14:textId="77777777" w:rsidR="002D7FA2" w:rsidRPr="002D7FA2" w:rsidRDefault="002D7FA2" w:rsidP="002D7FA2">
            <w:pPr>
              <w:jc w:val="center"/>
              <w:rPr>
                <w:color w:val="000000"/>
                <w:sz w:val="16"/>
                <w:szCs w:val="16"/>
              </w:rPr>
            </w:pPr>
            <w:r w:rsidRPr="002D7FA2">
              <w:rPr>
                <w:color w:val="000000"/>
                <w:sz w:val="16"/>
                <w:szCs w:val="16"/>
              </w:rPr>
              <w:t>8</w:t>
            </w:r>
          </w:p>
        </w:tc>
        <w:tc>
          <w:tcPr>
            <w:tcW w:w="960" w:type="dxa"/>
            <w:vAlign w:val="center"/>
            <w:hideMark/>
          </w:tcPr>
          <w:p w14:paraId="59F205F5" w14:textId="77777777" w:rsidR="002D7FA2" w:rsidRPr="002D7FA2" w:rsidRDefault="002D7FA2" w:rsidP="002D7FA2">
            <w:pPr>
              <w:rPr>
                <w:color w:val="000000"/>
                <w:sz w:val="16"/>
                <w:szCs w:val="16"/>
              </w:rPr>
            </w:pPr>
            <w:r w:rsidRPr="002D7FA2">
              <w:rPr>
                <w:color w:val="000000"/>
                <w:sz w:val="16"/>
                <w:szCs w:val="16"/>
              </w:rPr>
              <w:t>M.B. M.B.</w:t>
            </w:r>
          </w:p>
        </w:tc>
        <w:tc>
          <w:tcPr>
            <w:tcW w:w="1540" w:type="dxa"/>
            <w:vAlign w:val="center"/>
            <w:hideMark/>
          </w:tcPr>
          <w:p w14:paraId="34DB7DCB" w14:textId="77777777" w:rsidR="002D7FA2" w:rsidRPr="002D7FA2" w:rsidRDefault="002D7FA2" w:rsidP="002D7FA2">
            <w:pPr>
              <w:rPr>
                <w:color w:val="000000"/>
                <w:sz w:val="16"/>
                <w:szCs w:val="16"/>
              </w:rPr>
            </w:pPr>
            <w:r w:rsidRPr="002D7FA2">
              <w:rPr>
                <w:color w:val="000000"/>
                <w:sz w:val="16"/>
                <w:szCs w:val="16"/>
              </w:rPr>
              <w:t>Općina Marčana</w:t>
            </w:r>
          </w:p>
        </w:tc>
        <w:tc>
          <w:tcPr>
            <w:tcW w:w="1520" w:type="dxa"/>
            <w:vAlign w:val="center"/>
            <w:hideMark/>
          </w:tcPr>
          <w:p w14:paraId="63759CE6" w14:textId="77777777" w:rsidR="002D7FA2" w:rsidRPr="002D7FA2" w:rsidRDefault="002D7FA2" w:rsidP="002D7FA2">
            <w:pPr>
              <w:rPr>
                <w:color w:val="000000"/>
                <w:sz w:val="16"/>
                <w:szCs w:val="16"/>
              </w:rPr>
            </w:pPr>
            <w:r w:rsidRPr="002D7FA2">
              <w:rPr>
                <w:color w:val="000000"/>
                <w:sz w:val="16"/>
                <w:szCs w:val="16"/>
              </w:rPr>
              <w:t>Općinski sud u Puli</w:t>
            </w:r>
          </w:p>
        </w:tc>
        <w:tc>
          <w:tcPr>
            <w:tcW w:w="1120" w:type="dxa"/>
            <w:vAlign w:val="center"/>
            <w:hideMark/>
          </w:tcPr>
          <w:p w14:paraId="321120B0" w14:textId="77777777" w:rsidR="002D7FA2" w:rsidRPr="002D7FA2" w:rsidRDefault="002D7FA2" w:rsidP="002D7FA2">
            <w:pPr>
              <w:rPr>
                <w:color w:val="000000"/>
                <w:sz w:val="16"/>
                <w:szCs w:val="16"/>
              </w:rPr>
            </w:pPr>
            <w:r w:rsidRPr="002D7FA2">
              <w:rPr>
                <w:color w:val="000000"/>
                <w:sz w:val="16"/>
                <w:szCs w:val="16"/>
              </w:rPr>
              <w:t> </w:t>
            </w:r>
          </w:p>
        </w:tc>
        <w:tc>
          <w:tcPr>
            <w:tcW w:w="3100" w:type="dxa"/>
            <w:vAlign w:val="center"/>
            <w:hideMark/>
          </w:tcPr>
          <w:p w14:paraId="561FC073" w14:textId="77777777" w:rsidR="002D7FA2" w:rsidRPr="002D7FA2" w:rsidRDefault="002D7FA2" w:rsidP="002D7FA2">
            <w:pPr>
              <w:rPr>
                <w:color w:val="000000"/>
                <w:sz w:val="16"/>
                <w:szCs w:val="16"/>
              </w:rPr>
            </w:pPr>
            <w:r w:rsidRPr="002D7FA2">
              <w:rPr>
                <w:color w:val="000000"/>
                <w:sz w:val="16"/>
                <w:szCs w:val="16"/>
              </w:rPr>
              <w:t>radi utvrđivanja prava vlasništva</w:t>
            </w:r>
          </w:p>
        </w:tc>
        <w:tc>
          <w:tcPr>
            <w:tcW w:w="2140" w:type="dxa"/>
            <w:vAlign w:val="center"/>
            <w:hideMark/>
          </w:tcPr>
          <w:p w14:paraId="1B26E4AE" w14:textId="77777777" w:rsidR="002D7FA2" w:rsidRPr="002D7FA2" w:rsidRDefault="002D7FA2" w:rsidP="002D7FA2">
            <w:pPr>
              <w:jc w:val="right"/>
              <w:rPr>
                <w:color w:val="000000"/>
                <w:sz w:val="16"/>
                <w:szCs w:val="16"/>
              </w:rPr>
            </w:pPr>
            <w:r w:rsidRPr="002D7FA2">
              <w:rPr>
                <w:color w:val="000000"/>
                <w:sz w:val="16"/>
                <w:szCs w:val="16"/>
              </w:rPr>
              <w:t>1.000,00</w:t>
            </w:r>
          </w:p>
        </w:tc>
        <w:tc>
          <w:tcPr>
            <w:tcW w:w="2340" w:type="dxa"/>
            <w:vAlign w:val="center"/>
            <w:hideMark/>
          </w:tcPr>
          <w:p w14:paraId="3E1FA614" w14:textId="77777777" w:rsidR="002D7FA2" w:rsidRPr="002D7FA2" w:rsidRDefault="002D7FA2" w:rsidP="002D7FA2">
            <w:pPr>
              <w:rPr>
                <w:color w:val="000000"/>
                <w:sz w:val="16"/>
                <w:szCs w:val="16"/>
              </w:rPr>
            </w:pPr>
            <w:r w:rsidRPr="002D7FA2">
              <w:rPr>
                <w:color w:val="000000"/>
                <w:sz w:val="16"/>
                <w:szCs w:val="16"/>
              </w:rPr>
              <w:t>10 godina</w:t>
            </w:r>
          </w:p>
        </w:tc>
        <w:tc>
          <w:tcPr>
            <w:tcW w:w="1340" w:type="dxa"/>
            <w:vAlign w:val="center"/>
            <w:hideMark/>
          </w:tcPr>
          <w:p w14:paraId="5F330FF3" w14:textId="77777777" w:rsidR="002D7FA2" w:rsidRPr="002D7FA2" w:rsidRDefault="002D7FA2" w:rsidP="002D7FA2">
            <w:pPr>
              <w:rPr>
                <w:color w:val="000000"/>
                <w:sz w:val="16"/>
                <w:szCs w:val="16"/>
              </w:rPr>
            </w:pPr>
            <w:r w:rsidRPr="002D7FA2">
              <w:rPr>
                <w:color w:val="000000"/>
                <w:sz w:val="16"/>
                <w:szCs w:val="16"/>
              </w:rPr>
              <w:t>u rješavanju</w:t>
            </w:r>
          </w:p>
        </w:tc>
      </w:tr>
      <w:tr w:rsidR="002D7FA2" w:rsidRPr="002D7FA2" w14:paraId="01BFD0E3" w14:textId="77777777" w:rsidTr="00BB1392">
        <w:trPr>
          <w:trHeight w:val="225"/>
        </w:trPr>
        <w:tc>
          <w:tcPr>
            <w:tcW w:w="440" w:type="dxa"/>
            <w:vAlign w:val="center"/>
            <w:hideMark/>
          </w:tcPr>
          <w:p w14:paraId="72045FDB" w14:textId="77777777" w:rsidR="002D7FA2" w:rsidRPr="002D7FA2" w:rsidRDefault="002D7FA2" w:rsidP="002D7FA2">
            <w:pPr>
              <w:jc w:val="center"/>
              <w:rPr>
                <w:color w:val="000000"/>
                <w:sz w:val="16"/>
                <w:szCs w:val="16"/>
              </w:rPr>
            </w:pPr>
            <w:r w:rsidRPr="002D7FA2">
              <w:rPr>
                <w:color w:val="000000"/>
                <w:sz w:val="16"/>
                <w:szCs w:val="16"/>
              </w:rPr>
              <w:t>9</w:t>
            </w:r>
          </w:p>
        </w:tc>
        <w:tc>
          <w:tcPr>
            <w:tcW w:w="960" w:type="dxa"/>
            <w:vAlign w:val="center"/>
            <w:hideMark/>
          </w:tcPr>
          <w:p w14:paraId="2CDE4879" w14:textId="77777777" w:rsidR="002D7FA2" w:rsidRPr="002D7FA2" w:rsidRDefault="002D7FA2" w:rsidP="002D7FA2">
            <w:pPr>
              <w:rPr>
                <w:color w:val="000000"/>
                <w:sz w:val="16"/>
                <w:szCs w:val="16"/>
              </w:rPr>
            </w:pPr>
            <w:r w:rsidRPr="002D7FA2">
              <w:rPr>
                <w:color w:val="000000"/>
                <w:sz w:val="16"/>
                <w:szCs w:val="16"/>
              </w:rPr>
              <w:t>M.R.</w:t>
            </w:r>
          </w:p>
        </w:tc>
        <w:tc>
          <w:tcPr>
            <w:tcW w:w="1540" w:type="dxa"/>
            <w:vAlign w:val="center"/>
            <w:hideMark/>
          </w:tcPr>
          <w:p w14:paraId="668F23CB" w14:textId="77777777" w:rsidR="002D7FA2" w:rsidRPr="002D7FA2" w:rsidRDefault="002D7FA2" w:rsidP="002D7FA2">
            <w:pPr>
              <w:rPr>
                <w:color w:val="000000"/>
                <w:sz w:val="16"/>
                <w:szCs w:val="16"/>
              </w:rPr>
            </w:pPr>
            <w:r w:rsidRPr="002D7FA2">
              <w:rPr>
                <w:color w:val="000000"/>
                <w:sz w:val="16"/>
                <w:szCs w:val="16"/>
              </w:rPr>
              <w:t>Općina Marčana</w:t>
            </w:r>
          </w:p>
        </w:tc>
        <w:tc>
          <w:tcPr>
            <w:tcW w:w="1520" w:type="dxa"/>
            <w:vAlign w:val="center"/>
            <w:hideMark/>
          </w:tcPr>
          <w:p w14:paraId="1C5D1AC9" w14:textId="77777777" w:rsidR="002D7FA2" w:rsidRPr="002D7FA2" w:rsidRDefault="002D7FA2" w:rsidP="002D7FA2">
            <w:pPr>
              <w:rPr>
                <w:color w:val="000000"/>
                <w:sz w:val="16"/>
                <w:szCs w:val="16"/>
              </w:rPr>
            </w:pPr>
            <w:r w:rsidRPr="002D7FA2">
              <w:rPr>
                <w:color w:val="000000"/>
                <w:sz w:val="16"/>
                <w:szCs w:val="16"/>
              </w:rPr>
              <w:t>Općinski sud u Puli</w:t>
            </w:r>
          </w:p>
        </w:tc>
        <w:tc>
          <w:tcPr>
            <w:tcW w:w="1120" w:type="dxa"/>
            <w:vAlign w:val="center"/>
            <w:hideMark/>
          </w:tcPr>
          <w:p w14:paraId="3AD9440C" w14:textId="77777777" w:rsidR="002D7FA2" w:rsidRPr="002D7FA2" w:rsidRDefault="002D7FA2" w:rsidP="002D7FA2">
            <w:pPr>
              <w:rPr>
                <w:color w:val="000000"/>
                <w:sz w:val="16"/>
                <w:szCs w:val="16"/>
              </w:rPr>
            </w:pPr>
            <w:r w:rsidRPr="002D7FA2">
              <w:rPr>
                <w:color w:val="000000"/>
                <w:sz w:val="16"/>
                <w:szCs w:val="16"/>
              </w:rPr>
              <w:t> </w:t>
            </w:r>
          </w:p>
        </w:tc>
        <w:tc>
          <w:tcPr>
            <w:tcW w:w="3100" w:type="dxa"/>
            <w:vAlign w:val="center"/>
            <w:hideMark/>
          </w:tcPr>
          <w:p w14:paraId="3C144E96" w14:textId="77777777" w:rsidR="002D7FA2" w:rsidRPr="002D7FA2" w:rsidRDefault="002D7FA2" w:rsidP="002D7FA2">
            <w:pPr>
              <w:rPr>
                <w:color w:val="000000"/>
                <w:sz w:val="16"/>
                <w:szCs w:val="16"/>
              </w:rPr>
            </w:pPr>
            <w:r w:rsidRPr="002D7FA2">
              <w:rPr>
                <w:color w:val="000000"/>
                <w:sz w:val="16"/>
                <w:szCs w:val="16"/>
              </w:rPr>
              <w:t>radi utvrđivanja prava vlasništva</w:t>
            </w:r>
          </w:p>
        </w:tc>
        <w:tc>
          <w:tcPr>
            <w:tcW w:w="2140" w:type="dxa"/>
            <w:vAlign w:val="center"/>
            <w:hideMark/>
          </w:tcPr>
          <w:p w14:paraId="72179C3E" w14:textId="77777777" w:rsidR="002D7FA2" w:rsidRPr="002D7FA2" w:rsidRDefault="002D7FA2" w:rsidP="002D7FA2">
            <w:pPr>
              <w:jc w:val="right"/>
              <w:rPr>
                <w:color w:val="000000"/>
                <w:sz w:val="16"/>
                <w:szCs w:val="16"/>
              </w:rPr>
            </w:pPr>
            <w:r w:rsidRPr="002D7FA2">
              <w:rPr>
                <w:color w:val="000000"/>
                <w:sz w:val="16"/>
                <w:szCs w:val="16"/>
              </w:rPr>
              <w:t>1.327,22</w:t>
            </w:r>
          </w:p>
        </w:tc>
        <w:tc>
          <w:tcPr>
            <w:tcW w:w="2340" w:type="dxa"/>
            <w:vAlign w:val="center"/>
            <w:hideMark/>
          </w:tcPr>
          <w:p w14:paraId="0ED1E8DE" w14:textId="77777777" w:rsidR="002D7FA2" w:rsidRPr="002D7FA2" w:rsidRDefault="002D7FA2" w:rsidP="002D7FA2">
            <w:pPr>
              <w:rPr>
                <w:color w:val="000000"/>
                <w:sz w:val="16"/>
                <w:szCs w:val="16"/>
              </w:rPr>
            </w:pPr>
            <w:r w:rsidRPr="002D7FA2">
              <w:rPr>
                <w:color w:val="000000"/>
                <w:sz w:val="16"/>
                <w:szCs w:val="16"/>
              </w:rPr>
              <w:t>10 godina</w:t>
            </w:r>
          </w:p>
        </w:tc>
        <w:tc>
          <w:tcPr>
            <w:tcW w:w="1340" w:type="dxa"/>
            <w:vAlign w:val="center"/>
            <w:hideMark/>
          </w:tcPr>
          <w:p w14:paraId="25DF4752" w14:textId="77777777" w:rsidR="002D7FA2" w:rsidRPr="002D7FA2" w:rsidRDefault="002D7FA2" w:rsidP="002D7FA2">
            <w:pPr>
              <w:rPr>
                <w:color w:val="000000"/>
                <w:sz w:val="16"/>
                <w:szCs w:val="16"/>
              </w:rPr>
            </w:pPr>
            <w:r w:rsidRPr="002D7FA2">
              <w:rPr>
                <w:color w:val="000000"/>
                <w:sz w:val="16"/>
                <w:szCs w:val="16"/>
              </w:rPr>
              <w:t>u rješavanju</w:t>
            </w:r>
          </w:p>
        </w:tc>
      </w:tr>
      <w:tr w:rsidR="002D7FA2" w:rsidRPr="002D7FA2" w14:paraId="0C0898D0" w14:textId="77777777" w:rsidTr="00BB1392">
        <w:trPr>
          <w:trHeight w:val="450"/>
        </w:trPr>
        <w:tc>
          <w:tcPr>
            <w:tcW w:w="440" w:type="dxa"/>
            <w:vAlign w:val="center"/>
            <w:hideMark/>
          </w:tcPr>
          <w:p w14:paraId="36BD3B81" w14:textId="77777777" w:rsidR="002D7FA2" w:rsidRPr="002D7FA2" w:rsidRDefault="002D7FA2" w:rsidP="002D7FA2">
            <w:pPr>
              <w:jc w:val="center"/>
              <w:rPr>
                <w:color w:val="000000"/>
                <w:sz w:val="16"/>
                <w:szCs w:val="16"/>
              </w:rPr>
            </w:pPr>
            <w:r w:rsidRPr="002D7FA2">
              <w:rPr>
                <w:color w:val="000000"/>
                <w:sz w:val="16"/>
                <w:szCs w:val="16"/>
              </w:rPr>
              <w:t>10</w:t>
            </w:r>
          </w:p>
        </w:tc>
        <w:tc>
          <w:tcPr>
            <w:tcW w:w="960" w:type="dxa"/>
            <w:vAlign w:val="center"/>
            <w:hideMark/>
          </w:tcPr>
          <w:p w14:paraId="14A08FB2" w14:textId="77777777" w:rsidR="002D7FA2" w:rsidRPr="002D7FA2" w:rsidRDefault="002D7FA2" w:rsidP="002D7FA2">
            <w:pPr>
              <w:rPr>
                <w:color w:val="000000"/>
                <w:sz w:val="16"/>
                <w:szCs w:val="16"/>
              </w:rPr>
            </w:pPr>
            <w:r w:rsidRPr="002D7FA2">
              <w:rPr>
                <w:color w:val="000000"/>
                <w:sz w:val="16"/>
                <w:szCs w:val="16"/>
              </w:rPr>
              <w:t>R.C.</w:t>
            </w:r>
          </w:p>
        </w:tc>
        <w:tc>
          <w:tcPr>
            <w:tcW w:w="1540" w:type="dxa"/>
            <w:vAlign w:val="center"/>
            <w:hideMark/>
          </w:tcPr>
          <w:p w14:paraId="6EB5633F" w14:textId="77777777" w:rsidR="002D7FA2" w:rsidRPr="002D7FA2" w:rsidRDefault="002D7FA2" w:rsidP="002D7FA2">
            <w:pPr>
              <w:rPr>
                <w:color w:val="000000"/>
                <w:sz w:val="16"/>
                <w:szCs w:val="16"/>
              </w:rPr>
            </w:pPr>
            <w:r w:rsidRPr="002D7FA2">
              <w:rPr>
                <w:color w:val="000000"/>
                <w:sz w:val="16"/>
                <w:szCs w:val="16"/>
              </w:rPr>
              <w:t>Općina Marčana</w:t>
            </w:r>
          </w:p>
        </w:tc>
        <w:tc>
          <w:tcPr>
            <w:tcW w:w="1520" w:type="dxa"/>
            <w:vAlign w:val="center"/>
            <w:hideMark/>
          </w:tcPr>
          <w:p w14:paraId="3FAD61F2" w14:textId="77777777" w:rsidR="002D7FA2" w:rsidRPr="002D7FA2" w:rsidRDefault="002D7FA2" w:rsidP="002D7FA2">
            <w:pPr>
              <w:rPr>
                <w:color w:val="000000"/>
                <w:sz w:val="16"/>
                <w:szCs w:val="16"/>
              </w:rPr>
            </w:pPr>
            <w:r w:rsidRPr="002D7FA2">
              <w:rPr>
                <w:color w:val="000000"/>
                <w:sz w:val="16"/>
                <w:szCs w:val="16"/>
              </w:rPr>
              <w:t>Općinski sud u Puli</w:t>
            </w:r>
          </w:p>
        </w:tc>
        <w:tc>
          <w:tcPr>
            <w:tcW w:w="1120" w:type="dxa"/>
            <w:vAlign w:val="center"/>
            <w:hideMark/>
          </w:tcPr>
          <w:p w14:paraId="799356B4" w14:textId="77777777" w:rsidR="002D7FA2" w:rsidRPr="002D7FA2" w:rsidRDefault="002D7FA2" w:rsidP="002D7FA2">
            <w:pPr>
              <w:rPr>
                <w:color w:val="000000"/>
                <w:sz w:val="16"/>
                <w:szCs w:val="16"/>
              </w:rPr>
            </w:pPr>
            <w:r w:rsidRPr="002D7FA2">
              <w:rPr>
                <w:color w:val="000000"/>
                <w:sz w:val="16"/>
                <w:szCs w:val="16"/>
              </w:rPr>
              <w:t> </w:t>
            </w:r>
          </w:p>
        </w:tc>
        <w:tc>
          <w:tcPr>
            <w:tcW w:w="3100" w:type="dxa"/>
            <w:vAlign w:val="center"/>
            <w:hideMark/>
          </w:tcPr>
          <w:p w14:paraId="247236C5" w14:textId="77777777" w:rsidR="002D7FA2" w:rsidRPr="002D7FA2" w:rsidRDefault="002D7FA2" w:rsidP="002D7FA2">
            <w:pPr>
              <w:rPr>
                <w:color w:val="000000"/>
                <w:sz w:val="16"/>
                <w:szCs w:val="16"/>
              </w:rPr>
            </w:pPr>
            <w:r w:rsidRPr="002D7FA2">
              <w:rPr>
                <w:color w:val="000000"/>
                <w:sz w:val="16"/>
                <w:szCs w:val="16"/>
              </w:rPr>
              <w:t>radi utvrđivanja prava vlasništva i ispravka</w:t>
            </w:r>
          </w:p>
        </w:tc>
        <w:tc>
          <w:tcPr>
            <w:tcW w:w="2140" w:type="dxa"/>
            <w:vAlign w:val="center"/>
            <w:hideMark/>
          </w:tcPr>
          <w:p w14:paraId="4CABF550" w14:textId="77777777" w:rsidR="002D7FA2" w:rsidRPr="002D7FA2" w:rsidRDefault="002D7FA2" w:rsidP="002D7FA2">
            <w:pPr>
              <w:jc w:val="right"/>
              <w:rPr>
                <w:color w:val="000000"/>
                <w:sz w:val="16"/>
                <w:szCs w:val="16"/>
              </w:rPr>
            </w:pPr>
            <w:r w:rsidRPr="002D7FA2">
              <w:rPr>
                <w:color w:val="000000"/>
                <w:sz w:val="16"/>
                <w:szCs w:val="16"/>
              </w:rPr>
              <w:t>2.000,00</w:t>
            </w:r>
          </w:p>
        </w:tc>
        <w:tc>
          <w:tcPr>
            <w:tcW w:w="2340" w:type="dxa"/>
            <w:vAlign w:val="center"/>
            <w:hideMark/>
          </w:tcPr>
          <w:p w14:paraId="7BEEDE6B" w14:textId="77777777" w:rsidR="002D7FA2" w:rsidRPr="002D7FA2" w:rsidRDefault="002D7FA2" w:rsidP="002D7FA2">
            <w:pPr>
              <w:rPr>
                <w:color w:val="000000"/>
                <w:sz w:val="16"/>
                <w:szCs w:val="16"/>
              </w:rPr>
            </w:pPr>
            <w:r w:rsidRPr="002D7FA2">
              <w:rPr>
                <w:color w:val="000000"/>
                <w:sz w:val="16"/>
                <w:szCs w:val="16"/>
              </w:rPr>
              <w:t>10 godina</w:t>
            </w:r>
          </w:p>
        </w:tc>
        <w:tc>
          <w:tcPr>
            <w:tcW w:w="1340" w:type="dxa"/>
            <w:vAlign w:val="center"/>
            <w:hideMark/>
          </w:tcPr>
          <w:p w14:paraId="15D79F57" w14:textId="77777777" w:rsidR="002D7FA2" w:rsidRPr="002D7FA2" w:rsidRDefault="002D7FA2" w:rsidP="002D7FA2">
            <w:pPr>
              <w:rPr>
                <w:color w:val="000000"/>
                <w:sz w:val="16"/>
                <w:szCs w:val="16"/>
              </w:rPr>
            </w:pPr>
            <w:r w:rsidRPr="002D7FA2">
              <w:rPr>
                <w:color w:val="000000"/>
                <w:sz w:val="16"/>
                <w:szCs w:val="16"/>
              </w:rPr>
              <w:t>u rješavanju</w:t>
            </w:r>
          </w:p>
        </w:tc>
      </w:tr>
      <w:tr w:rsidR="002D7FA2" w:rsidRPr="002D7FA2" w14:paraId="78A8CEAD" w14:textId="77777777" w:rsidTr="00BB1392">
        <w:trPr>
          <w:trHeight w:val="123"/>
        </w:trPr>
        <w:tc>
          <w:tcPr>
            <w:tcW w:w="440" w:type="dxa"/>
            <w:vMerge w:val="restart"/>
            <w:vAlign w:val="center"/>
            <w:hideMark/>
          </w:tcPr>
          <w:p w14:paraId="40DB0CA0" w14:textId="77777777" w:rsidR="002D7FA2" w:rsidRPr="002D7FA2" w:rsidRDefault="002D7FA2" w:rsidP="002D7FA2">
            <w:pPr>
              <w:jc w:val="center"/>
              <w:rPr>
                <w:color w:val="000000"/>
                <w:sz w:val="16"/>
                <w:szCs w:val="16"/>
              </w:rPr>
            </w:pPr>
            <w:r w:rsidRPr="002D7FA2">
              <w:rPr>
                <w:color w:val="000000"/>
                <w:sz w:val="16"/>
                <w:szCs w:val="16"/>
              </w:rPr>
              <w:t>11</w:t>
            </w:r>
          </w:p>
        </w:tc>
        <w:tc>
          <w:tcPr>
            <w:tcW w:w="960" w:type="dxa"/>
            <w:vMerge w:val="restart"/>
            <w:vAlign w:val="center"/>
            <w:hideMark/>
          </w:tcPr>
          <w:p w14:paraId="2E801E48" w14:textId="77777777" w:rsidR="002D7FA2" w:rsidRPr="002D7FA2" w:rsidRDefault="002D7FA2" w:rsidP="002D7FA2">
            <w:pPr>
              <w:rPr>
                <w:color w:val="000000"/>
                <w:sz w:val="16"/>
                <w:szCs w:val="16"/>
              </w:rPr>
            </w:pPr>
            <w:r w:rsidRPr="002D7FA2">
              <w:rPr>
                <w:color w:val="000000"/>
                <w:sz w:val="16"/>
                <w:szCs w:val="16"/>
              </w:rPr>
              <w:t>N.J.</w:t>
            </w:r>
          </w:p>
        </w:tc>
        <w:tc>
          <w:tcPr>
            <w:tcW w:w="1540" w:type="dxa"/>
            <w:vMerge w:val="restart"/>
            <w:vAlign w:val="center"/>
            <w:hideMark/>
          </w:tcPr>
          <w:p w14:paraId="041686ED" w14:textId="77777777" w:rsidR="002D7FA2" w:rsidRPr="002D7FA2" w:rsidRDefault="002D7FA2" w:rsidP="002D7FA2">
            <w:pPr>
              <w:rPr>
                <w:color w:val="000000"/>
                <w:sz w:val="16"/>
                <w:szCs w:val="16"/>
              </w:rPr>
            </w:pPr>
            <w:r w:rsidRPr="002D7FA2">
              <w:rPr>
                <w:color w:val="000000"/>
                <w:sz w:val="16"/>
                <w:szCs w:val="16"/>
              </w:rPr>
              <w:t>Općina Marčana</w:t>
            </w:r>
          </w:p>
        </w:tc>
        <w:tc>
          <w:tcPr>
            <w:tcW w:w="1520" w:type="dxa"/>
            <w:vMerge w:val="restart"/>
            <w:vAlign w:val="center"/>
            <w:hideMark/>
          </w:tcPr>
          <w:p w14:paraId="6F42F29C" w14:textId="77777777" w:rsidR="002D7FA2" w:rsidRPr="002D7FA2" w:rsidRDefault="002D7FA2" w:rsidP="002D7FA2">
            <w:pPr>
              <w:rPr>
                <w:color w:val="000000"/>
                <w:sz w:val="16"/>
                <w:szCs w:val="16"/>
              </w:rPr>
            </w:pPr>
            <w:r w:rsidRPr="002D7FA2">
              <w:rPr>
                <w:color w:val="000000"/>
                <w:sz w:val="16"/>
                <w:szCs w:val="16"/>
              </w:rPr>
              <w:t>Općinski sud u Puli</w:t>
            </w:r>
          </w:p>
        </w:tc>
        <w:tc>
          <w:tcPr>
            <w:tcW w:w="1120" w:type="dxa"/>
            <w:vMerge w:val="restart"/>
            <w:vAlign w:val="center"/>
            <w:hideMark/>
          </w:tcPr>
          <w:p w14:paraId="76623392" w14:textId="77777777" w:rsidR="002D7FA2" w:rsidRPr="002D7FA2" w:rsidRDefault="002D7FA2" w:rsidP="002D7FA2">
            <w:pPr>
              <w:rPr>
                <w:color w:val="000000"/>
                <w:sz w:val="16"/>
                <w:szCs w:val="16"/>
              </w:rPr>
            </w:pPr>
            <w:r w:rsidRPr="002D7FA2">
              <w:rPr>
                <w:color w:val="000000"/>
                <w:sz w:val="16"/>
                <w:szCs w:val="16"/>
              </w:rPr>
              <w:t> </w:t>
            </w:r>
          </w:p>
        </w:tc>
        <w:tc>
          <w:tcPr>
            <w:tcW w:w="3100" w:type="dxa"/>
            <w:vMerge w:val="restart"/>
            <w:vAlign w:val="center"/>
            <w:hideMark/>
          </w:tcPr>
          <w:p w14:paraId="30614D45" w14:textId="77777777" w:rsidR="002D7FA2" w:rsidRPr="002D7FA2" w:rsidRDefault="002D7FA2" w:rsidP="002D7FA2">
            <w:pPr>
              <w:rPr>
                <w:color w:val="000000"/>
                <w:sz w:val="16"/>
                <w:szCs w:val="16"/>
              </w:rPr>
            </w:pPr>
            <w:r w:rsidRPr="002D7FA2">
              <w:rPr>
                <w:color w:val="000000"/>
                <w:sz w:val="16"/>
                <w:szCs w:val="16"/>
              </w:rPr>
              <w:t>činidbe i utvrđenja</w:t>
            </w:r>
          </w:p>
        </w:tc>
        <w:tc>
          <w:tcPr>
            <w:tcW w:w="2140" w:type="dxa"/>
            <w:vMerge w:val="restart"/>
            <w:vAlign w:val="center"/>
            <w:hideMark/>
          </w:tcPr>
          <w:p w14:paraId="1FDE12D4" w14:textId="77777777" w:rsidR="002D7FA2" w:rsidRPr="002D7FA2" w:rsidRDefault="002D7FA2" w:rsidP="002D7FA2">
            <w:pPr>
              <w:jc w:val="right"/>
              <w:rPr>
                <w:color w:val="000000"/>
                <w:sz w:val="16"/>
                <w:szCs w:val="16"/>
              </w:rPr>
            </w:pPr>
            <w:r w:rsidRPr="002D7FA2">
              <w:rPr>
                <w:color w:val="000000"/>
                <w:sz w:val="16"/>
                <w:szCs w:val="16"/>
              </w:rPr>
              <w:t>22.000,00</w:t>
            </w:r>
          </w:p>
        </w:tc>
        <w:tc>
          <w:tcPr>
            <w:tcW w:w="2340" w:type="dxa"/>
            <w:vMerge w:val="restart"/>
            <w:vAlign w:val="center"/>
            <w:hideMark/>
          </w:tcPr>
          <w:p w14:paraId="258522CA" w14:textId="77777777" w:rsidR="002D7FA2" w:rsidRPr="002D7FA2" w:rsidRDefault="002D7FA2" w:rsidP="002D7FA2">
            <w:pPr>
              <w:rPr>
                <w:color w:val="000000"/>
                <w:sz w:val="16"/>
                <w:szCs w:val="16"/>
              </w:rPr>
            </w:pPr>
            <w:r w:rsidRPr="002D7FA2">
              <w:rPr>
                <w:color w:val="000000"/>
                <w:sz w:val="16"/>
                <w:szCs w:val="16"/>
              </w:rPr>
              <w:t>10 godina</w:t>
            </w:r>
          </w:p>
        </w:tc>
        <w:tc>
          <w:tcPr>
            <w:tcW w:w="1340" w:type="dxa"/>
            <w:vAlign w:val="center"/>
            <w:hideMark/>
          </w:tcPr>
          <w:p w14:paraId="7F9455B4" w14:textId="77777777" w:rsidR="002D7FA2" w:rsidRPr="002D7FA2" w:rsidRDefault="002D7FA2" w:rsidP="002D7FA2">
            <w:pPr>
              <w:rPr>
                <w:color w:val="000000"/>
                <w:sz w:val="16"/>
                <w:szCs w:val="16"/>
              </w:rPr>
            </w:pPr>
            <w:r w:rsidRPr="002D7FA2">
              <w:rPr>
                <w:color w:val="000000"/>
                <w:sz w:val="16"/>
                <w:szCs w:val="16"/>
              </w:rPr>
              <w:t>u rješavanju</w:t>
            </w:r>
          </w:p>
        </w:tc>
      </w:tr>
      <w:tr w:rsidR="002D7FA2" w:rsidRPr="002D7FA2" w14:paraId="0C71EFD2" w14:textId="77777777" w:rsidTr="00BB1392">
        <w:trPr>
          <w:trHeight w:val="225"/>
        </w:trPr>
        <w:tc>
          <w:tcPr>
            <w:tcW w:w="440" w:type="dxa"/>
            <w:vMerge/>
            <w:vAlign w:val="center"/>
            <w:hideMark/>
          </w:tcPr>
          <w:p w14:paraId="7F0DBF73" w14:textId="77777777" w:rsidR="002D7FA2" w:rsidRPr="002D7FA2" w:rsidRDefault="002D7FA2" w:rsidP="002D7FA2">
            <w:pPr>
              <w:rPr>
                <w:color w:val="000000"/>
                <w:sz w:val="16"/>
                <w:szCs w:val="16"/>
              </w:rPr>
            </w:pPr>
          </w:p>
        </w:tc>
        <w:tc>
          <w:tcPr>
            <w:tcW w:w="960" w:type="dxa"/>
            <w:vMerge/>
            <w:vAlign w:val="center"/>
            <w:hideMark/>
          </w:tcPr>
          <w:p w14:paraId="4D76A1AD" w14:textId="77777777" w:rsidR="002D7FA2" w:rsidRPr="002D7FA2" w:rsidRDefault="002D7FA2" w:rsidP="002D7FA2">
            <w:pPr>
              <w:rPr>
                <w:color w:val="000000"/>
                <w:sz w:val="16"/>
                <w:szCs w:val="16"/>
              </w:rPr>
            </w:pPr>
          </w:p>
        </w:tc>
        <w:tc>
          <w:tcPr>
            <w:tcW w:w="1540" w:type="dxa"/>
            <w:vMerge/>
            <w:vAlign w:val="center"/>
            <w:hideMark/>
          </w:tcPr>
          <w:p w14:paraId="5B255046" w14:textId="77777777" w:rsidR="002D7FA2" w:rsidRPr="002D7FA2" w:rsidRDefault="002D7FA2" w:rsidP="002D7FA2">
            <w:pPr>
              <w:rPr>
                <w:color w:val="000000"/>
                <w:sz w:val="16"/>
                <w:szCs w:val="16"/>
              </w:rPr>
            </w:pPr>
          </w:p>
        </w:tc>
        <w:tc>
          <w:tcPr>
            <w:tcW w:w="1520" w:type="dxa"/>
            <w:vMerge/>
            <w:vAlign w:val="center"/>
            <w:hideMark/>
          </w:tcPr>
          <w:p w14:paraId="418572E2" w14:textId="77777777" w:rsidR="002D7FA2" w:rsidRPr="002D7FA2" w:rsidRDefault="002D7FA2" w:rsidP="002D7FA2">
            <w:pPr>
              <w:rPr>
                <w:color w:val="000000"/>
                <w:sz w:val="16"/>
                <w:szCs w:val="16"/>
              </w:rPr>
            </w:pPr>
          </w:p>
        </w:tc>
        <w:tc>
          <w:tcPr>
            <w:tcW w:w="1120" w:type="dxa"/>
            <w:vMerge/>
            <w:vAlign w:val="center"/>
            <w:hideMark/>
          </w:tcPr>
          <w:p w14:paraId="37951FB2" w14:textId="77777777" w:rsidR="002D7FA2" w:rsidRPr="002D7FA2" w:rsidRDefault="002D7FA2" w:rsidP="002D7FA2">
            <w:pPr>
              <w:rPr>
                <w:color w:val="000000"/>
                <w:sz w:val="16"/>
                <w:szCs w:val="16"/>
              </w:rPr>
            </w:pPr>
          </w:p>
        </w:tc>
        <w:tc>
          <w:tcPr>
            <w:tcW w:w="3100" w:type="dxa"/>
            <w:vMerge/>
            <w:vAlign w:val="center"/>
            <w:hideMark/>
          </w:tcPr>
          <w:p w14:paraId="6EEDB01A" w14:textId="77777777" w:rsidR="002D7FA2" w:rsidRPr="002D7FA2" w:rsidRDefault="002D7FA2" w:rsidP="002D7FA2">
            <w:pPr>
              <w:rPr>
                <w:color w:val="000000"/>
                <w:sz w:val="16"/>
                <w:szCs w:val="16"/>
              </w:rPr>
            </w:pPr>
          </w:p>
        </w:tc>
        <w:tc>
          <w:tcPr>
            <w:tcW w:w="2140" w:type="dxa"/>
            <w:vMerge/>
            <w:vAlign w:val="center"/>
            <w:hideMark/>
          </w:tcPr>
          <w:p w14:paraId="2F89B761" w14:textId="77777777" w:rsidR="002D7FA2" w:rsidRPr="002D7FA2" w:rsidRDefault="002D7FA2" w:rsidP="002D7FA2">
            <w:pPr>
              <w:rPr>
                <w:color w:val="000000"/>
                <w:sz w:val="16"/>
                <w:szCs w:val="16"/>
              </w:rPr>
            </w:pPr>
          </w:p>
        </w:tc>
        <w:tc>
          <w:tcPr>
            <w:tcW w:w="2340" w:type="dxa"/>
            <w:vMerge/>
            <w:vAlign w:val="center"/>
            <w:hideMark/>
          </w:tcPr>
          <w:p w14:paraId="514CC74C" w14:textId="77777777" w:rsidR="002D7FA2" w:rsidRPr="002D7FA2" w:rsidRDefault="002D7FA2" w:rsidP="002D7FA2">
            <w:pPr>
              <w:rPr>
                <w:color w:val="000000"/>
                <w:sz w:val="16"/>
                <w:szCs w:val="16"/>
              </w:rPr>
            </w:pPr>
          </w:p>
        </w:tc>
        <w:tc>
          <w:tcPr>
            <w:tcW w:w="1340" w:type="dxa"/>
            <w:vAlign w:val="center"/>
            <w:hideMark/>
          </w:tcPr>
          <w:p w14:paraId="09869E42" w14:textId="77777777" w:rsidR="002D7FA2" w:rsidRPr="002D7FA2" w:rsidRDefault="002D7FA2" w:rsidP="002D7FA2">
            <w:pPr>
              <w:rPr>
                <w:color w:val="000000"/>
                <w:sz w:val="16"/>
                <w:szCs w:val="16"/>
              </w:rPr>
            </w:pPr>
            <w:r w:rsidRPr="002D7FA2">
              <w:rPr>
                <w:color w:val="000000"/>
                <w:sz w:val="16"/>
                <w:szCs w:val="16"/>
              </w:rPr>
              <w:t>u rješavanju</w:t>
            </w:r>
          </w:p>
        </w:tc>
      </w:tr>
      <w:tr w:rsidR="002D7FA2" w:rsidRPr="002D7FA2" w14:paraId="355AF42B" w14:textId="77777777" w:rsidTr="00BB1392">
        <w:trPr>
          <w:trHeight w:val="450"/>
        </w:trPr>
        <w:tc>
          <w:tcPr>
            <w:tcW w:w="440" w:type="dxa"/>
            <w:vAlign w:val="center"/>
            <w:hideMark/>
          </w:tcPr>
          <w:p w14:paraId="0A09F45A" w14:textId="77777777" w:rsidR="002D7FA2" w:rsidRPr="002D7FA2" w:rsidRDefault="002D7FA2" w:rsidP="002D7FA2">
            <w:pPr>
              <w:jc w:val="center"/>
              <w:rPr>
                <w:color w:val="000000"/>
                <w:sz w:val="16"/>
                <w:szCs w:val="16"/>
              </w:rPr>
            </w:pPr>
            <w:r w:rsidRPr="002D7FA2">
              <w:rPr>
                <w:color w:val="000000"/>
                <w:sz w:val="16"/>
                <w:szCs w:val="16"/>
              </w:rPr>
              <w:t>12</w:t>
            </w:r>
          </w:p>
        </w:tc>
        <w:tc>
          <w:tcPr>
            <w:tcW w:w="960" w:type="dxa"/>
            <w:vAlign w:val="center"/>
            <w:hideMark/>
          </w:tcPr>
          <w:p w14:paraId="3AEFE8DA" w14:textId="77777777" w:rsidR="002D7FA2" w:rsidRPr="002D7FA2" w:rsidRDefault="002D7FA2" w:rsidP="002D7FA2">
            <w:pPr>
              <w:rPr>
                <w:color w:val="000000"/>
                <w:sz w:val="16"/>
                <w:szCs w:val="16"/>
              </w:rPr>
            </w:pPr>
            <w:r w:rsidRPr="002D7FA2">
              <w:rPr>
                <w:color w:val="000000"/>
                <w:sz w:val="16"/>
                <w:szCs w:val="16"/>
              </w:rPr>
              <w:t>R.C.</w:t>
            </w:r>
          </w:p>
        </w:tc>
        <w:tc>
          <w:tcPr>
            <w:tcW w:w="1540" w:type="dxa"/>
            <w:vAlign w:val="center"/>
            <w:hideMark/>
          </w:tcPr>
          <w:p w14:paraId="20C4C9F7" w14:textId="77777777" w:rsidR="002D7FA2" w:rsidRPr="002D7FA2" w:rsidRDefault="002D7FA2" w:rsidP="002D7FA2">
            <w:pPr>
              <w:rPr>
                <w:color w:val="000000"/>
                <w:sz w:val="16"/>
                <w:szCs w:val="16"/>
              </w:rPr>
            </w:pPr>
            <w:r w:rsidRPr="002D7FA2">
              <w:rPr>
                <w:color w:val="000000"/>
                <w:sz w:val="16"/>
                <w:szCs w:val="16"/>
              </w:rPr>
              <w:t>Općina Marčana</w:t>
            </w:r>
          </w:p>
        </w:tc>
        <w:tc>
          <w:tcPr>
            <w:tcW w:w="1520" w:type="dxa"/>
            <w:vAlign w:val="center"/>
            <w:hideMark/>
          </w:tcPr>
          <w:p w14:paraId="3884C93F" w14:textId="77777777" w:rsidR="002D7FA2" w:rsidRPr="002D7FA2" w:rsidRDefault="002D7FA2" w:rsidP="002D7FA2">
            <w:pPr>
              <w:rPr>
                <w:color w:val="000000"/>
                <w:sz w:val="16"/>
                <w:szCs w:val="16"/>
              </w:rPr>
            </w:pPr>
            <w:r w:rsidRPr="002D7FA2">
              <w:rPr>
                <w:color w:val="000000"/>
                <w:sz w:val="16"/>
                <w:szCs w:val="16"/>
              </w:rPr>
              <w:t>Općinski sud u Puli</w:t>
            </w:r>
          </w:p>
        </w:tc>
        <w:tc>
          <w:tcPr>
            <w:tcW w:w="1120" w:type="dxa"/>
            <w:vAlign w:val="center"/>
            <w:hideMark/>
          </w:tcPr>
          <w:p w14:paraId="5929386C" w14:textId="77777777" w:rsidR="002D7FA2" w:rsidRPr="002D7FA2" w:rsidRDefault="002D7FA2" w:rsidP="002D7FA2">
            <w:pPr>
              <w:rPr>
                <w:color w:val="000000"/>
                <w:sz w:val="16"/>
                <w:szCs w:val="16"/>
              </w:rPr>
            </w:pPr>
            <w:r w:rsidRPr="002D7FA2">
              <w:rPr>
                <w:color w:val="000000"/>
                <w:sz w:val="16"/>
                <w:szCs w:val="16"/>
              </w:rPr>
              <w:t> </w:t>
            </w:r>
          </w:p>
        </w:tc>
        <w:tc>
          <w:tcPr>
            <w:tcW w:w="3100" w:type="dxa"/>
            <w:vAlign w:val="center"/>
            <w:hideMark/>
          </w:tcPr>
          <w:p w14:paraId="1D666C77" w14:textId="77777777" w:rsidR="002D7FA2" w:rsidRPr="002D7FA2" w:rsidRDefault="002D7FA2" w:rsidP="002D7FA2">
            <w:pPr>
              <w:rPr>
                <w:color w:val="000000"/>
                <w:sz w:val="16"/>
                <w:szCs w:val="16"/>
              </w:rPr>
            </w:pPr>
            <w:r w:rsidRPr="002D7FA2">
              <w:rPr>
                <w:color w:val="000000"/>
                <w:sz w:val="16"/>
                <w:szCs w:val="16"/>
              </w:rPr>
              <w:t>radi utvrđivanja prava vlasništva dosjelošću</w:t>
            </w:r>
          </w:p>
        </w:tc>
        <w:tc>
          <w:tcPr>
            <w:tcW w:w="2140" w:type="dxa"/>
            <w:vAlign w:val="center"/>
            <w:hideMark/>
          </w:tcPr>
          <w:p w14:paraId="7D5BD3EA" w14:textId="77777777" w:rsidR="002D7FA2" w:rsidRPr="002D7FA2" w:rsidRDefault="002D7FA2" w:rsidP="002D7FA2">
            <w:pPr>
              <w:jc w:val="right"/>
              <w:rPr>
                <w:color w:val="000000"/>
                <w:sz w:val="16"/>
                <w:szCs w:val="16"/>
              </w:rPr>
            </w:pPr>
            <w:r w:rsidRPr="002D7FA2">
              <w:rPr>
                <w:color w:val="000000"/>
                <w:sz w:val="16"/>
                <w:szCs w:val="16"/>
              </w:rPr>
              <w:t>1.990,84</w:t>
            </w:r>
          </w:p>
        </w:tc>
        <w:tc>
          <w:tcPr>
            <w:tcW w:w="2340" w:type="dxa"/>
            <w:vAlign w:val="center"/>
            <w:hideMark/>
          </w:tcPr>
          <w:p w14:paraId="46DDAB2C" w14:textId="77777777" w:rsidR="002D7FA2" w:rsidRPr="002D7FA2" w:rsidRDefault="002D7FA2" w:rsidP="002D7FA2">
            <w:pPr>
              <w:rPr>
                <w:color w:val="000000"/>
                <w:sz w:val="16"/>
                <w:szCs w:val="16"/>
              </w:rPr>
            </w:pPr>
            <w:r w:rsidRPr="002D7FA2">
              <w:rPr>
                <w:color w:val="000000"/>
                <w:sz w:val="16"/>
                <w:szCs w:val="16"/>
              </w:rPr>
              <w:t>10 godina</w:t>
            </w:r>
          </w:p>
        </w:tc>
        <w:tc>
          <w:tcPr>
            <w:tcW w:w="1340" w:type="dxa"/>
            <w:vAlign w:val="center"/>
            <w:hideMark/>
          </w:tcPr>
          <w:p w14:paraId="40FC97DE" w14:textId="77777777" w:rsidR="002D7FA2" w:rsidRPr="002D7FA2" w:rsidRDefault="002D7FA2" w:rsidP="002D7FA2">
            <w:pPr>
              <w:rPr>
                <w:color w:val="000000"/>
                <w:sz w:val="16"/>
                <w:szCs w:val="16"/>
              </w:rPr>
            </w:pPr>
            <w:r w:rsidRPr="002D7FA2">
              <w:rPr>
                <w:color w:val="000000"/>
                <w:sz w:val="16"/>
                <w:szCs w:val="16"/>
              </w:rPr>
              <w:t>u rješavanju</w:t>
            </w:r>
          </w:p>
        </w:tc>
      </w:tr>
      <w:tr w:rsidR="002D7FA2" w:rsidRPr="002D7FA2" w14:paraId="4DDEF097" w14:textId="77777777" w:rsidTr="00BB1392">
        <w:trPr>
          <w:trHeight w:val="450"/>
        </w:trPr>
        <w:tc>
          <w:tcPr>
            <w:tcW w:w="440" w:type="dxa"/>
            <w:vAlign w:val="center"/>
            <w:hideMark/>
          </w:tcPr>
          <w:p w14:paraId="7D55EB43" w14:textId="77777777" w:rsidR="002D7FA2" w:rsidRPr="002D7FA2" w:rsidRDefault="002D7FA2" w:rsidP="002D7FA2">
            <w:pPr>
              <w:jc w:val="center"/>
              <w:rPr>
                <w:color w:val="000000"/>
                <w:sz w:val="16"/>
                <w:szCs w:val="16"/>
              </w:rPr>
            </w:pPr>
            <w:r w:rsidRPr="002D7FA2">
              <w:rPr>
                <w:color w:val="000000"/>
                <w:sz w:val="16"/>
                <w:szCs w:val="16"/>
              </w:rPr>
              <w:t>13</w:t>
            </w:r>
          </w:p>
        </w:tc>
        <w:tc>
          <w:tcPr>
            <w:tcW w:w="960" w:type="dxa"/>
            <w:vAlign w:val="center"/>
            <w:hideMark/>
          </w:tcPr>
          <w:p w14:paraId="642F5AC8" w14:textId="77777777" w:rsidR="002D7FA2" w:rsidRPr="002D7FA2" w:rsidRDefault="002D7FA2" w:rsidP="002D7FA2">
            <w:pPr>
              <w:rPr>
                <w:color w:val="000000"/>
                <w:sz w:val="16"/>
                <w:szCs w:val="16"/>
              </w:rPr>
            </w:pPr>
            <w:r w:rsidRPr="002D7FA2">
              <w:rPr>
                <w:color w:val="000000"/>
                <w:sz w:val="16"/>
                <w:szCs w:val="16"/>
              </w:rPr>
              <w:t>C.E.</w:t>
            </w:r>
          </w:p>
        </w:tc>
        <w:tc>
          <w:tcPr>
            <w:tcW w:w="1540" w:type="dxa"/>
            <w:vAlign w:val="center"/>
            <w:hideMark/>
          </w:tcPr>
          <w:p w14:paraId="07BA84CC" w14:textId="77777777" w:rsidR="002D7FA2" w:rsidRPr="002D7FA2" w:rsidRDefault="002D7FA2" w:rsidP="002D7FA2">
            <w:pPr>
              <w:rPr>
                <w:color w:val="000000"/>
                <w:sz w:val="16"/>
                <w:szCs w:val="16"/>
              </w:rPr>
            </w:pPr>
            <w:r w:rsidRPr="002D7FA2">
              <w:rPr>
                <w:color w:val="000000"/>
                <w:sz w:val="16"/>
                <w:szCs w:val="16"/>
              </w:rPr>
              <w:t>Općina Marčana</w:t>
            </w:r>
          </w:p>
        </w:tc>
        <w:tc>
          <w:tcPr>
            <w:tcW w:w="1520" w:type="dxa"/>
            <w:vAlign w:val="center"/>
            <w:hideMark/>
          </w:tcPr>
          <w:p w14:paraId="19854D4B" w14:textId="77777777" w:rsidR="002D7FA2" w:rsidRPr="002D7FA2" w:rsidRDefault="002D7FA2" w:rsidP="002D7FA2">
            <w:pPr>
              <w:rPr>
                <w:color w:val="000000"/>
                <w:sz w:val="16"/>
                <w:szCs w:val="16"/>
              </w:rPr>
            </w:pPr>
            <w:r w:rsidRPr="002D7FA2">
              <w:rPr>
                <w:color w:val="000000"/>
                <w:sz w:val="16"/>
                <w:szCs w:val="16"/>
              </w:rPr>
              <w:t>Općinski sud u Puli</w:t>
            </w:r>
          </w:p>
        </w:tc>
        <w:tc>
          <w:tcPr>
            <w:tcW w:w="1120" w:type="dxa"/>
            <w:vAlign w:val="center"/>
            <w:hideMark/>
          </w:tcPr>
          <w:p w14:paraId="29F2FF27" w14:textId="77777777" w:rsidR="002D7FA2" w:rsidRPr="002D7FA2" w:rsidRDefault="002D7FA2" w:rsidP="002D7FA2">
            <w:pPr>
              <w:rPr>
                <w:color w:val="000000"/>
                <w:sz w:val="16"/>
                <w:szCs w:val="16"/>
              </w:rPr>
            </w:pPr>
            <w:r w:rsidRPr="002D7FA2">
              <w:rPr>
                <w:color w:val="000000"/>
                <w:sz w:val="16"/>
                <w:szCs w:val="16"/>
              </w:rPr>
              <w:t> </w:t>
            </w:r>
          </w:p>
        </w:tc>
        <w:tc>
          <w:tcPr>
            <w:tcW w:w="3100" w:type="dxa"/>
            <w:vAlign w:val="center"/>
            <w:hideMark/>
          </w:tcPr>
          <w:p w14:paraId="6A334AE4" w14:textId="77777777" w:rsidR="002D7FA2" w:rsidRPr="002D7FA2" w:rsidRDefault="002D7FA2" w:rsidP="002D7FA2">
            <w:pPr>
              <w:rPr>
                <w:color w:val="000000"/>
                <w:sz w:val="16"/>
                <w:szCs w:val="16"/>
              </w:rPr>
            </w:pPr>
            <w:r w:rsidRPr="002D7FA2">
              <w:rPr>
                <w:color w:val="000000"/>
                <w:sz w:val="16"/>
                <w:szCs w:val="16"/>
              </w:rPr>
              <w:t>radi utvrđivanja prava vlasništva dosjelošću</w:t>
            </w:r>
          </w:p>
        </w:tc>
        <w:tc>
          <w:tcPr>
            <w:tcW w:w="2140" w:type="dxa"/>
            <w:vAlign w:val="center"/>
            <w:hideMark/>
          </w:tcPr>
          <w:p w14:paraId="4CCCF0DB" w14:textId="77777777" w:rsidR="002D7FA2" w:rsidRPr="002D7FA2" w:rsidRDefault="002D7FA2" w:rsidP="002D7FA2">
            <w:pPr>
              <w:jc w:val="right"/>
              <w:rPr>
                <w:color w:val="000000"/>
                <w:sz w:val="16"/>
                <w:szCs w:val="16"/>
              </w:rPr>
            </w:pPr>
            <w:r w:rsidRPr="002D7FA2">
              <w:rPr>
                <w:color w:val="000000"/>
                <w:sz w:val="16"/>
                <w:szCs w:val="16"/>
              </w:rPr>
              <w:t>20.360,00</w:t>
            </w:r>
          </w:p>
        </w:tc>
        <w:tc>
          <w:tcPr>
            <w:tcW w:w="2340" w:type="dxa"/>
            <w:vAlign w:val="center"/>
            <w:hideMark/>
          </w:tcPr>
          <w:p w14:paraId="6D40EE34" w14:textId="77777777" w:rsidR="002D7FA2" w:rsidRPr="002D7FA2" w:rsidRDefault="002D7FA2" w:rsidP="002D7FA2">
            <w:pPr>
              <w:rPr>
                <w:color w:val="000000"/>
                <w:sz w:val="16"/>
                <w:szCs w:val="16"/>
              </w:rPr>
            </w:pPr>
            <w:r w:rsidRPr="002D7FA2">
              <w:rPr>
                <w:color w:val="000000"/>
                <w:sz w:val="16"/>
                <w:szCs w:val="16"/>
              </w:rPr>
              <w:t>10 godina</w:t>
            </w:r>
          </w:p>
        </w:tc>
        <w:tc>
          <w:tcPr>
            <w:tcW w:w="1340" w:type="dxa"/>
            <w:vAlign w:val="center"/>
            <w:hideMark/>
          </w:tcPr>
          <w:p w14:paraId="6EFF2943" w14:textId="77777777" w:rsidR="002D7FA2" w:rsidRPr="002D7FA2" w:rsidRDefault="002D7FA2" w:rsidP="002D7FA2">
            <w:pPr>
              <w:rPr>
                <w:color w:val="000000"/>
                <w:sz w:val="16"/>
                <w:szCs w:val="16"/>
              </w:rPr>
            </w:pPr>
            <w:r w:rsidRPr="002D7FA2">
              <w:rPr>
                <w:color w:val="000000"/>
                <w:sz w:val="16"/>
                <w:szCs w:val="16"/>
              </w:rPr>
              <w:t>u rješavanju</w:t>
            </w:r>
          </w:p>
        </w:tc>
      </w:tr>
      <w:tr w:rsidR="002D7FA2" w:rsidRPr="002D7FA2" w14:paraId="4AA72669" w14:textId="77777777" w:rsidTr="00BB1392">
        <w:trPr>
          <w:trHeight w:val="225"/>
        </w:trPr>
        <w:tc>
          <w:tcPr>
            <w:tcW w:w="440" w:type="dxa"/>
            <w:vAlign w:val="center"/>
            <w:hideMark/>
          </w:tcPr>
          <w:p w14:paraId="7CC0B76E" w14:textId="77777777" w:rsidR="002D7FA2" w:rsidRPr="002D7FA2" w:rsidRDefault="002D7FA2" w:rsidP="002D7FA2">
            <w:pPr>
              <w:jc w:val="center"/>
              <w:rPr>
                <w:color w:val="000000"/>
                <w:sz w:val="16"/>
                <w:szCs w:val="16"/>
              </w:rPr>
            </w:pPr>
            <w:r w:rsidRPr="002D7FA2">
              <w:rPr>
                <w:color w:val="000000"/>
                <w:sz w:val="16"/>
                <w:szCs w:val="16"/>
              </w:rPr>
              <w:t>14</w:t>
            </w:r>
          </w:p>
        </w:tc>
        <w:tc>
          <w:tcPr>
            <w:tcW w:w="960" w:type="dxa"/>
            <w:vAlign w:val="center"/>
            <w:hideMark/>
          </w:tcPr>
          <w:p w14:paraId="0849EA5B" w14:textId="77777777" w:rsidR="002D7FA2" w:rsidRPr="002D7FA2" w:rsidRDefault="002D7FA2" w:rsidP="002D7FA2">
            <w:pPr>
              <w:rPr>
                <w:color w:val="000000"/>
                <w:sz w:val="16"/>
                <w:szCs w:val="16"/>
              </w:rPr>
            </w:pPr>
            <w:r w:rsidRPr="002D7FA2">
              <w:rPr>
                <w:color w:val="000000"/>
                <w:sz w:val="16"/>
                <w:szCs w:val="16"/>
              </w:rPr>
              <w:t>R.D.</w:t>
            </w:r>
          </w:p>
        </w:tc>
        <w:tc>
          <w:tcPr>
            <w:tcW w:w="1540" w:type="dxa"/>
            <w:vAlign w:val="center"/>
            <w:hideMark/>
          </w:tcPr>
          <w:p w14:paraId="16B04E0C" w14:textId="77777777" w:rsidR="002D7FA2" w:rsidRPr="002D7FA2" w:rsidRDefault="002D7FA2" w:rsidP="002D7FA2">
            <w:pPr>
              <w:rPr>
                <w:color w:val="000000"/>
                <w:sz w:val="16"/>
                <w:szCs w:val="16"/>
              </w:rPr>
            </w:pPr>
            <w:r w:rsidRPr="002D7FA2">
              <w:rPr>
                <w:color w:val="000000"/>
                <w:sz w:val="16"/>
                <w:szCs w:val="16"/>
              </w:rPr>
              <w:t>Općina Marčana</w:t>
            </w:r>
          </w:p>
        </w:tc>
        <w:tc>
          <w:tcPr>
            <w:tcW w:w="1520" w:type="dxa"/>
            <w:vAlign w:val="center"/>
            <w:hideMark/>
          </w:tcPr>
          <w:p w14:paraId="04AEE38D" w14:textId="77777777" w:rsidR="002D7FA2" w:rsidRPr="002D7FA2" w:rsidRDefault="002D7FA2" w:rsidP="002D7FA2">
            <w:pPr>
              <w:rPr>
                <w:color w:val="000000"/>
                <w:sz w:val="16"/>
                <w:szCs w:val="16"/>
              </w:rPr>
            </w:pPr>
            <w:r w:rsidRPr="002D7FA2">
              <w:rPr>
                <w:color w:val="000000"/>
                <w:sz w:val="16"/>
                <w:szCs w:val="16"/>
              </w:rPr>
              <w:t>Općinski sud u Puli</w:t>
            </w:r>
          </w:p>
        </w:tc>
        <w:tc>
          <w:tcPr>
            <w:tcW w:w="1120" w:type="dxa"/>
            <w:vAlign w:val="center"/>
            <w:hideMark/>
          </w:tcPr>
          <w:p w14:paraId="445C4CBF" w14:textId="77777777" w:rsidR="002D7FA2" w:rsidRPr="002D7FA2" w:rsidRDefault="002D7FA2" w:rsidP="002D7FA2">
            <w:pPr>
              <w:rPr>
                <w:color w:val="000000"/>
                <w:sz w:val="16"/>
                <w:szCs w:val="16"/>
              </w:rPr>
            </w:pPr>
            <w:r w:rsidRPr="002D7FA2">
              <w:rPr>
                <w:color w:val="000000"/>
                <w:sz w:val="16"/>
                <w:szCs w:val="16"/>
              </w:rPr>
              <w:t> </w:t>
            </w:r>
          </w:p>
        </w:tc>
        <w:tc>
          <w:tcPr>
            <w:tcW w:w="3100" w:type="dxa"/>
            <w:vAlign w:val="center"/>
            <w:hideMark/>
          </w:tcPr>
          <w:p w14:paraId="23F921E4" w14:textId="77777777" w:rsidR="002D7FA2" w:rsidRPr="002D7FA2" w:rsidRDefault="002D7FA2" w:rsidP="002D7FA2">
            <w:pPr>
              <w:rPr>
                <w:color w:val="000000"/>
                <w:sz w:val="16"/>
                <w:szCs w:val="16"/>
              </w:rPr>
            </w:pPr>
            <w:r w:rsidRPr="002D7FA2">
              <w:rPr>
                <w:color w:val="000000"/>
                <w:sz w:val="16"/>
                <w:szCs w:val="16"/>
              </w:rPr>
              <w:t>radi utvrđivanja prava vlasništva</w:t>
            </w:r>
          </w:p>
        </w:tc>
        <w:tc>
          <w:tcPr>
            <w:tcW w:w="2140" w:type="dxa"/>
            <w:vAlign w:val="center"/>
            <w:hideMark/>
          </w:tcPr>
          <w:p w14:paraId="2795EDE3" w14:textId="77777777" w:rsidR="002D7FA2" w:rsidRPr="002D7FA2" w:rsidRDefault="002D7FA2" w:rsidP="002D7FA2">
            <w:pPr>
              <w:jc w:val="right"/>
              <w:rPr>
                <w:color w:val="000000"/>
                <w:sz w:val="16"/>
                <w:szCs w:val="16"/>
              </w:rPr>
            </w:pPr>
            <w:r w:rsidRPr="002D7FA2">
              <w:rPr>
                <w:color w:val="000000"/>
                <w:sz w:val="16"/>
                <w:szCs w:val="16"/>
              </w:rPr>
              <w:t>1.500,00</w:t>
            </w:r>
          </w:p>
        </w:tc>
        <w:tc>
          <w:tcPr>
            <w:tcW w:w="2340" w:type="dxa"/>
            <w:vAlign w:val="center"/>
            <w:hideMark/>
          </w:tcPr>
          <w:p w14:paraId="3DD3F0EF" w14:textId="77777777" w:rsidR="002D7FA2" w:rsidRPr="002D7FA2" w:rsidRDefault="002D7FA2" w:rsidP="002D7FA2">
            <w:pPr>
              <w:rPr>
                <w:color w:val="000000"/>
                <w:sz w:val="16"/>
                <w:szCs w:val="16"/>
              </w:rPr>
            </w:pPr>
            <w:r w:rsidRPr="002D7FA2">
              <w:rPr>
                <w:color w:val="000000"/>
                <w:sz w:val="16"/>
                <w:szCs w:val="16"/>
              </w:rPr>
              <w:t>10 godina</w:t>
            </w:r>
          </w:p>
        </w:tc>
        <w:tc>
          <w:tcPr>
            <w:tcW w:w="1340" w:type="dxa"/>
            <w:vAlign w:val="center"/>
            <w:hideMark/>
          </w:tcPr>
          <w:p w14:paraId="06CEE801" w14:textId="77777777" w:rsidR="002D7FA2" w:rsidRPr="002D7FA2" w:rsidRDefault="002D7FA2" w:rsidP="002D7FA2">
            <w:pPr>
              <w:rPr>
                <w:color w:val="000000"/>
                <w:sz w:val="16"/>
                <w:szCs w:val="16"/>
              </w:rPr>
            </w:pPr>
            <w:r w:rsidRPr="002D7FA2">
              <w:rPr>
                <w:color w:val="000000"/>
                <w:sz w:val="16"/>
                <w:szCs w:val="16"/>
              </w:rPr>
              <w:t>u rješavanju</w:t>
            </w:r>
          </w:p>
        </w:tc>
      </w:tr>
      <w:tr w:rsidR="002D7FA2" w:rsidRPr="002D7FA2" w14:paraId="2E79E04A" w14:textId="77777777" w:rsidTr="00BB1392">
        <w:trPr>
          <w:trHeight w:val="225"/>
        </w:trPr>
        <w:tc>
          <w:tcPr>
            <w:tcW w:w="440" w:type="dxa"/>
            <w:vAlign w:val="center"/>
            <w:hideMark/>
          </w:tcPr>
          <w:p w14:paraId="09795EE4" w14:textId="77777777" w:rsidR="002D7FA2" w:rsidRPr="002D7FA2" w:rsidRDefault="002D7FA2" w:rsidP="002D7FA2">
            <w:pPr>
              <w:jc w:val="center"/>
              <w:rPr>
                <w:color w:val="000000"/>
                <w:sz w:val="16"/>
                <w:szCs w:val="16"/>
              </w:rPr>
            </w:pPr>
            <w:r w:rsidRPr="002D7FA2">
              <w:rPr>
                <w:color w:val="000000"/>
                <w:sz w:val="16"/>
                <w:szCs w:val="16"/>
              </w:rPr>
              <w:t>15</w:t>
            </w:r>
          </w:p>
        </w:tc>
        <w:tc>
          <w:tcPr>
            <w:tcW w:w="960" w:type="dxa"/>
            <w:vAlign w:val="center"/>
            <w:hideMark/>
          </w:tcPr>
          <w:p w14:paraId="103A1504" w14:textId="77777777" w:rsidR="002D7FA2" w:rsidRPr="002D7FA2" w:rsidRDefault="002D7FA2" w:rsidP="002D7FA2">
            <w:pPr>
              <w:rPr>
                <w:color w:val="000000"/>
                <w:sz w:val="16"/>
                <w:szCs w:val="16"/>
              </w:rPr>
            </w:pPr>
            <w:r w:rsidRPr="002D7FA2">
              <w:rPr>
                <w:color w:val="000000"/>
                <w:sz w:val="16"/>
                <w:szCs w:val="16"/>
              </w:rPr>
              <w:t>S.S.</w:t>
            </w:r>
          </w:p>
        </w:tc>
        <w:tc>
          <w:tcPr>
            <w:tcW w:w="1540" w:type="dxa"/>
            <w:vAlign w:val="center"/>
            <w:hideMark/>
          </w:tcPr>
          <w:p w14:paraId="1F44F92C" w14:textId="77777777" w:rsidR="002D7FA2" w:rsidRPr="002D7FA2" w:rsidRDefault="002D7FA2" w:rsidP="002D7FA2">
            <w:pPr>
              <w:rPr>
                <w:color w:val="000000"/>
                <w:sz w:val="16"/>
                <w:szCs w:val="16"/>
              </w:rPr>
            </w:pPr>
            <w:r w:rsidRPr="002D7FA2">
              <w:rPr>
                <w:color w:val="000000"/>
                <w:sz w:val="16"/>
                <w:szCs w:val="16"/>
              </w:rPr>
              <w:t>Općina Marčana</w:t>
            </w:r>
          </w:p>
        </w:tc>
        <w:tc>
          <w:tcPr>
            <w:tcW w:w="1520" w:type="dxa"/>
            <w:vAlign w:val="center"/>
            <w:hideMark/>
          </w:tcPr>
          <w:p w14:paraId="3417C1BC" w14:textId="77777777" w:rsidR="002D7FA2" w:rsidRPr="002D7FA2" w:rsidRDefault="002D7FA2" w:rsidP="002D7FA2">
            <w:pPr>
              <w:rPr>
                <w:color w:val="000000"/>
                <w:sz w:val="16"/>
                <w:szCs w:val="16"/>
              </w:rPr>
            </w:pPr>
            <w:r w:rsidRPr="002D7FA2">
              <w:rPr>
                <w:color w:val="000000"/>
                <w:sz w:val="16"/>
                <w:szCs w:val="16"/>
              </w:rPr>
              <w:t>Općinski sud u Puli</w:t>
            </w:r>
          </w:p>
        </w:tc>
        <w:tc>
          <w:tcPr>
            <w:tcW w:w="1120" w:type="dxa"/>
            <w:vAlign w:val="center"/>
            <w:hideMark/>
          </w:tcPr>
          <w:p w14:paraId="0E701E58" w14:textId="77777777" w:rsidR="002D7FA2" w:rsidRPr="002D7FA2" w:rsidRDefault="002D7FA2" w:rsidP="002D7FA2">
            <w:pPr>
              <w:rPr>
                <w:color w:val="000000"/>
                <w:sz w:val="16"/>
                <w:szCs w:val="16"/>
              </w:rPr>
            </w:pPr>
            <w:r w:rsidRPr="002D7FA2">
              <w:rPr>
                <w:color w:val="000000"/>
                <w:sz w:val="16"/>
                <w:szCs w:val="16"/>
              </w:rPr>
              <w:t> </w:t>
            </w:r>
          </w:p>
        </w:tc>
        <w:tc>
          <w:tcPr>
            <w:tcW w:w="3100" w:type="dxa"/>
            <w:vAlign w:val="center"/>
            <w:hideMark/>
          </w:tcPr>
          <w:p w14:paraId="7E48CFA9" w14:textId="77777777" w:rsidR="002D7FA2" w:rsidRPr="002D7FA2" w:rsidRDefault="002D7FA2" w:rsidP="002D7FA2">
            <w:pPr>
              <w:rPr>
                <w:color w:val="000000"/>
                <w:sz w:val="16"/>
                <w:szCs w:val="16"/>
              </w:rPr>
            </w:pPr>
            <w:r w:rsidRPr="002D7FA2">
              <w:rPr>
                <w:color w:val="000000"/>
                <w:sz w:val="16"/>
                <w:szCs w:val="16"/>
              </w:rPr>
              <w:t>radi utvrđivanja prava vlasništva</w:t>
            </w:r>
          </w:p>
        </w:tc>
        <w:tc>
          <w:tcPr>
            <w:tcW w:w="2140" w:type="dxa"/>
            <w:vAlign w:val="center"/>
            <w:hideMark/>
          </w:tcPr>
          <w:p w14:paraId="4A53815A" w14:textId="77777777" w:rsidR="002D7FA2" w:rsidRPr="002D7FA2" w:rsidRDefault="002D7FA2" w:rsidP="002D7FA2">
            <w:pPr>
              <w:jc w:val="right"/>
              <w:rPr>
                <w:color w:val="000000"/>
                <w:sz w:val="16"/>
                <w:szCs w:val="16"/>
              </w:rPr>
            </w:pPr>
            <w:r w:rsidRPr="002D7FA2">
              <w:rPr>
                <w:color w:val="000000"/>
                <w:sz w:val="16"/>
                <w:szCs w:val="16"/>
              </w:rPr>
              <w:t>1.327,22</w:t>
            </w:r>
          </w:p>
        </w:tc>
        <w:tc>
          <w:tcPr>
            <w:tcW w:w="2340" w:type="dxa"/>
            <w:vAlign w:val="center"/>
            <w:hideMark/>
          </w:tcPr>
          <w:p w14:paraId="00963663" w14:textId="77777777" w:rsidR="002D7FA2" w:rsidRPr="002D7FA2" w:rsidRDefault="002D7FA2" w:rsidP="002D7FA2">
            <w:pPr>
              <w:rPr>
                <w:color w:val="000000"/>
                <w:sz w:val="16"/>
                <w:szCs w:val="16"/>
              </w:rPr>
            </w:pPr>
            <w:r w:rsidRPr="002D7FA2">
              <w:rPr>
                <w:color w:val="000000"/>
                <w:sz w:val="16"/>
                <w:szCs w:val="16"/>
              </w:rPr>
              <w:t>10 godina</w:t>
            </w:r>
          </w:p>
        </w:tc>
        <w:tc>
          <w:tcPr>
            <w:tcW w:w="1340" w:type="dxa"/>
            <w:vAlign w:val="center"/>
            <w:hideMark/>
          </w:tcPr>
          <w:p w14:paraId="1DB11B88" w14:textId="77777777" w:rsidR="002D7FA2" w:rsidRPr="002D7FA2" w:rsidRDefault="002D7FA2" w:rsidP="002D7FA2">
            <w:pPr>
              <w:rPr>
                <w:color w:val="000000"/>
                <w:sz w:val="16"/>
                <w:szCs w:val="16"/>
              </w:rPr>
            </w:pPr>
            <w:r w:rsidRPr="002D7FA2">
              <w:rPr>
                <w:color w:val="000000"/>
                <w:sz w:val="16"/>
                <w:szCs w:val="16"/>
              </w:rPr>
              <w:t>u rješavanju</w:t>
            </w:r>
          </w:p>
        </w:tc>
      </w:tr>
      <w:tr w:rsidR="002D7FA2" w:rsidRPr="002D7FA2" w14:paraId="06FED4AB" w14:textId="77777777" w:rsidTr="00BB1392">
        <w:trPr>
          <w:trHeight w:val="225"/>
        </w:trPr>
        <w:tc>
          <w:tcPr>
            <w:tcW w:w="440" w:type="dxa"/>
            <w:vAlign w:val="center"/>
            <w:hideMark/>
          </w:tcPr>
          <w:p w14:paraId="149E387C" w14:textId="77777777" w:rsidR="002D7FA2" w:rsidRPr="002D7FA2" w:rsidRDefault="002D7FA2" w:rsidP="002D7FA2">
            <w:pPr>
              <w:jc w:val="center"/>
              <w:rPr>
                <w:color w:val="000000"/>
                <w:sz w:val="16"/>
                <w:szCs w:val="16"/>
              </w:rPr>
            </w:pPr>
            <w:r w:rsidRPr="002D7FA2">
              <w:rPr>
                <w:color w:val="000000"/>
                <w:sz w:val="16"/>
                <w:szCs w:val="16"/>
              </w:rPr>
              <w:t>16</w:t>
            </w:r>
          </w:p>
        </w:tc>
        <w:tc>
          <w:tcPr>
            <w:tcW w:w="960" w:type="dxa"/>
            <w:vAlign w:val="center"/>
            <w:hideMark/>
          </w:tcPr>
          <w:p w14:paraId="14E9B4B8" w14:textId="77777777" w:rsidR="002D7FA2" w:rsidRPr="002D7FA2" w:rsidRDefault="002D7FA2" w:rsidP="002D7FA2">
            <w:pPr>
              <w:rPr>
                <w:color w:val="000000"/>
                <w:sz w:val="16"/>
                <w:szCs w:val="16"/>
              </w:rPr>
            </w:pPr>
            <w:r w:rsidRPr="002D7FA2">
              <w:rPr>
                <w:color w:val="000000"/>
                <w:sz w:val="16"/>
                <w:szCs w:val="16"/>
              </w:rPr>
              <w:t>L.S.J.</w:t>
            </w:r>
          </w:p>
        </w:tc>
        <w:tc>
          <w:tcPr>
            <w:tcW w:w="1540" w:type="dxa"/>
            <w:vAlign w:val="center"/>
            <w:hideMark/>
          </w:tcPr>
          <w:p w14:paraId="64C6B37F" w14:textId="77777777" w:rsidR="002D7FA2" w:rsidRPr="002D7FA2" w:rsidRDefault="002D7FA2" w:rsidP="002D7FA2">
            <w:pPr>
              <w:rPr>
                <w:color w:val="000000"/>
                <w:sz w:val="16"/>
                <w:szCs w:val="16"/>
              </w:rPr>
            </w:pPr>
            <w:r w:rsidRPr="002D7FA2">
              <w:rPr>
                <w:color w:val="000000"/>
                <w:sz w:val="16"/>
                <w:szCs w:val="16"/>
              </w:rPr>
              <w:t>Općina Marčana</w:t>
            </w:r>
          </w:p>
        </w:tc>
        <w:tc>
          <w:tcPr>
            <w:tcW w:w="1520" w:type="dxa"/>
            <w:vAlign w:val="center"/>
            <w:hideMark/>
          </w:tcPr>
          <w:p w14:paraId="35E0FD9F" w14:textId="77777777" w:rsidR="002D7FA2" w:rsidRPr="002D7FA2" w:rsidRDefault="002D7FA2" w:rsidP="002D7FA2">
            <w:pPr>
              <w:rPr>
                <w:color w:val="000000"/>
                <w:sz w:val="16"/>
                <w:szCs w:val="16"/>
              </w:rPr>
            </w:pPr>
            <w:r w:rsidRPr="002D7FA2">
              <w:rPr>
                <w:color w:val="000000"/>
                <w:sz w:val="16"/>
                <w:szCs w:val="16"/>
              </w:rPr>
              <w:t>Općinski sud u Pili</w:t>
            </w:r>
          </w:p>
        </w:tc>
        <w:tc>
          <w:tcPr>
            <w:tcW w:w="1120" w:type="dxa"/>
            <w:vAlign w:val="center"/>
            <w:hideMark/>
          </w:tcPr>
          <w:p w14:paraId="136E7CE7" w14:textId="77777777" w:rsidR="002D7FA2" w:rsidRPr="002D7FA2" w:rsidRDefault="002D7FA2" w:rsidP="002D7FA2">
            <w:pPr>
              <w:rPr>
                <w:color w:val="000000"/>
                <w:sz w:val="16"/>
                <w:szCs w:val="16"/>
              </w:rPr>
            </w:pPr>
            <w:r w:rsidRPr="002D7FA2">
              <w:rPr>
                <w:color w:val="000000"/>
                <w:sz w:val="16"/>
                <w:szCs w:val="16"/>
              </w:rPr>
              <w:t> </w:t>
            </w:r>
          </w:p>
        </w:tc>
        <w:tc>
          <w:tcPr>
            <w:tcW w:w="3100" w:type="dxa"/>
            <w:vAlign w:val="center"/>
            <w:hideMark/>
          </w:tcPr>
          <w:p w14:paraId="10BA6FFB" w14:textId="77777777" w:rsidR="002D7FA2" w:rsidRPr="002D7FA2" w:rsidRDefault="002D7FA2" w:rsidP="002D7FA2">
            <w:pPr>
              <w:rPr>
                <w:color w:val="000000"/>
                <w:sz w:val="16"/>
                <w:szCs w:val="16"/>
              </w:rPr>
            </w:pPr>
            <w:r w:rsidRPr="002D7FA2">
              <w:rPr>
                <w:color w:val="000000"/>
                <w:sz w:val="16"/>
                <w:szCs w:val="16"/>
              </w:rPr>
              <w:t>radi utvrđivanja prava vlasništva</w:t>
            </w:r>
          </w:p>
        </w:tc>
        <w:tc>
          <w:tcPr>
            <w:tcW w:w="2140" w:type="dxa"/>
            <w:vAlign w:val="center"/>
            <w:hideMark/>
          </w:tcPr>
          <w:p w14:paraId="5B669D4A" w14:textId="77777777" w:rsidR="002D7FA2" w:rsidRPr="002D7FA2" w:rsidRDefault="002D7FA2" w:rsidP="002D7FA2">
            <w:pPr>
              <w:jc w:val="right"/>
              <w:rPr>
                <w:color w:val="000000"/>
                <w:sz w:val="16"/>
                <w:szCs w:val="16"/>
              </w:rPr>
            </w:pPr>
            <w:r w:rsidRPr="002D7FA2">
              <w:rPr>
                <w:color w:val="000000"/>
                <w:sz w:val="16"/>
                <w:szCs w:val="16"/>
              </w:rPr>
              <w:t>1.327,23</w:t>
            </w:r>
          </w:p>
        </w:tc>
        <w:tc>
          <w:tcPr>
            <w:tcW w:w="2340" w:type="dxa"/>
            <w:vAlign w:val="center"/>
            <w:hideMark/>
          </w:tcPr>
          <w:p w14:paraId="0AAD0710" w14:textId="77777777" w:rsidR="002D7FA2" w:rsidRPr="002D7FA2" w:rsidRDefault="002D7FA2" w:rsidP="002D7FA2">
            <w:pPr>
              <w:rPr>
                <w:color w:val="000000"/>
                <w:sz w:val="16"/>
                <w:szCs w:val="16"/>
              </w:rPr>
            </w:pPr>
            <w:r w:rsidRPr="002D7FA2">
              <w:rPr>
                <w:color w:val="000000"/>
                <w:sz w:val="16"/>
                <w:szCs w:val="16"/>
              </w:rPr>
              <w:t>10 godina</w:t>
            </w:r>
          </w:p>
        </w:tc>
        <w:tc>
          <w:tcPr>
            <w:tcW w:w="1340" w:type="dxa"/>
            <w:vAlign w:val="center"/>
            <w:hideMark/>
          </w:tcPr>
          <w:p w14:paraId="2AF4A8DC" w14:textId="77777777" w:rsidR="002D7FA2" w:rsidRPr="002D7FA2" w:rsidRDefault="002D7FA2" w:rsidP="002D7FA2">
            <w:pPr>
              <w:rPr>
                <w:color w:val="000000"/>
                <w:sz w:val="16"/>
                <w:szCs w:val="16"/>
              </w:rPr>
            </w:pPr>
            <w:r w:rsidRPr="002D7FA2">
              <w:rPr>
                <w:color w:val="000000"/>
                <w:sz w:val="16"/>
                <w:szCs w:val="16"/>
              </w:rPr>
              <w:t>u rješavanju</w:t>
            </w:r>
          </w:p>
        </w:tc>
      </w:tr>
      <w:tr w:rsidR="002D7FA2" w:rsidRPr="002D7FA2" w14:paraId="31277D7A" w14:textId="77777777" w:rsidTr="00BB1392">
        <w:trPr>
          <w:trHeight w:val="225"/>
        </w:trPr>
        <w:tc>
          <w:tcPr>
            <w:tcW w:w="440" w:type="dxa"/>
            <w:vAlign w:val="center"/>
            <w:hideMark/>
          </w:tcPr>
          <w:p w14:paraId="7931684D" w14:textId="77777777" w:rsidR="002D7FA2" w:rsidRPr="002D7FA2" w:rsidRDefault="002D7FA2" w:rsidP="002D7FA2">
            <w:pPr>
              <w:jc w:val="center"/>
              <w:rPr>
                <w:color w:val="000000"/>
                <w:sz w:val="16"/>
                <w:szCs w:val="16"/>
              </w:rPr>
            </w:pPr>
            <w:r w:rsidRPr="002D7FA2">
              <w:rPr>
                <w:color w:val="000000"/>
                <w:sz w:val="16"/>
                <w:szCs w:val="16"/>
              </w:rPr>
              <w:t>17</w:t>
            </w:r>
          </w:p>
        </w:tc>
        <w:tc>
          <w:tcPr>
            <w:tcW w:w="960" w:type="dxa"/>
            <w:vAlign w:val="center"/>
            <w:hideMark/>
          </w:tcPr>
          <w:p w14:paraId="777B5D69" w14:textId="77777777" w:rsidR="002D7FA2" w:rsidRPr="002D7FA2" w:rsidRDefault="002D7FA2" w:rsidP="002D7FA2">
            <w:pPr>
              <w:rPr>
                <w:color w:val="000000"/>
                <w:sz w:val="16"/>
                <w:szCs w:val="16"/>
              </w:rPr>
            </w:pPr>
            <w:r w:rsidRPr="002D7FA2">
              <w:rPr>
                <w:color w:val="000000"/>
                <w:sz w:val="16"/>
                <w:szCs w:val="16"/>
              </w:rPr>
              <w:t>I.R.</w:t>
            </w:r>
          </w:p>
        </w:tc>
        <w:tc>
          <w:tcPr>
            <w:tcW w:w="1540" w:type="dxa"/>
            <w:vAlign w:val="center"/>
            <w:hideMark/>
          </w:tcPr>
          <w:p w14:paraId="52BB86B2" w14:textId="77777777" w:rsidR="002D7FA2" w:rsidRPr="002D7FA2" w:rsidRDefault="002D7FA2" w:rsidP="002D7FA2">
            <w:pPr>
              <w:rPr>
                <w:color w:val="000000"/>
                <w:sz w:val="16"/>
                <w:szCs w:val="16"/>
              </w:rPr>
            </w:pPr>
            <w:r w:rsidRPr="002D7FA2">
              <w:rPr>
                <w:color w:val="000000"/>
                <w:sz w:val="16"/>
                <w:szCs w:val="16"/>
              </w:rPr>
              <w:t>Općina Marčana</w:t>
            </w:r>
          </w:p>
        </w:tc>
        <w:tc>
          <w:tcPr>
            <w:tcW w:w="1520" w:type="dxa"/>
            <w:vAlign w:val="center"/>
            <w:hideMark/>
          </w:tcPr>
          <w:p w14:paraId="7F2B36BF" w14:textId="77777777" w:rsidR="002D7FA2" w:rsidRPr="002D7FA2" w:rsidRDefault="002D7FA2" w:rsidP="002D7FA2">
            <w:pPr>
              <w:rPr>
                <w:color w:val="000000"/>
                <w:sz w:val="16"/>
                <w:szCs w:val="16"/>
              </w:rPr>
            </w:pPr>
            <w:r w:rsidRPr="002D7FA2">
              <w:rPr>
                <w:color w:val="000000"/>
                <w:sz w:val="16"/>
                <w:szCs w:val="16"/>
              </w:rPr>
              <w:t>Općinsku sud u Puli</w:t>
            </w:r>
          </w:p>
        </w:tc>
        <w:tc>
          <w:tcPr>
            <w:tcW w:w="1120" w:type="dxa"/>
            <w:vAlign w:val="center"/>
            <w:hideMark/>
          </w:tcPr>
          <w:p w14:paraId="37E046A8" w14:textId="77777777" w:rsidR="002D7FA2" w:rsidRPr="002D7FA2" w:rsidRDefault="002D7FA2" w:rsidP="002D7FA2">
            <w:pPr>
              <w:rPr>
                <w:color w:val="000000"/>
                <w:sz w:val="16"/>
                <w:szCs w:val="16"/>
              </w:rPr>
            </w:pPr>
            <w:r w:rsidRPr="002D7FA2">
              <w:rPr>
                <w:color w:val="000000"/>
                <w:sz w:val="16"/>
                <w:szCs w:val="16"/>
              </w:rPr>
              <w:t> </w:t>
            </w:r>
          </w:p>
        </w:tc>
        <w:tc>
          <w:tcPr>
            <w:tcW w:w="3100" w:type="dxa"/>
            <w:vAlign w:val="center"/>
            <w:hideMark/>
          </w:tcPr>
          <w:p w14:paraId="32036BE1" w14:textId="77777777" w:rsidR="002D7FA2" w:rsidRPr="002D7FA2" w:rsidRDefault="002D7FA2" w:rsidP="002D7FA2">
            <w:pPr>
              <w:rPr>
                <w:color w:val="000000"/>
                <w:sz w:val="16"/>
                <w:szCs w:val="16"/>
              </w:rPr>
            </w:pPr>
            <w:r w:rsidRPr="002D7FA2">
              <w:rPr>
                <w:color w:val="000000"/>
                <w:sz w:val="16"/>
                <w:szCs w:val="16"/>
              </w:rPr>
              <w:t>radi utvrđivanja prava vlasništva</w:t>
            </w:r>
          </w:p>
        </w:tc>
        <w:tc>
          <w:tcPr>
            <w:tcW w:w="2140" w:type="dxa"/>
            <w:vAlign w:val="center"/>
            <w:hideMark/>
          </w:tcPr>
          <w:p w14:paraId="484E7034" w14:textId="77777777" w:rsidR="002D7FA2" w:rsidRPr="002D7FA2" w:rsidRDefault="002D7FA2" w:rsidP="002D7FA2">
            <w:pPr>
              <w:jc w:val="right"/>
              <w:rPr>
                <w:color w:val="000000"/>
                <w:sz w:val="16"/>
                <w:szCs w:val="16"/>
              </w:rPr>
            </w:pPr>
            <w:r w:rsidRPr="002D7FA2">
              <w:rPr>
                <w:color w:val="000000"/>
                <w:sz w:val="16"/>
                <w:szCs w:val="16"/>
              </w:rPr>
              <w:t>10.000,00</w:t>
            </w:r>
          </w:p>
        </w:tc>
        <w:tc>
          <w:tcPr>
            <w:tcW w:w="2340" w:type="dxa"/>
            <w:vAlign w:val="center"/>
            <w:hideMark/>
          </w:tcPr>
          <w:p w14:paraId="04335017" w14:textId="77777777" w:rsidR="002D7FA2" w:rsidRPr="002D7FA2" w:rsidRDefault="002D7FA2" w:rsidP="002D7FA2">
            <w:pPr>
              <w:rPr>
                <w:color w:val="000000"/>
                <w:sz w:val="16"/>
                <w:szCs w:val="16"/>
              </w:rPr>
            </w:pPr>
            <w:r w:rsidRPr="002D7FA2">
              <w:rPr>
                <w:color w:val="000000"/>
                <w:sz w:val="16"/>
                <w:szCs w:val="16"/>
              </w:rPr>
              <w:t>10 godina</w:t>
            </w:r>
          </w:p>
        </w:tc>
        <w:tc>
          <w:tcPr>
            <w:tcW w:w="1340" w:type="dxa"/>
            <w:vAlign w:val="center"/>
            <w:hideMark/>
          </w:tcPr>
          <w:p w14:paraId="3F9423A0" w14:textId="77777777" w:rsidR="002D7FA2" w:rsidRPr="002D7FA2" w:rsidRDefault="002D7FA2" w:rsidP="002D7FA2">
            <w:pPr>
              <w:rPr>
                <w:color w:val="000000"/>
                <w:sz w:val="16"/>
                <w:szCs w:val="16"/>
              </w:rPr>
            </w:pPr>
            <w:r w:rsidRPr="002D7FA2">
              <w:rPr>
                <w:color w:val="000000"/>
                <w:sz w:val="16"/>
                <w:szCs w:val="16"/>
              </w:rPr>
              <w:t>u rješavanju</w:t>
            </w:r>
          </w:p>
        </w:tc>
      </w:tr>
      <w:tr w:rsidR="002D7FA2" w:rsidRPr="002D7FA2" w14:paraId="5AB76CF2" w14:textId="77777777" w:rsidTr="00BB1392">
        <w:trPr>
          <w:trHeight w:val="225"/>
        </w:trPr>
        <w:tc>
          <w:tcPr>
            <w:tcW w:w="440" w:type="dxa"/>
            <w:vAlign w:val="center"/>
            <w:hideMark/>
          </w:tcPr>
          <w:p w14:paraId="53058EAE" w14:textId="77777777" w:rsidR="002D7FA2" w:rsidRPr="002D7FA2" w:rsidRDefault="002D7FA2" w:rsidP="002D7FA2">
            <w:pPr>
              <w:jc w:val="center"/>
              <w:rPr>
                <w:color w:val="000000"/>
                <w:sz w:val="16"/>
                <w:szCs w:val="16"/>
              </w:rPr>
            </w:pPr>
            <w:r w:rsidRPr="002D7FA2">
              <w:rPr>
                <w:color w:val="000000"/>
                <w:sz w:val="16"/>
                <w:szCs w:val="16"/>
              </w:rPr>
              <w:t>18</w:t>
            </w:r>
          </w:p>
        </w:tc>
        <w:tc>
          <w:tcPr>
            <w:tcW w:w="960" w:type="dxa"/>
            <w:vAlign w:val="center"/>
            <w:hideMark/>
          </w:tcPr>
          <w:p w14:paraId="173F8F7E" w14:textId="77777777" w:rsidR="002D7FA2" w:rsidRPr="002D7FA2" w:rsidRDefault="002D7FA2" w:rsidP="002D7FA2">
            <w:pPr>
              <w:rPr>
                <w:color w:val="000000"/>
                <w:sz w:val="16"/>
                <w:szCs w:val="16"/>
              </w:rPr>
            </w:pPr>
            <w:r w:rsidRPr="002D7FA2">
              <w:rPr>
                <w:color w:val="000000"/>
                <w:sz w:val="16"/>
                <w:szCs w:val="16"/>
              </w:rPr>
              <w:t>Š.O.</w:t>
            </w:r>
          </w:p>
        </w:tc>
        <w:tc>
          <w:tcPr>
            <w:tcW w:w="1540" w:type="dxa"/>
            <w:vAlign w:val="center"/>
            <w:hideMark/>
          </w:tcPr>
          <w:p w14:paraId="7C7085EC" w14:textId="77777777" w:rsidR="002D7FA2" w:rsidRPr="002D7FA2" w:rsidRDefault="002D7FA2" w:rsidP="002D7FA2">
            <w:pPr>
              <w:rPr>
                <w:color w:val="000000"/>
                <w:sz w:val="16"/>
                <w:szCs w:val="16"/>
              </w:rPr>
            </w:pPr>
            <w:r w:rsidRPr="002D7FA2">
              <w:rPr>
                <w:color w:val="000000"/>
                <w:sz w:val="16"/>
                <w:szCs w:val="16"/>
              </w:rPr>
              <w:t>Općina Marčana</w:t>
            </w:r>
          </w:p>
        </w:tc>
        <w:tc>
          <w:tcPr>
            <w:tcW w:w="1520" w:type="dxa"/>
            <w:vAlign w:val="center"/>
            <w:hideMark/>
          </w:tcPr>
          <w:p w14:paraId="03CEB4EF" w14:textId="77777777" w:rsidR="002D7FA2" w:rsidRPr="002D7FA2" w:rsidRDefault="002D7FA2" w:rsidP="002D7FA2">
            <w:pPr>
              <w:rPr>
                <w:color w:val="000000"/>
                <w:sz w:val="16"/>
                <w:szCs w:val="16"/>
              </w:rPr>
            </w:pPr>
            <w:r w:rsidRPr="002D7FA2">
              <w:rPr>
                <w:color w:val="000000"/>
                <w:sz w:val="16"/>
                <w:szCs w:val="16"/>
              </w:rPr>
              <w:t>Općinski sud u Puli</w:t>
            </w:r>
          </w:p>
        </w:tc>
        <w:tc>
          <w:tcPr>
            <w:tcW w:w="1120" w:type="dxa"/>
            <w:vAlign w:val="center"/>
            <w:hideMark/>
          </w:tcPr>
          <w:p w14:paraId="2BFFF497" w14:textId="77777777" w:rsidR="002D7FA2" w:rsidRPr="002D7FA2" w:rsidRDefault="002D7FA2" w:rsidP="002D7FA2">
            <w:pPr>
              <w:rPr>
                <w:color w:val="000000"/>
                <w:sz w:val="16"/>
                <w:szCs w:val="16"/>
              </w:rPr>
            </w:pPr>
            <w:r w:rsidRPr="002D7FA2">
              <w:rPr>
                <w:color w:val="000000"/>
                <w:sz w:val="16"/>
                <w:szCs w:val="16"/>
              </w:rPr>
              <w:t> </w:t>
            </w:r>
          </w:p>
        </w:tc>
        <w:tc>
          <w:tcPr>
            <w:tcW w:w="3100" w:type="dxa"/>
            <w:vAlign w:val="center"/>
            <w:hideMark/>
          </w:tcPr>
          <w:p w14:paraId="15570E70" w14:textId="77777777" w:rsidR="002D7FA2" w:rsidRPr="002D7FA2" w:rsidRDefault="002D7FA2" w:rsidP="002D7FA2">
            <w:pPr>
              <w:rPr>
                <w:color w:val="000000"/>
                <w:sz w:val="16"/>
                <w:szCs w:val="16"/>
              </w:rPr>
            </w:pPr>
            <w:r w:rsidRPr="002D7FA2">
              <w:rPr>
                <w:color w:val="000000"/>
                <w:sz w:val="16"/>
                <w:szCs w:val="16"/>
              </w:rPr>
              <w:t>radi utvrđivanja prava vlasništva</w:t>
            </w:r>
          </w:p>
        </w:tc>
        <w:tc>
          <w:tcPr>
            <w:tcW w:w="2140" w:type="dxa"/>
            <w:vAlign w:val="center"/>
            <w:hideMark/>
          </w:tcPr>
          <w:p w14:paraId="47D1A066" w14:textId="77777777" w:rsidR="002D7FA2" w:rsidRPr="002D7FA2" w:rsidRDefault="002D7FA2" w:rsidP="002D7FA2">
            <w:pPr>
              <w:jc w:val="right"/>
              <w:rPr>
                <w:color w:val="000000"/>
                <w:sz w:val="16"/>
                <w:szCs w:val="16"/>
              </w:rPr>
            </w:pPr>
            <w:r w:rsidRPr="002D7FA2">
              <w:rPr>
                <w:color w:val="000000"/>
                <w:sz w:val="16"/>
                <w:szCs w:val="16"/>
              </w:rPr>
              <w:t>1.300,00</w:t>
            </w:r>
          </w:p>
        </w:tc>
        <w:tc>
          <w:tcPr>
            <w:tcW w:w="2340" w:type="dxa"/>
            <w:vAlign w:val="center"/>
            <w:hideMark/>
          </w:tcPr>
          <w:p w14:paraId="50034E5B" w14:textId="77777777" w:rsidR="002D7FA2" w:rsidRPr="002D7FA2" w:rsidRDefault="002D7FA2" w:rsidP="002D7FA2">
            <w:pPr>
              <w:rPr>
                <w:color w:val="000000"/>
                <w:sz w:val="16"/>
                <w:szCs w:val="16"/>
              </w:rPr>
            </w:pPr>
            <w:r w:rsidRPr="002D7FA2">
              <w:rPr>
                <w:color w:val="000000"/>
                <w:sz w:val="16"/>
                <w:szCs w:val="16"/>
              </w:rPr>
              <w:t>10 godina</w:t>
            </w:r>
          </w:p>
        </w:tc>
        <w:tc>
          <w:tcPr>
            <w:tcW w:w="1340" w:type="dxa"/>
            <w:vAlign w:val="center"/>
            <w:hideMark/>
          </w:tcPr>
          <w:p w14:paraId="29E1E914" w14:textId="77777777" w:rsidR="002D7FA2" w:rsidRPr="002D7FA2" w:rsidRDefault="002D7FA2" w:rsidP="002D7FA2">
            <w:pPr>
              <w:rPr>
                <w:color w:val="000000"/>
                <w:sz w:val="16"/>
                <w:szCs w:val="16"/>
              </w:rPr>
            </w:pPr>
            <w:r w:rsidRPr="002D7FA2">
              <w:rPr>
                <w:color w:val="000000"/>
                <w:sz w:val="16"/>
                <w:szCs w:val="16"/>
              </w:rPr>
              <w:t>u rješavanju</w:t>
            </w:r>
          </w:p>
        </w:tc>
      </w:tr>
      <w:tr w:rsidR="002D7FA2" w:rsidRPr="002D7FA2" w14:paraId="67B7BCCF" w14:textId="77777777" w:rsidTr="00BB1392">
        <w:trPr>
          <w:trHeight w:val="210"/>
        </w:trPr>
        <w:tc>
          <w:tcPr>
            <w:tcW w:w="8680" w:type="dxa"/>
            <w:gridSpan w:val="6"/>
            <w:vAlign w:val="center"/>
            <w:hideMark/>
          </w:tcPr>
          <w:p w14:paraId="49DB6119" w14:textId="77777777" w:rsidR="002D7FA2" w:rsidRPr="002D7FA2" w:rsidRDefault="002D7FA2" w:rsidP="002D7FA2">
            <w:pPr>
              <w:jc w:val="center"/>
              <w:rPr>
                <w:b/>
                <w:bCs/>
                <w:color w:val="000000"/>
                <w:sz w:val="16"/>
                <w:szCs w:val="16"/>
              </w:rPr>
            </w:pPr>
            <w:r w:rsidRPr="002D7FA2">
              <w:rPr>
                <w:b/>
                <w:bCs/>
                <w:color w:val="000000"/>
                <w:sz w:val="16"/>
                <w:szCs w:val="16"/>
              </w:rPr>
              <w:t>UKUPNO</w:t>
            </w:r>
          </w:p>
        </w:tc>
        <w:tc>
          <w:tcPr>
            <w:tcW w:w="2140" w:type="dxa"/>
            <w:vAlign w:val="center"/>
            <w:hideMark/>
          </w:tcPr>
          <w:p w14:paraId="0028C61E" w14:textId="77777777" w:rsidR="002D7FA2" w:rsidRPr="002D7FA2" w:rsidRDefault="002D7FA2" w:rsidP="002D7FA2">
            <w:pPr>
              <w:jc w:val="right"/>
              <w:rPr>
                <w:b/>
                <w:bCs/>
                <w:color w:val="000000"/>
                <w:sz w:val="16"/>
                <w:szCs w:val="16"/>
              </w:rPr>
            </w:pPr>
            <w:r w:rsidRPr="002D7FA2">
              <w:rPr>
                <w:b/>
                <w:bCs/>
                <w:color w:val="000000"/>
                <w:sz w:val="16"/>
                <w:szCs w:val="16"/>
              </w:rPr>
              <w:t>147.286,95</w:t>
            </w:r>
          </w:p>
        </w:tc>
        <w:tc>
          <w:tcPr>
            <w:tcW w:w="2340" w:type="dxa"/>
            <w:vAlign w:val="center"/>
            <w:hideMark/>
          </w:tcPr>
          <w:p w14:paraId="37450BB2" w14:textId="77777777" w:rsidR="002D7FA2" w:rsidRPr="002D7FA2" w:rsidRDefault="002D7FA2" w:rsidP="002D7FA2">
            <w:pPr>
              <w:rPr>
                <w:b/>
                <w:bCs/>
                <w:color w:val="000000"/>
                <w:sz w:val="16"/>
                <w:szCs w:val="16"/>
              </w:rPr>
            </w:pPr>
            <w:r w:rsidRPr="002D7FA2">
              <w:rPr>
                <w:b/>
                <w:bCs/>
                <w:color w:val="000000"/>
                <w:sz w:val="16"/>
                <w:szCs w:val="16"/>
              </w:rPr>
              <w:t> </w:t>
            </w:r>
          </w:p>
        </w:tc>
        <w:tc>
          <w:tcPr>
            <w:tcW w:w="1340" w:type="dxa"/>
            <w:vAlign w:val="center"/>
            <w:hideMark/>
          </w:tcPr>
          <w:p w14:paraId="6EDE783D" w14:textId="77777777" w:rsidR="002D7FA2" w:rsidRPr="002D7FA2" w:rsidRDefault="002D7FA2" w:rsidP="002D7FA2">
            <w:pPr>
              <w:rPr>
                <w:b/>
                <w:bCs/>
                <w:color w:val="000000"/>
                <w:sz w:val="16"/>
                <w:szCs w:val="16"/>
              </w:rPr>
            </w:pPr>
            <w:r w:rsidRPr="002D7FA2">
              <w:rPr>
                <w:b/>
                <w:bCs/>
                <w:color w:val="000000"/>
                <w:sz w:val="16"/>
                <w:szCs w:val="16"/>
              </w:rPr>
              <w:t> </w:t>
            </w:r>
          </w:p>
        </w:tc>
      </w:tr>
    </w:tbl>
    <w:p w14:paraId="4E209D6D" w14:textId="77777777" w:rsidR="00416D67" w:rsidRDefault="00416D67" w:rsidP="007B3E41">
      <w:pPr>
        <w:jc w:val="both"/>
      </w:pPr>
    </w:p>
    <w:p w14:paraId="139150BD" w14:textId="77777777" w:rsidR="002D7FA2" w:rsidRDefault="002D7FA2" w:rsidP="007B3E41">
      <w:pPr>
        <w:jc w:val="both"/>
        <w:sectPr w:rsidR="002D7FA2" w:rsidSect="002D7FA2">
          <w:pgSz w:w="16838" w:h="11906" w:orient="landscape"/>
          <w:pgMar w:top="1417" w:right="1417" w:bottom="1417" w:left="1417" w:header="708" w:footer="708" w:gutter="0"/>
          <w:cols w:space="708"/>
          <w:titlePg/>
          <w:docGrid w:linePitch="360"/>
        </w:sectPr>
      </w:pPr>
    </w:p>
    <w:p w14:paraId="357C5A98" w14:textId="77777777" w:rsidR="00660C07" w:rsidRPr="00660C07" w:rsidRDefault="00660C07" w:rsidP="00660C07">
      <w:pPr>
        <w:rPr>
          <w:b/>
          <w:caps/>
        </w:rPr>
      </w:pPr>
      <w:r w:rsidRPr="00660C07">
        <w:rPr>
          <w:b/>
        </w:rPr>
        <w:lastRenderedPageBreak/>
        <w:t>3. ZAVRŠNI DIO</w:t>
      </w:r>
      <w:r w:rsidRPr="00660C07">
        <w:t xml:space="preserve">      </w:t>
      </w:r>
    </w:p>
    <w:p w14:paraId="7EAC584D" w14:textId="77777777" w:rsidR="00660C07" w:rsidRPr="00660C07" w:rsidRDefault="00660C07" w:rsidP="00660C07">
      <w:pPr>
        <w:ind w:left="709"/>
        <w:jc w:val="both"/>
      </w:pPr>
    </w:p>
    <w:p w14:paraId="34C46F12" w14:textId="77777777" w:rsidR="00660C07" w:rsidRPr="00660C07" w:rsidRDefault="00660C07" w:rsidP="00660C07">
      <w:pPr>
        <w:ind w:firstLine="420"/>
        <w:jc w:val="both"/>
        <w:rPr>
          <w:spacing w:val="1"/>
        </w:rPr>
      </w:pPr>
      <w:r w:rsidRPr="00660C07">
        <w:rPr>
          <w:spacing w:val="1"/>
        </w:rPr>
        <w:t xml:space="preserve">Planirani prihodi  ostvareni su iznosu od 7.509.862,07 EUR  što  za 2,23 % više od planiranih 7.346.186,18 EUR i 29,11% više od prihoda ostvarenih u 2024. godini (5.816.430,37 EUR). Obzirom da je  u 2025. godinu iz 2024. godine bilo preneseno 1.744.497,18 EUR  viška prihoda, u 2025. godini bilo je raspoloživo 9.254.359,25 EUR. </w:t>
      </w:r>
    </w:p>
    <w:p w14:paraId="6EE5CAFF" w14:textId="77777777" w:rsidR="00660C07" w:rsidRPr="00660C07" w:rsidRDefault="00660C07" w:rsidP="00660C07">
      <w:pPr>
        <w:ind w:firstLine="420"/>
        <w:jc w:val="both"/>
        <w:rPr>
          <w:spacing w:val="1"/>
        </w:rPr>
      </w:pPr>
      <w:r w:rsidRPr="00660C07">
        <w:t xml:space="preserve">Proračunski rashodi su ostvareni u visini od 6.360.293,08 EUR, </w:t>
      </w:r>
      <w:r w:rsidRPr="00660C07">
        <w:rPr>
          <w:spacing w:val="1"/>
        </w:rPr>
        <w:t xml:space="preserve">tako da je tijekom 2025. godine ostvaren višak prihoda nad rashodima u visini od 1.149.568,99 EUR, što uvećano za preneseni višak prihoda nad rashodima iz </w:t>
      </w:r>
      <w:proofErr w:type="spellStart"/>
      <w:r w:rsidRPr="00660C07">
        <w:rPr>
          <w:spacing w:val="1"/>
        </w:rPr>
        <w:t>prošlij</w:t>
      </w:r>
      <w:proofErr w:type="spellEnd"/>
      <w:r w:rsidRPr="00660C07">
        <w:rPr>
          <w:spacing w:val="1"/>
        </w:rPr>
        <w:t xml:space="preserve"> razdoblja u visini od 1.744.497,18 EUR, čini ukupni raspoloživi višak u </w:t>
      </w:r>
      <w:proofErr w:type="spellStart"/>
      <w:r w:rsidRPr="00660C07">
        <w:rPr>
          <w:spacing w:val="1"/>
        </w:rPr>
        <w:t>visni</w:t>
      </w:r>
      <w:proofErr w:type="spellEnd"/>
      <w:r w:rsidRPr="00660C07">
        <w:rPr>
          <w:spacing w:val="1"/>
        </w:rPr>
        <w:t xml:space="preserve"> od 2.709.843,21 EUR, koji će se uvrstiti u Prve izmjene i dopune Proračuna Općine Marčana za 2026. godinu.</w:t>
      </w:r>
    </w:p>
    <w:p w14:paraId="00A98117" w14:textId="77777777" w:rsidR="00660C07" w:rsidRPr="00660C07" w:rsidRDefault="00660C07" w:rsidP="00660C07">
      <w:pPr>
        <w:ind w:firstLine="420"/>
        <w:jc w:val="both"/>
      </w:pPr>
      <w:r w:rsidRPr="00660C07">
        <w:t xml:space="preserve">      Porezni prihodi ostvareni su u visini od 3.989.988,71 EUR, što je, također, više od planiranog za 4,58% i 7,16% više u odnosu na 2024. godinu. Rast poreznih prihoda nastao je u prvom redu zahvaljujući prihodima od poreza na dohodak i prireza koji su ostvareni u visini od 2.882.343,62 EUR, ili 17,12% više u odnosu na 2024. godinu. Pri tome prihodi od poreza na imovinu ostvareni su u iznosu od 1.082.274,09 EUR, što je za 12,61% niže u odnosu na prošlu godinu.</w:t>
      </w:r>
    </w:p>
    <w:p w14:paraId="01CA0AED" w14:textId="77777777" w:rsidR="00660C07" w:rsidRPr="00660C07" w:rsidRDefault="00660C07" w:rsidP="00660C07">
      <w:pPr>
        <w:ind w:firstLine="420"/>
        <w:jc w:val="both"/>
      </w:pPr>
      <w:r w:rsidRPr="00660C07">
        <w:t xml:space="preserve">Prihodi za posebne namjene, među kojima su najznačajniji komunalni doprinos i komunalna naknada, ostvareni su u iznosu od 1.088.273,19 EUR, što je povećanje od 5,87% u odnosu na 2024. godinu, dok su sve vrte prihoda za posebne namjene </w:t>
      </w:r>
      <w:proofErr w:type="spellStart"/>
      <w:r w:rsidRPr="00660C07">
        <w:t>ostavrene</w:t>
      </w:r>
      <w:proofErr w:type="spellEnd"/>
      <w:r w:rsidRPr="00660C07">
        <w:t xml:space="preserve"> u visini od 1.292.994,97, ili 103,12% više od 2024. godine i 100,25% od planiranog.</w:t>
      </w:r>
    </w:p>
    <w:p w14:paraId="3F11E916" w14:textId="77777777" w:rsidR="00660C07" w:rsidRPr="00660C07" w:rsidRDefault="00660C07" w:rsidP="00660C07">
      <w:pPr>
        <w:ind w:firstLine="420"/>
        <w:jc w:val="both"/>
      </w:pPr>
      <w:r w:rsidRPr="00660C07">
        <w:t xml:space="preserve">Prihodi od prodaje </w:t>
      </w:r>
      <w:proofErr w:type="spellStart"/>
      <w:r w:rsidRPr="00660C07">
        <w:t>prodaje</w:t>
      </w:r>
      <w:proofErr w:type="spellEnd"/>
      <w:r w:rsidRPr="00660C07">
        <w:t xml:space="preserve"> </w:t>
      </w:r>
      <w:proofErr w:type="spellStart"/>
      <w:r w:rsidRPr="00660C07">
        <w:t>neproizvedene</w:t>
      </w:r>
      <w:proofErr w:type="spellEnd"/>
      <w:r w:rsidRPr="00660C07">
        <w:t xml:space="preserve"> dugotrajne imovine (zemljište) iznosili su tijekom 2025. godine 1.632.646,65 EUR</w:t>
      </w:r>
    </w:p>
    <w:p w14:paraId="2D27BECE" w14:textId="77777777" w:rsidR="00660C07" w:rsidRPr="00660C07" w:rsidRDefault="00660C07" w:rsidP="00660C07">
      <w:pPr>
        <w:ind w:firstLine="420"/>
        <w:jc w:val="both"/>
      </w:pPr>
      <w:r w:rsidRPr="00660C07">
        <w:t xml:space="preserve">U 2025. godini primljeno je 335.580,34 EUR pomoći, što je za 13,30% više od planiranog, od čega su najznačajnije  pomoć Ministarstva kulture (za sanaciju arheoloških nalazišta), pomoć Državnog proračuna RH za fiskalnu održivost dječjih vrtića,  Ministarstva graditeljstva i Istarske županije. </w:t>
      </w:r>
    </w:p>
    <w:p w14:paraId="68CFACD7" w14:textId="77777777" w:rsidR="00660C07" w:rsidRPr="00660C07" w:rsidRDefault="00660C07" w:rsidP="00660C07">
      <w:pPr>
        <w:ind w:firstLine="420"/>
        <w:jc w:val="both"/>
      </w:pPr>
      <w:r w:rsidRPr="00660C07">
        <w:t xml:space="preserve">Ukupno ostvarenje proračunskih </w:t>
      </w:r>
      <w:proofErr w:type="spellStart"/>
      <w:r w:rsidRPr="00660C07">
        <w:t>priohoda</w:t>
      </w:r>
      <w:proofErr w:type="spellEnd"/>
      <w:r w:rsidRPr="00660C07">
        <w:t xml:space="preserve"> i primitaka bila je za preko 30% veće od ostvarenja iz 2024. godine.</w:t>
      </w:r>
    </w:p>
    <w:p w14:paraId="0226A34E" w14:textId="77777777" w:rsidR="00660C07" w:rsidRPr="00660C07" w:rsidRDefault="00660C07" w:rsidP="00660C07">
      <w:pPr>
        <w:ind w:firstLine="420"/>
        <w:jc w:val="both"/>
      </w:pPr>
      <w:r w:rsidRPr="00660C07">
        <w:t>Tijekom izvještajnog razdoblja otplaćeno je 71.429,76 EUR glavnice kreditnog zaduženja, stanje tog duga je s početnih 327.386,34 EUR    do kraja 2025. godine smanjeno na  255.956,58 EUR.</w:t>
      </w:r>
    </w:p>
    <w:p w14:paraId="1F5389BB" w14:textId="77777777" w:rsidR="00660C07" w:rsidRPr="00660C07" w:rsidRDefault="00660C07" w:rsidP="00660C07">
      <w:pPr>
        <w:ind w:firstLine="720"/>
        <w:jc w:val="both"/>
      </w:pPr>
      <w:r w:rsidRPr="00660C07">
        <w:t>Svi tekući programi vezani za društvene djelatnosti, vatrogastvo, komunalnu infrastrukturu, gospodarenje otpadom i druge djelatnosti iz samoupravnog djelokruga Općine Marčana uspješno su se ostvarivali tijekom  2025. godine, od kojih su najznačajniji slijedeći projekti i aktivnosti.</w:t>
      </w:r>
    </w:p>
    <w:p w14:paraId="62D78CB9" w14:textId="77777777" w:rsidR="00660C07" w:rsidRPr="00660C07" w:rsidRDefault="00660C07" w:rsidP="00660C07">
      <w:pPr>
        <w:ind w:firstLine="720"/>
        <w:jc w:val="both"/>
      </w:pPr>
      <w:r w:rsidRPr="00660C07">
        <w:t xml:space="preserve">Izrada projektne dokumentacije i troškovnika izgradnje zgrade poduzetničkog inkubatora, provedba postupka javne nabave i odabir izvođača za navedeni projekt, također, vezano uz navedeni projekt sklopljen je ugovor o dodjeli bespovratnih sredstava s  Ministarstvom regionalnog razvoja i fondova EU za izgradnju zgrade poduzetničkog inkubatora u </w:t>
      </w:r>
      <w:proofErr w:type="spellStart"/>
      <w:r w:rsidRPr="00660C07">
        <w:t>Marčani</w:t>
      </w:r>
      <w:proofErr w:type="spellEnd"/>
      <w:r w:rsidRPr="00660C07">
        <w:t>.</w:t>
      </w:r>
    </w:p>
    <w:p w14:paraId="023E721F" w14:textId="77777777" w:rsidR="00660C07" w:rsidRPr="00660C07" w:rsidRDefault="00660C07" w:rsidP="00660C07">
      <w:pPr>
        <w:ind w:firstLine="720"/>
        <w:jc w:val="both"/>
      </w:pPr>
      <w:r w:rsidRPr="00660C07">
        <w:t xml:space="preserve">Izrada kompletne projektno-tehničke dokumentacije za rekonstrukciju postojeće zgrade javne i društvene namjene (škole) u Malim </w:t>
      </w:r>
      <w:proofErr w:type="spellStart"/>
      <w:r w:rsidRPr="00660C07">
        <w:t>Vareškima</w:t>
      </w:r>
      <w:proofErr w:type="spellEnd"/>
      <w:r w:rsidRPr="00660C07">
        <w:t xml:space="preserve"> na k.č.br. 271 </w:t>
      </w:r>
      <w:proofErr w:type="spellStart"/>
      <w:r w:rsidRPr="00660C07">
        <w:t>zgr</w:t>
      </w:r>
      <w:proofErr w:type="spellEnd"/>
      <w:r w:rsidRPr="00660C07">
        <w:t xml:space="preserve">. k.o. </w:t>
      </w:r>
      <w:proofErr w:type="spellStart"/>
      <w:r w:rsidRPr="00660C07">
        <w:t>Krnica</w:t>
      </w:r>
      <w:proofErr w:type="spellEnd"/>
      <w:r w:rsidRPr="00660C07">
        <w:t xml:space="preserve">,  izrade projektne  dokumentacije za izgradnju vodospreme i izgradnja iste na k.č.br. 508/1 k.o. Marčana, čime se praktično započelo s  izgradnjom SC </w:t>
      </w:r>
      <w:proofErr w:type="spellStart"/>
      <w:r w:rsidRPr="00660C07">
        <w:t>Mandalena</w:t>
      </w:r>
      <w:proofErr w:type="spellEnd"/>
      <w:r w:rsidRPr="00660C07">
        <w:t xml:space="preserve"> u </w:t>
      </w:r>
      <w:proofErr w:type="spellStart"/>
      <w:r w:rsidRPr="00660C07">
        <w:t>Marčani</w:t>
      </w:r>
      <w:proofErr w:type="spellEnd"/>
      <w:r w:rsidRPr="00660C07">
        <w:t>.</w:t>
      </w:r>
    </w:p>
    <w:p w14:paraId="30ACCBBB" w14:textId="77777777" w:rsidR="00660C07" w:rsidRPr="00660C07" w:rsidRDefault="00660C07" w:rsidP="00660C07">
      <w:pPr>
        <w:ind w:firstLine="720"/>
        <w:jc w:val="both"/>
      </w:pPr>
      <w:r w:rsidRPr="00660C07">
        <w:t xml:space="preserve">Vršene su rekonstrukcije nogometnih igrališta u </w:t>
      </w:r>
      <w:proofErr w:type="spellStart"/>
      <w:r w:rsidRPr="00660C07">
        <w:t>Marčani</w:t>
      </w:r>
      <w:proofErr w:type="spellEnd"/>
      <w:r w:rsidRPr="00660C07">
        <w:t xml:space="preserve">, Peruški i </w:t>
      </w:r>
      <w:proofErr w:type="spellStart"/>
      <w:r w:rsidRPr="00660C07">
        <w:t>Kujići</w:t>
      </w:r>
      <w:proofErr w:type="spellEnd"/>
      <w:r w:rsidRPr="00660C07">
        <w:t xml:space="preserve">. Pripremana je dokumentacija potrebna za otkup zemljišta za izgradnju benzinske crpke u </w:t>
      </w:r>
      <w:proofErr w:type="spellStart"/>
      <w:r w:rsidRPr="00660C07">
        <w:t>Marčani</w:t>
      </w:r>
      <w:proofErr w:type="spellEnd"/>
      <w:r w:rsidRPr="00660C07">
        <w:t xml:space="preserve">. </w:t>
      </w:r>
    </w:p>
    <w:p w14:paraId="70108ED0" w14:textId="77777777" w:rsidR="00660C07" w:rsidRPr="00660C07" w:rsidRDefault="00660C07" w:rsidP="00660C07">
      <w:pPr>
        <w:ind w:firstLine="720"/>
        <w:jc w:val="both"/>
      </w:pPr>
      <w:r w:rsidRPr="00660C07">
        <w:t xml:space="preserve">Pripremala se i dokumentacija za uređenje i izgradnju parka u </w:t>
      </w:r>
      <w:proofErr w:type="spellStart"/>
      <w:r w:rsidRPr="00660C07">
        <w:t>Marčani</w:t>
      </w:r>
      <w:proofErr w:type="spellEnd"/>
      <w:r w:rsidRPr="00660C07">
        <w:t xml:space="preserve"> kao i pristupne ceste i javnog parkirališta.</w:t>
      </w:r>
    </w:p>
    <w:p w14:paraId="4643B627" w14:textId="77777777" w:rsidR="00660C07" w:rsidRPr="00660C07" w:rsidRDefault="00660C07" w:rsidP="00660C07">
      <w:pPr>
        <w:ind w:firstLine="720"/>
        <w:jc w:val="both"/>
      </w:pPr>
      <w:r w:rsidRPr="00660C07">
        <w:lastRenderedPageBreak/>
        <w:t xml:space="preserve"> Pripremljena je dokumentacija i uspješno realizirano sufinanciranje i dovršen je projekt rekonstrukcije dječjeg parka u Loboriki.</w:t>
      </w:r>
    </w:p>
    <w:p w14:paraId="2EAFC1EC" w14:textId="77777777" w:rsidR="00660C07" w:rsidRPr="00660C07" w:rsidRDefault="00660C07" w:rsidP="00660C07">
      <w:pPr>
        <w:ind w:firstLine="720"/>
        <w:jc w:val="both"/>
      </w:pPr>
      <w:r w:rsidRPr="00660C07">
        <w:t xml:space="preserve"> Ishodovane su lokacijske dozvole za izgradnju i rekonstrukciju </w:t>
      </w:r>
      <w:proofErr w:type="spellStart"/>
      <w:r w:rsidRPr="00660C07">
        <w:t>raskržja</w:t>
      </w:r>
      <w:proofErr w:type="spellEnd"/>
      <w:r w:rsidRPr="00660C07">
        <w:t xml:space="preserve"> i ceste od </w:t>
      </w:r>
      <w:proofErr w:type="spellStart"/>
      <w:r w:rsidRPr="00660C07">
        <w:t>Dolinice</w:t>
      </w:r>
      <w:proofErr w:type="spellEnd"/>
      <w:r w:rsidRPr="00660C07">
        <w:t xml:space="preserve"> do ulaza u Peruške.</w:t>
      </w:r>
    </w:p>
    <w:p w14:paraId="27AF46B7" w14:textId="77777777" w:rsidR="00660C07" w:rsidRPr="00660C07" w:rsidRDefault="00660C07" w:rsidP="00660C07">
      <w:pPr>
        <w:ind w:firstLine="720"/>
        <w:jc w:val="both"/>
      </w:pPr>
      <w:r w:rsidRPr="00660C07">
        <w:t xml:space="preserve"> Otkupljeno zemljište za izgradnju groblja u </w:t>
      </w:r>
      <w:proofErr w:type="spellStart"/>
      <w:r w:rsidRPr="00660C07">
        <w:t>Filipani</w:t>
      </w:r>
      <w:proofErr w:type="spellEnd"/>
      <w:r w:rsidRPr="00660C07">
        <w:t xml:space="preserve"> i urađena prva faza saniranja (čišćenja i pripreme) terena za svrhu građenja.</w:t>
      </w:r>
    </w:p>
    <w:p w14:paraId="0A389501" w14:textId="77777777" w:rsidR="00660C07" w:rsidRPr="00660C07" w:rsidRDefault="00660C07" w:rsidP="00660C07">
      <w:pPr>
        <w:ind w:firstLine="720"/>
        <w:jc w:val="both"/>
      </w:pPr>
      <w:r w:rsidRPr="00660C07">
        <w:t xml:space="preserve">Prodana parcela u </w:t>
      </w:r>
      <w:proofErr w:type="spellStart"/>
      <w:r w:rsidRPr="00660C07">
        <w:t>Marčani</w:t>
      </w:r>
      <w:proofErr w:type="spellEnd"/>
      <w:r w:rsidRPr="00660C07">
        <w:t xml:space="preserve"> za izgradnju trgovačkog centra u </w:t>
      </w:r>
      <w:proofErr w:type="spellStart"/>
      <w:r w:rsidRPr="00660C07">
        <w:t>Marčani</w:t>
      </w:r>
      <w:proofErr w:type="spellEnd"/>
      <w:r w:rsidRPr="00660C07">
        <w:t xml:space="preserve"> (Tommy). </w:t>
      </w:r>
    </w:p>
    <w:p w14:paraId="37B8F585" w14:textId="77777777" w:rsidR="00660C07" w:rsidRPr="00660C07" w:rsidRDefault="00660C07" w:rsidP="00660C07">
      <w:pPr>
        <w:ind w:firstLine="720"/>
        <w:jc w:val="both"/>
      </w:pPr>
      <w:r w:rsidRPr="00660C07">
        <w:t xml:space="preserve">Pokrenuta je linija lokalnog prijevoza sa trgovačkim društvom </w:t>
      </w:r>
      <w:proofErr w:type="spellStart"/>
      <w:r w:rsidRPr="00660C07">
        <w:t>Pulapromet</w:t>
      </w:r>
      <w:proofErr w:type="spellEnd"/>
      <w:r w:rsidRPr="00660C07">
        <w:t xml:space="preserve"> i povezana su  sva naselja unutar općine u ljetnim mjesecima.</w:t>
      </w:r>
    </w:p>
    <w:p w14:paraId="4DAFC4F5" w14:textId="77777777" w:rsidR="00660C07" w:rsidRPr="00660C07" w:rsidRDefault="00660C07" w:rsidP="00660C07">
      <w:pPr>
        <w:ind w:firstLine="720"/>
        <w:jc w:val="both"/>
      </w:pPr>
      <w:r w:rsidRPr="00660C07">
        <w:t>Uspostavljeno pomorsko redarstvo zapošljavanjem komunalnog redara.</w:t>
      </w:r>
    </w:p>
    <w:p w14:paraId="6B23DC71" w14:textId="77777777" w:rsidR="00660C07" w:rsidRPr="00660C07" w:rsidRDefault="00660C07" w:rsidP="00660C07">
      <w:pPr>
        <w:ind w:firstLine="720"/>
        <w:jc w:val="both"/>
      </w:pPr>
      <w:r w:rsidRPr="00660C07">
        <w:t>Pokrenuta je izrada dokumentacije izrade vodovodne mreže od Filipane do Divšići.</w:t>
      </w:r>
    </w:p>
    <w:p w14:paraId="59CCDB67" w14:textId="77777777" w:rsidR="00660C07" w:rsidRPr="00660C07" w:rsidRDefault="00660C07" w:rsidP="00660C07">
      <w:pPr>
        <w:ind w:firstLine="720"/>
        <w:jc w:val="both"/>
      </w:pPr>
      <w:r w:rsidRPr="00660C07">
        <w:t xml:space="preserve">Dovršen je postupak javne nabave Okvirnog sporazuma u svezi izgradnje i rekonstrukcije vodovodne mreže </w:t>
      </w:r>
      <w:proofErr w:type="spellStart"/>
      <w:r w:rsidRPr="00660C07">
        <w:t>Krnica</w:t>
      </w:r>
      <w:proofErr w:type="spellEnd"/>
      <w:r w:rsidRPr="00660C07">
        <w:t>-</w:t>
      </w:r>
      <w:proofErr w:type="spellStart"/>
      <w:r w:rsidRPr="00660C07">
        <w:t>Rakalj</w:t>
      </w:r>
      <w:proofErr w:type="spellEnd"/>
      <w:r w:rsidRPr="00660C07">
        <w:t>-Krase.</w:t>
      </w:r>
    </w:p>
    <w:p w14:paraId="2309DE1A" w14:textId="77777777" w:rsidR="00660C07" w:rsidRPr="00660C07" w:rsidRDefault="00660C07" w:rsidP="00660C07">
      <w:pPr>
        <w:ind w:firstLine="720"/>
        <w:jc w:val="both"/>
      </w:pPr>
      <w:r w:rsidRPr="00660C07">
        <w:t xml:space="preserve">Dovršena je rekonstrukcija dijela obalnog zida u </w:t>
      </w:r>
      <w:proofErr w:type="spellStart"/>
      <w:r w:rsidRPr="00660C07">
        <w:t>Krničkom</w:t>
      </w:r>
      <w:proofErr w:type="spellEnd"/>
      <w:r w:rsidRPr="00660C07">
        <w:t xml:space="preserve"> Portu.</w:t>
      </w:r>
    </w:p>
    <w:p w14:paraId="4C9A638F" w14:textId="77777777" w:rsidR="00660C07" w:rsidRPr="00660C07" w:rsidRDefault="00660C07" w:rsidP="00660C07">
      <w:pPr>
        <w:ind w:firstLine="720"/>
        <w:jc w:val="both"/>
      </w:pPr>
      <w:r w:rsidRPr="00660C07">
        <w:t xml:space="preserve"> U suradnji s Lučkom upravom Pula postavljena je rampa za porinuća brodica u </w:t>
      </w:r>
      <w:proofErr w:type="spellStart"/>
      <w:r w:rsidRPr="00660C07">
        <w:t>Krničkom</w:t>
      </w:r>
      <w:proofErr w:type="spellEnd"/>
      <w:r w:rsidRPr="00660C07">
        <w:t xml:space="preserve"> portu.</w:t>
      </w:r>
    </w:p>
    <w:p w14:paraId="59EA562A" w14:textId="77777777" w:rsidR="00660C07" w:rsidRPr="00660C07" w:rsidRDefault="00660C07" w:rsidP="00660C07">
      <w:pPr>
        <w:ind w:firstLine="720"/>
        <w:jc w:val="both"/>
      </w:pPr>
      <w:r w:rsidRPr="00660C07">
        <w:t xml:space="preserve">Usklađene su plaće u DV Vrtuljak Marčana s državnom Uredbom, te su povećane plaće u Općini i </w:t>
      </w:r>
      <w:proofErr w:type="spellStart"/>
      <w:r w:rsidRPr="00660C07">
        <w:t>Mandaleni</w:t>
      </w:r>
      <w:proofErr w:type="spellEnd"/>
      <w:r w:rsidRPr="00660C07">
        <w:t>.</w:t>
      </w:r>
    </w:p>
    <w:p w14:paraId="0DF874B5" w14:textId="77777777" w:rsidR="00660C07" w:rsidRPr="00660C07" w:rsidRDefault="00660C07" w:rsidP="00660C07">
      <w:pPr>
        <w:ind w:firstLine="720"/>
        <w:jc w:val="both"/>
      </w:pPr>
      <w:r w:rsidRPr="00660C07">
        <w:t xml:space="preserve"> U suradnji s Istarskom županijom uspješno je adaptirana i rekonstruirana OŠ Vladimir Nazor u </w:t>
      </w:r>
      <w:proofErr w:type="spellStart"/>
      <w:r w:rsidRPr="00660C07">
        <w:t>Krnici</w:t>
      </w:r>
      <w:proofErr w:type="spellEnd"/>
      <w:r w:rsidRPr="00660C07">
        <w:t xml:space="preserve">. Stvoreni su preduvjeti za održavanje nastave u Raklju uređenjem prostora u Župnoj kući i u Društvenom domu. </w:t>
      </w:r>
    </w:p>
    <w:p w14:paraId="0FA2095E" w14:textId="77777777" w:rsidR="00660C07" w:rsidRPr="00660C07" w:rsidRDefault="00660C07" w:rsidP="00660C07">
      <w:pPr>
        <w:ind w:firstLine="720"/>
        <w:jc w:val="both"/>
      </w:pPr>
      <w:r w:rsidRPr="00660C07">
        <w:t xml:space="preserve">Istarska županija dobila je sredstva za sufinanciranje izgradnje škole i školske sportske dvorane u </w:t>
      </w:r>
      <w:proofErr w:type="spellStart"/>
      <w:r w:rsidRPr="00660C07">
        <w:t>Marčani</w:t>
      </w:r>
      <w:proofErr w:type="spellEnd"/>
      <w:r w:rsidRPr="00660C07">
        <w:t xml:space="preserve"> u iznosu od 4.772 milijuna eura (procijenjena vrijednost investicije iznosi 7.44mil. eura.)</w:t>
      </w:r>
    </w:p>
    <w:p w14:paraId="564E04CF" w14:textId="77777777" w:rsidR="00660C07" w:rsidRPr="00660C07" w:rsidRDefault="00660C07" w:rsidP="00660C07">
      <w:pPr>
        <w:ind w:firstLine="720"/>
        <w:jc w:val="both"/>
      </w:pPr>
      <w:r w:rsidRPr="00660C07">
        <w:t xml:space="preserve">Uređena je fasada na područnoj školi pri OŠ Vladimir Nazor u </w:t>
      </w:r>
      <w:proofErr w:type="spellStart"/>
      <w:r w:rsidRPr="00660C07">
        <w:t>Krnici</w:t>
      </w:r>
      <w:proofErr w:type="spellEnd"/>
      <w:r w:rsidRPr="00660C07">
        <w:t xml:space="preserve">. </w:t>
      </w:r>
    </w:p>
    <w:p w14:paraId="0A1B52BE" w14:textId="77777777" w:rsidR="00660C07" w:rsidRPr="00660C07" w:rsidRDefault="00660C07" w:rsidP="00660C07">
      <w:pPr>
        <w:ind w:firstLine="720"/>
        <w:jc w:val="both"/>
      </w:pPr>
      <w:r w:rsidRPr="00660C07">
        <w:t>Uspješno je izrađena i donesena Strategije zelene urbane obnove Općine Marčana za razdoblje 2024. do 2030. godine.</w:t>
      </w:r>
    </w:p>
    <w:p w14:paraId="5541F8D2" w14:textId="77777777" w:rsidR="00660C07" w:rsidRPr="00660C07" w:rsidRDefault="00660C07" w:rsidP="00660C07">
      <w:pPr>
        <w:ind w:firstLine="720"/>
        <w:jc w:val="both"/>
      </w:pPr>
      <w:r w:rsidRPr="00660C07">
        <w:t xml:space="preserve">Održana je kulturno zabavna manifestacija od regionalnog pa i nacionalnog značaja u očuvanju lokalne glazbene i pjesničke baštine Festival melodije Istra i Kvarnera 2025. u </w:t>
      </w:r>
      <w:proofErr w:type="spellStart"/>
      <w:r w:rsidRPr="00660C07">
        <w:t>Krnici</w:t>
      </w:r>
      <w:proofErr w:type="spellEnd"/>
      <w:r w:rsidRPr="00660C07">
        <w:t xml:space="preserve">. </w:t>
      </w:r>
    </w:p>
    <w:p w14:paraId="5EF37A29" w14:textId="77777777" w:rsidR="00660C07" w:rsidRPr="00660C07" w:rsidRDefault="00660C07" w:rsidP="00660C07">
      <w:pPr>
        <w:ind w:firstLine="720"/>
        <w:jc w:val="both"/>
      </w:pPr>
      <w:r w:rsidRPr="00660C07">
        <w:t>Obavljene su sve aktivnosti oko organizacije i provedbe lokalnih izbora.</w:t>
      </w:r>
    </w:p>
    <w:p w14:paraId="3DA269FC" w14:textId="77777777" w:rsidR="00660C07" w:rsidRPr="00660C07" w:rsidRDefault="00660C07" w:rsidP="00660C07">
      <w:pPr>
        <w:ind w:firstLine="720"/>
        <w:jc w:val="both"/>
      </w:pPr>
      <w:r w:rsidRPr="00660C07">
        <w:t xml:space="preserve">U zgradi Dječjeg vrtića Vrtuljak u </w:t>
      </w:r>
      <w:proofErr w:type="spellStart"/>
      <w:r w:rsidRPr="00660C07">
        <w:t>Marčani</w:t>
      </w:r>
      <w:proofErr w:type="spellEnd"/>
      <w:r w:rsidRPr="00660C07">
        <w:t xml:space="preserve"> izvedeni su radovi na osposobljavanju  dodatnih prostora za odvijanje pedagoškog rada s pedagoškim grupama.</w:t>
      </w:r>
    </w:p>
    <w:p w14:paraId="1AC8C263" w14:textId="77777777" w:rsidR="00660C07" w:rsidRPr="00660C07" w:rsidRDefault="00660C07" w:rsidP="00660C07">
      <w:pPr>
        <w:ind w:firstLine="720"/>
        <w:jc w:val="both"/>
      </w:pPr>
      <w:r w:rsidRPr="00660C07">
        <w:t>U zgradi sjedišta Općine Marčana ugrađen je sustav klimatizacije, a također ugrađena je i fotonaponska elektrana.</w:t>
      </w:r>
    </w:p>
    <w:p w14:paraId="22D621A4" w14:textId="77777777" w:rsidR="00660C07" w:rsidRPr="00660C07" w:rsidRDefault="00660C07" w:rsidP="00660C07">
      <w:pPr>
        <w:ind w:firstLine="720"/>
        <w:jc w:val="both"/>
      </w:pPr>
      <w:r w:rsidRPr="00660C07">
        <w:t xml:space="preserve">Fotonaponska elektrana ugrađena je i na zgradi Dječjeg vrtića Vrtuljak u </w:t>
      </w:r>
      <w:proofErr w:type="spellStart"/>
      <w:r w:rsidRPr="00660C07">
        <w:t>Marčani</w:t>
      </w:r>
      <w:proofErr w:type="spellEnd"/>
      <w:r w:rsidRPr="00660C07">
        <w:t>.</w:t>
      </w:r>
    </w:p>
    <w:p w14:paraId="0BD5439C" w14:textId="77777777" w:rsidR="00660C07" w:rsidRPr="00660C07" w:rsidRDefault="00660C07" w:rsidP="00660C07">
      <w:pPr>
        <w:ind w:firstLine="720"/>
        <w:jc w:val="both"/>
      </w:pPr>
      <w:r w:rsidRPr="00660C07">
        <w:t>Tijekom čitave 2025. godine nastavilo se priključivanje korisnika na kanalizacijsku mrežu, zahvaljujući preklani dovršenom i funkcionalnom  pročistaču u Loboriki.</w:t>
      </w:r>
    </w:p>
    <w:p w14:paraId="0F8F5F89" w14:textId="77777777" w:rsidR="00660C07" w:rsidRPr="00660C07" w:rsidRDefault="00660C07" w:rsidP="00660C07">
      <w:pPr>
        <w:ind w:firstLine="720"/>
        <w:jc w:val="both"/>
      </w:pPr>
      <w:r w:rsidRPr="00660C07">
        <w:t xml:space="preserve"> Izvodili su se radovi izvanrednog održavanja županijske ceste ŽC 5118 dionica Pinezići-Vodnjan kao i izgradnje aglomeracije Pula -sjever.</w:t>
      </w:r>
    </w:p>
    <w:p w14:paraId="0A50D687" w14:textId="77777777" w:rsidR="00660C07" w:rsidRPr="00660C07" w:rsidRDefault="00660C07" w:rsidP="00660C07">
      <w:pPr>
        <w:ind w:firstLine="720"/>
        <w:jc w:val="both"/>
      </w:pPr>
      <w:r w:rsidRPr="00660C07">
        <w:t>Postavljene su umjetne izbočine na nerazvrstanoj cesti u Loboriki (NC 404).</w:t>
      </w:r>
    </w:p>
    <w:p w14:paraId="5A429EA8" w14:textId="77777777" w:rsidR="00660C07" w:rsidRPr="00660C07" w:rsidRDefault="00660C07" w:rsidP="00660C07">
      <w:pPr>
        <w:ind w:firstLine="720"/>
        <w:jc w:val="both"/>
      </w:pPr>
      <w:r w:rsidRPr="00660C07">
        <w:t>Sanirano je ukupno devet divljih odlagališta otpada i postavljene su table sa znakom zabrane odlaganja otpada</w:t>
      </w:r>
    </w:p>
    <w:p w14:paraId="48CD73EA" w14:textId="77777777" w:rsidR="00660C07" w:rsidRPr="00660C07" w:rsidRDefault="00660C07" w:rsidP="00660C07">
      <w:pPr>
        <w:ind w:firstLine="720"/>
        <w:jc w:val="both"/>
      </w:pPr>
      <w:r w:rsidRPr="00660C07">
        <w:t xml:space="preserve">Usvojen je Plan razvoja Općine Marčana za razdoblje od 2025. do 2030. godine. </w:t>
      </w:r>
    </w:p>
    <w:p w14:paraId="0CE4AC88" w14:textId="77777777" w:rsidR="00660C07" w:rsidRPr="00660C07" w:rsidRDefault="00660C07" w:rsidP="00660C07">
      <w:pPr>
        <w:ind w:firstLine="720"/>
        <w:jc w:val="both"/>
      </w:pPr>
      <w:r w:rsidRPr="00660C07">
        <w:t xml:space="preserve">Donesen je Urbanistički plan uređenja turističko razvojnog područja Sv. </w:t>
      </w:r>
      <w:proofErr w:type="spellStart"/>
      <w:r w:rsidRPr="00660C07">
        <w:t>Mikula</w:t>
      </w:r>
      <w:proofErr w:type="spellEnd"/>
      <w:r w:rsidRPr="00660C07">
        <w:t xml:space="preserve"> – Luka nautičkog turizma – marina </w:t>
      </w:r>
      <w:proofErr w:type="spellStart"/>
      <w:r w:rsidRPr="00660C07">
        <w:t>Rakalj</w:t>
      </w:r>
      <w:proofErr w:type="spellEnd"/>
      <w:r w:rsidRPr="00660C07">
        <w:t xml:space="preserve"> – Sveta Agneza, donesene su i Izmjene i dopune Urbanističkog plana uređenja </w:t>
      </w:r>
      <w:proofErr w:type="spellStart"/>
      <w:r w:rsidRPr="00660C07">
        <w:t>Krnički</w:t>
      </w:r>
      <w:proofErr w:type="spellEnd"/>
      <w:r w:rsidRPr="00660C07">
        <w:t xml:space="preserve"> porat – Sjeverozapad i Urbanističkog plana uređenja UTP </w:t>
      </w:r>
      <w:proofErr w:type="spellStart"/>
      <w:r w:rsidRPr="00660C07">
        <w:t>Blaz</w:t>
      </w:r>
      <w:proofErr w:type="spellEnd"/>
      <w:r w:rsidRPr="00660C07">
        <w:t xml:space="preserve"> – </w:t>
      </w:r>
      <w:proofErr w:type="spellStart"/>
      <w:r w:rsidRPr="00660C07">
        <w:t>Salamušćica</w:t>
      </w:r>
      <w:proofErr w:type="spellEnd"/>
      <w:r w:rsidRPr="00660C07">
        <w:t>, čime su osigurani prostorno planske pretpostavke za daljnji razvoj općine. Odlukom o Prvoj izmjeni i dopuni Odluke o izradi izmjene i dopune Prostornog plana uređenja Općine Marčana omogućen je postupak digitalizacije Prostornog plana, za koju su svrhu osigurana bespovratna EU sredstva.</w:t>
      </w:r>
    </w:p>
    <w:p w14:paraId="3BBB8CB0" w14:textId="77777777" w:rsidR="00660C07" w:rsidRPr="00660C07" w:rsidRDefault="00660C07" w:rsidP="00660C07">
      <w:pPr>
        <w:ind w:firstLine="720"/>
        <w:jc w:val="both"/>
      </w:pPr>
      <w:r w:rsidRPr="00660C07">
        <w:lastRenderedPageBreak/>
        <w:t xml:space="preserve">Dobivene su dvije građevinske dozvole za izgradnju vodovodne mreže u naselju </w:t>
      </w:r>
      <w:proofErr w:type="spellStart"/>
      <w:r w:rsidRPr="00660C07">
        <w:t>Rakalj</w:t>
      </w:r>
      <w:proofErr w:type="spellEnd"/>
      <w:r w:rsidRPr="00660C07">
        <w:t xml:space="preserve"> i za Staru Stanciju.</w:t>
      </w:r>
    </w:p>
    <w:p w14:paraId="25110705" w14:textId="77777777" w:rsidR="00660C07" w:rsidRPr="00660C07" w:rsidRDefault="00660C07" w:rsidP="00660C07">
      <w:pPr>
        <w:ind w:firstLine="720"/>
        <w:jc w:val="both"/>
      </w:pPr>
      <w:r w:rsidRPr="00660C07">
        <w:t xml:space="preserve">Tijekom čitave 2025. godine nastavilo se s pripremom i kandidiranjem projekata za financiranje sredstvima europskih fondova i drugih javnih izvora. </w:t>
      </w:r>
    </w:p>
    <w:p w14:paraId="1946FE72" w14:textId="77777777" w:rsidR="00660C07" w:rsidRPr="00660C07" w:rsidRDefault="00660C07" w:rsidP="00660C07">
      <w:pPr>
        <w:ind w:firstLine="720"/>
        <w:jc w:val="both"/>
      </w:pPr>
      <w:r w:rsidRPr="00660C07">
        <w:t>Općina Marčana će i u 2026. godini nastaviti sa urednim izvršavanjem svih programa javnih potreba iz svog samoupravnog djelokruga, kao i s razvojem i daljnjom pripremom projekata i njihovom kandidiranju za financiranje sredstvima europskih fondova i drugim javnim sredstvima.</w:t>
      </w:r>
    </w:p>
    <w:p w14:paraId="4EE78650" w14:textId="77777777" w:rsidR="00A41313" w:rsidRDefault="00A41313" w:rsidP="007B3E41">
      <w:pPr>
        <w:jc w:val="both"/>
      </w:pPr>
    </w:p>
    <w:p w14:paraId="0013D38F" w14:textId="54CE157F" w:rsidR="00A41313" w:rsidRDefault="00AC05DE" w:rsidP="007B3E41">
      <w:pPr>
        <w:jc w:val="both"/>
      </w:pPr>
      <w:r>
        <w:t>___________________________________________________________________________</w:t>
      </w:r>
    </w:p>
    <w:p w14:paraId="1A342333" w14:textId="77777777" w:rsidR="00AC05DE" w:rsidRDefault="00AC05DE" w:rsidP="007B3E41">
      <w:pPr>
        <w:jc w:val="both"/>
      </w:pPr>
    </w:p>
    <w:p w14:paraId="74AE2B9A" w14:textId="77777777" w:rsidR="00AC05DE" w:rsidRPr="00AC05DE" w:rsidRDefault="00AC05DE" w:rsidP="00AC05DE">
      <w:pPr>
        <w:spacing w:after="200" w:line="276" w:lineRule="auto"/>
        <w:ind w:firstLine="708"/>
        <w:jc w:val="both"/>
        <w:rPr>
          <w:rFonts w:eastAsia="Calibri"/>
          <w:lang w:eastAsia="en-US"/>
        </w:rPr>
      </w:pPr>
      <w:r w:rsidRPr="00AC05DE">
        <w:rPr>
          <w:rFonts w:eastAsia="Calibri"/>
          <w:lang w:eastAsia="en-US"/>
        </w:rPr>
        <w:t xml:space="preserve">Na temelju </w:t>
      </w:r>
      <w:bookmarkStart w:id="7" w:name="_Hlk194564888"/>
      <w:r w:rsidRPr="00AC05DE">
        <w:rPr>
          <w:rFonts w:eastAsia="Calibri"/>
          <w:lang w:eastAsia="en-US"/>
        </w:rPr>
        <w:t xml:space="preserve">članka 89. Zakona o proračunu (Narodne novine br. 144/21), </w:t>
      </w:r>
      <w:bookmarkEnd w:id="7"/>
      <w:r w:rsidRPr="00AC05DE">
        <w:rPr>
          <w:rFonts w:eastAsia="Calibri"/>
          <w:lang w:eastAsia="en-US"/>
        </w:rPr>
        <w:t xml:space="preserve">članka 215. st. 6. Pravilnika o proračunskom računovodstvu i računskom planu ( Narodne novine br. 158/2023) i članka 36. Statuta Općine (“Službene novine Općine Marčana 7/09., 2/13. i 4/13 – pročišćeni tekst,  3/21. i 14/22.), Općinsko vijeće Općine Marčana na svojoj  6. sjednici održanoj dana 28. svibnja 2026. godine, donosi   </w:t>
      </w:r>
    </w:p>
    <w:p w14:paraId="58CBAEA7" w14:textId="77777777" w:rsidR="00AC05DE" w:rsidRPr="00AC05DE" w:rsidRDefault="00AC05DE" w:rsidP="00AC05DE">
      <w:pPr>
        <w:spacing w:after="200" w:line="276" w:lineRule="auto"/>
        <w:jc w:val="both"/>
        <w:rPr>
          <w:rFonts w:eastAsia="Calibri"/>
          <w:lang w:eastAsia="en-US"/>
        </w:rPr>
      </w:pPr>
    </w:p>
    <w:p w14:paraId="18F81250" w14:textId="77777777" w:rsidR="00AC05DE" w:rsidRPr="00AC05DE" w:rsidRDefault="00AC05DE" w:rsidP="00AC05DE">
      <w:pPr>
        <w:jc w:val="center"/>
        <w:rPr>
          <w:rFonts w:eastAsia="Calibri"/>
          <w:b/>
          <w:lang w:eastAsia="en-US"/>
        </w:rPr>
      </w:pPr>
      <w:r w:rsidRPr="00AC05DE">
        <w:rPr>
          <w:rFonts w:eastAsia="Calibri"/>
          <w:b/>
          <w:lang w:eastAsia="en-US"/>
        </w:rPr>
        <w:t>ODLUKU O RASPODJELI REZULTATA</w:t>
      </w:r>
    </w:p>
    <w:p w14:paraId="7FE35223" w14:textId="77777777" w:rsidR="00AC05DE" w:rsidRPr="00AC05DE" w:rsidRDefault="00AC05DE" w:rsidP="00AC05DE">
      <w:pPr>
        <w:jc w:val="center"/>
        <w:rPr>
          <w:rFonts w:eastAsia="Calibri"/>
          <w:b/>
          <w:lang w:eastAsia="en-US"/>
        </w:rPr>
      </w:pPr>
      <w:r w:rsidRPr="00AC05DE">
        <w:rPr>
          <w:rFonts w:eastAsia="Calibri"/>
          <w:b/>
          <w:lang w:eastAsia="en-US"/>
        </w:rPr>
        <w:t>utvrđenog za proračunsku godinu 2025.</w:t>
      </w:r>
    </w:p>
    <w:p w14:paraId="4ED30911" w14:textId="77777777" w:rsidR="00AC05DE" w:rsidRPr="00AC05DE" w:rsidRDefault="00AC05DE" w:rsidP="00AC05DE">
      <w:pPr>
        <w:spacing w:after="200" w:line="276" w:lineRule="auto"/>
        <w:rPr>
          <w:rFonts w:eastAsia="Calibri"/>
          <w:lang w:eastAsia="en-US"/>
        </w:rPr>
      </w:pPr>
    </w:p>
    <w:p w14:paraId="110FB0DD" w14:textId="77777777" w:rsidR="00AC05DE" w:rsidRPr="00AC05DE" w:rsidRDefault="00AC05DE" w:rsidP="00AC05DE">
      <w:pPr>
        <w:spacing w:after="200" w:line="276" w:lineRule="auto"/>
        <w:jc w:val="center"/>
        <w:rPr>
          <w:rFonts w:eastAsia="Calibri"/>
          <w:b/>
          <w:lang w:eastAsia="en-US"/>
        </w:rPr>
      </w:pPr>
      <w:r w:rsidRPr="00AC05DE">
        <w:rPr>
          <w:rFonts w:eastAsia="Calibri"/>
          <w:b/>
          <w:lang w:eastAsia="en-US"/>
        </w:rPr>
        <w:t>Članak 1.</w:t>
      </w:r>
    </w:p>
    <w:p w14:paraId="2200C00A" w14:textId="77777777" w:rsidR="00AC05DE" w:rsidRPr="00AC05DE" w:rsidRDefault="00AC05DE" w:rsidP="00AC05DE">
      <w:pPr>
        <w:spacing w:after="200" w:line="276" w:lineRule="auto"/>
        <w:ind w:firstLine="708"/>
        <w:jc w:val="both"/>
        <w:rPr>
          <w:rFonts w:eastAsia="Calibri"/>
          <w:lang w:eastAsia="en-US"/>
        </w:rPr>
      </w:pPr>
      <w:r w:rsidRPr="00AC05DE">
        <w:rPr>
          <w:rFonts w:eastAsia="Calibri"/>
          <w:lang w:eastAsia="en-US"/>
        </w:rPr>
        <w:t xml:space="preserve">Ovom Odlukom provodi se raspodjela financijskog rezultata poslovanja Općine Marčana za 2025. godinu, iskazanog u njezinom financijskom izvješću za 2025. godinu, te se utvrđuje namjena i raspodjela viška neutrošenih prihoda utvrđenog Godišnjim financijskim izvještajem Općine Marčana za 2025. godinu, u svrhu knjigovodstvenog usklađenja na računima podskupine 922.  </w:t>
      </w:r>
    </w:p>
    <w:p w14:paraId="11D40A7D" w14:textId="77777777" w:rsidR="00AC05DE" w:rsidRPr="00AC05DE" w:rsidRDefault="00AC05DE" w:rsidP="00AC05DE">
      <w:pPr>
        <w:spacing w:after="200" w:line="276" w:lineRule="auto"/>
        <w:jc w:val="center"/>
        <w:rPr>
          <w:rFonts w:eastAsia="Calibri"/>
          <w:b/>
          <w:lang w:eastAsia="en-US"/>
        </w:rPr>
      </w:pPr>
      <w:r w:rsidRPr="00AC05DE">
        <w:rPr>
          <w:rFonts w:eastAsia="Calibri"/>
          <w:b/>
          <w:lang w:eastAsia="en-US"/>
        </w:rPr>
        <w:t>Članak 2.</w:t>
      </w:r>
    </w:p>
    <w:p w14:paraId="0EA3227F" w14:textId="77777777" w:rsidR="00AC05DE" w:rsidRPr="00AC05DE" w:rsidRDefault="00AC05DE" w:rsidP="00AC05DE">
      <w:pPr>
        <w:spacing w:line="276" w:lineRule="auto"/>
        <w:ind w:firstLine="708"/>
        <w:rPr>
          <w:rFonts w:eastAsia="Calibri"/>
          <w:lang w:eastAsia="en-US"/>
        </w:rPr>
      </w:pPr>
      <w:r w:rsidRPr="00AC05DE">
        <w:rPr>
          <w:rFonts w:eastAsia="Calibri"/>
          <w:lang w:eastAsia="en-US"/>
        </w:rPr>
        <w:t xml:space="preserve">Utvrđuje se da su na osnovnim računima podskupine 922 i u financijskim izvještajima Općine Marčana za proračunsku 2025. godinu iskazana slijedeća stanja: </w:t>
      </w:r>
    </w:p>
    <w:tbl>
      <w:tblPr>
        <w:tblStyle w:val="Reetkatablice20"/>
        <w:tblW w:w="0" w:type="auto"/>
        <w:tblLook w:val="04A0" w:firstRow="1" w:lastRow="0" w:firstColumn="1" w:lastColumn="0" w:noHBand="0" w:noVBand="1"/>
      </w:tblPr>
      <w:tblGrid>
        <w:gridCol w:w="1526"/>
        <w:gridCol w:w="4536"/>
        <w:gridCol w:w="2551"/>
      </w:tblGrid>
      <w:tr w:rsidR="00AC05DE" w:rsidRPr="00AC05DE" w14:paraId="1AC620D0" w14:textId="77777777" w:rsidTr="00BB1392">
        <w:tc>
          <w:tcPr>
            <w:tcW w:w="1526" w:type="dxa"/>
          </w:tcPr>
          <w:p w14:paraId="236F27BF" w14:textId="77777777" w:rsidR="00AC05DE" w:rsidRPr="00AC05DE" w:rsidRDefault="00AC05DE" w:rsidP="00AC05DE">
            <w:pPr>
              <w:jc w:val="center"/>
              <w:rPr>
                <w:rFonts w:eastAsia="Calibri"/>
                <w:lang w:eastAsia="en-US"/>
              </w:rPr>
            </w:pPr>
            <w:r w:rsidRPr="00AC05DE">
              <w:rPr>
                <w:rFonts w:eastAsia="Calibri"/>
                <w:lang w:eastAsia="en-US"/>
              </w:rPr>
              <w:t>Oznaka</w:t>
            </w:r>
          </w:p>
        </w:tc>
        <w:tc>
          <w:tcPr>
            <w:tcW w:w="4536" w:type="dxa"/>
          </w:tcPr>
          <w:p w14:paraId="7A549A68" w14:textId="77777777" w:rsidR="00AC05DE" w:rsidRPr="00AC05DE" w:rsidRDefault="00AC05DE" w:rsidP="00AC05DE">
            <w:pPr>
              <w:jc w:val="center"/>
              <w:rPr>
                <w:rFonts w:eastAsia="Calibri"/>
                <w:lang w:eastAsia="en-US"/>
              </w:rPr>
            </w:pPr>
            <w:r w:rsidRPr="00AC05DE">
              <w:rPr>
                <w:rFonts w:eastAsia="Calibri"/>
                <w:lang w:eastAsia="en-US"/>
              </w:rPr>
              <w:t>Opis</w:t>
            </w:r>
          </w:p>
        </w:tc>
        <w:tc>
          <w:tcPr>
            <w:tcW w:w="2551" w:type="dxa"/>
          </w:tcPr>
          <w:p w14:paraId="1AB487B0" w14:textId="77777777" w:rsidR="00AC05DE" w:rsidRPr="00AC05DE" w:rsidRDefault="00AC05DE" w:rsidP="00AC05DE">
            <w:pPr>
              <w:jc w:val="center"/>
              <w:rPr>
                <w:rFonts w:eastAsia="Calibri"/>
                <w:lang w:eastAsia="en-US"/>
              </w:rPr>
            </w:pPr>
            <w:r w:rsidRPr="00AC05DE">
              <w:rPr>
                <w:rFonts w:eastAsia="Calibri"/>
                <w:lang w:eastAsia="en-US"/>
              </w:rPr>
              <w:t>Stanje 31.12.2025.</w:t>
            </w:r>
          </w:p>
        </w:tc>
      </w:tr>
      <w:tr w:rsidR="00AC05DE" w:rsidRPr="00AC05DE" w14:paraId="78AAB50B" w14:textId="77777777" w:rsidTr="00BB1392">
        <w:tc>
          <w:tcPr>
            <w:tcW w:w="1526" w:type="dxa"/>
          </w:tcPr>
          <w:p w14:paraId="3DE5960B" w14:textId="77777777" w:rsidR="00AC05DE" w:rsidRPr="00AC05DE" w:rsidRDefault="00AC05DE" w:rsidP="00AC05DE">
            <w:pPr>
              <w:rPr>
                <w:rFonts w:eastAsia="Calibri"/>
                <w:lang w:eastAsia="en-US"/>
              </w:rPr>
            </w:pPr>
            <w:r w:rsidRPr="00AC05DE">
              <w:rPr>
                <w:rFonts w:eastAsia="Calibri"/>
                <w:lang w:eastAsia="en-US"/>
              </w:rPr>
              <w:t>92211</w:t>
            </w:r>
          </w:p>
        </w:tc>
        <w:tc>
          <w:tcPr>
            <w:tcW w:w="4536" w:type="dxa"/>
          </w:tcPr>
          <w:p w14:paraId="2BB9EC9A" w14:textId="77777777" w:rsidR="00AC05DE" w:rsidRPr="00AC05DE" w:rsidRDefault="00AC05DE" w:rsidP="00AC05DE">
            <w:pPr>
              <w:rPr>
                <w:rFonts w:eastAsia="Calibri"/>
                <w:lang w:eastAsia="en-US"/>
              </w:rPr>
            </w:pPr>
            <w:r w:rsidRPr="00AC05DE">
              <w:rPr>
                <w:rFonts w:eastAsia="Calibri"/>
                <w:lang w:eastAsia="en-US"/>
              </w:rPr>
              <w:t>Višak prihoda poslovanja</w:t>
            </w:r>
          </w:p>
        </w:tc>
        <w:tc>
          <w:tcPr>
            <w:tcW w:w="2551" w:type="dxa"/>
          </w:tcPr>
          <w:p w14:paraId="16B6AA29" w14:textId="77777777" w:rsidR="00AC05DE" w:rsidRPr="00AC05DE" w:rsidRDefault="00AC05DE" w:rsidP="00AC05DE">
            <w:pPr>
              <w:jc w:val="right"/>
              <w:rPr>
                <w:rFonts w:eastAsia="Calibri"/>
                <w:lang w:eastAsia="en-US"/>
              </w:rPr>
            </w:pPr>
            <w:r w:rsidRPr="00AC05DE">
              <w:rPr>
                <w:rFonts w:eastAsia="Calibri"/>
                <w:lang w:eastAsia="en-US"/>
              </w:rPr>
              <w:t xml:space="preserve">3.432.774,69 </w:t>
            </w:r>
          </w:p>
        </w:tc>
      </w:tr>
      <w:tr w:rsidR="00AC05DE" w:rsidRPr="00AC05DE" w14:paraId="3F50E267" w14:textId="77777777" w:rsidTr="00BB1392">
        <w:tc>
          <w:tcPr>
            <w:tcW w:w="1526" w:type="dxa"/>
          </w:tcPr>
          <w:p w14:paraId="47F05225" w14:textId="77777777" w:rsidR="00AC05DE" w:rsidRPr="00AC05DE" w:rsidRDefault="00AC05DE" w:rsidP="00AC05DE">
            <w:pPr>
              <w:rPr>
                <w:rFonts w:eastAsia="Calibri"/>
                <w:lang w:eastAsia="en-US"/>
              </w:rPr>
            </w:pPr>
            <w:r w:rsidRPr="00AC05DE">
              <w:rPr>
                <w:rFonts w:eastAsia="Calibri"/>
                <w:lang w:eastAsia="en-US"/>
              </w:rPr>
              <w:t>92214</w:t>
            </w:r>
          </w:p>
        </w:tc>
        <w:tc>
          <w:tcPr>
            <w:tcW w:w="4536" w:type="dxa"/>
          </w:tcPr>
          <w:p w14:paraId="698C25B0" w14:textId="77777777" w:rsidR="00AC05DE" w:rsidRPr="00AC05DE" w:rsidRDefault="00AC05DE" w:rsidP="00AC05DE">
            <w:pPr>
              <w:rPr>
                <w:rFonts w:eastAsia="Calibri"/>
                <w:lang w:eastAsia="en-US"/>
              </w:rPr>
            </w:pPr>
            <w:r w:rsidRPr="00AC05DE">
              <w:rPr>
                <w:rFonts w:eastAsia="Calibri"/>
                <w:lang w:eastAsia="en-US"/>
              </w:rPr>
              <w:t xml:space="preserve">Višak prihoda poslovanja ispravci iz prethodnih razdoblja </w:t>
            </w:r>
          </w:p>
        </w:tc>
        <w:tc>
          <w:tcPr>
            <w:tcW w:w="2551" w:type="dxa"/>
          </w:tcPr>
          <w:p w14:paraId="408EBF62" w14:textId="77777777" w:rsidR="00AC05DE" w:rsidRPr="00AC05DE" w:rsidRDefault="00AC05DE" w:rsidP="00AC05DE">
            <w:pPr>
              <w:jc w:val="right"/>
              <w:rPr>
                <w:rFonts w:eastAsia="Calibri"/>
                <w:lang w:eastAsia="en-US"/>
              </w:rPr>
            </w:pPr>
            <w:r w:rsidRPr="00AC05DE">
              <w:rPr>
                <w:rFonts w:eastAsia="Calibri"/>
                <w:lang w:eastAsia="en-US"/>
              </w:rPr>
              <w:t>0,50</w:t>
            </w:r>
          </w:p>
        </w:tc>
      </w:tr>
      <w:tr w:rsidR="00AC05DE" w:rsidRPr="00AC05DE" w14:paraId="46F61282" w14:textId="77777777" w:rsidTr="00BB1392">
        <w:tc>
          <w:tcPr>
            <w:tcW w:w="1526" w:type="dxa"/>
          </w:tcPr>
          <w:p w14:paraId="1D0A4E0E" w14:textId="77777777" w:rsidR="00AC05DE" w:rsidRPr="00AC05DE" w:rsidRDefault="00AC05DE" w:rsidP="00AC05DE">
            <w:pPr>
              <w:rPr>
                <w:rFonts w:eastAsia="Calibri"/>
                <w:lang w:eastAsia="en-US"/>
              </w:rPr>
            </w:pPr>
            <w:r w:rsidRPr="00AC05DE">
              <w:rPr>
                <w:rFonts w:eastAsia="Calibri"/>
                <w:lang w:eastAsia="en-US"/>
              </w:rPr>
              <w:t>92222</w:t>
            </w:r>
          </w:p>
        </w:tc>
        <w:tc>
          <w:tcPr>
            <w:tcW w:w="4536" w:type="dxa"/>
          </w:tcPr>
          <w:p w14:paraId="2F613140" w14:textId="77777777" w:rsidR="00AC05DE" w:rsidRPr="00AC05DE" w:rsidRDefault="00AC05DE" w:rsidP="00AC05DE">
            <w:pPr>
              <w:rPr>
                <w:rFonts w:eastAsia="Calibri"/>
                <w:lang w:eastAsia="en-US"/>
              </w:rPr>
            </w:pPr>
            <w:r w:rsidRPr="00AC05DE">
              <w:rPr>
                <w:rFonts w:eastAsia="Calibri"/>
                <w:lang w:eastAsia="en-US"/>
              </w:rPr>
              <w:t>Manjak prihoda od nefinancijske imovine</w:t>
            </w:r>
          </w:p>
        </w:tc>
        <w:tc>
          <w:tcPr>
            <w:tcW w:w="2551" w:type="dxa"/>
          </w:tcPr>
          <w:p w14:paraId="3EAB26A3" w14:textId="77777777" w:rsidR="00AC05DE" w:rsidRPr="00AC05DE" w:rsidRDefault="00AC05DE" w:rsidP="00AC05DE">
            <w:pPr>
              <w:jc w:val="right"/>
              <w:rPr>
                <w:rFonts w:eastAsia="Calibri"/>
                <w:lang w:eastAsia="en-US"/>
              </w:rPr>
            </w:pPr>
            <w:r w:rsidRPr="00AC05DE">
              <w:rPr>
                <w:rFonts w:eastAsia="Calibri"/>
                <w:lang w:eastAsia="en-US"/>
              </w:rPr>
              <w:t>-535.295,04</w:t>
            </w:r>
          </w:p>
        </w:tc>
      </w:tr>
      <w:tr w:rsidR="00AC05DE" w:rsidRPr="00AC05DE" w14:paraId="29178695" w14:textId="77777777" w:rsidTr="00BB1392">
        <w:tc>
          <w:tcPr>
            <w:tcW w:w="1526" w:type="dxa"/>
          </w:tcPr>
          <w:p w14:paraId="6930D027" w14:textId="77777777" w:rsidR="00AC05DE" w:rsidRPr="00AC05DE" w:rsidRDefault="00AC05DE" w:rsidP="00AC05DE">
            <w:pPr>
              <w:rPr>
                <w:rFonts w:eastAsia="Calibri"/>
                <w:lang w:eastAsia="en-US"/>
              </w:rPr>
            </w:pPr>
            <w:r w:rsidRPr="00AC05DE">
              <w:rPr>
                <w:rFonts w:eastAsia="Calibri"/>
                <w:lang w:eastAsia="en-US"/>
              </w:rPr>
              <w:t>92223</w:t>
            </w:r>
          </w:p>
        </w:tc>
        <w:tc>
          <w:tcPr>
            <w:tcW w:w="4536" w:type="dxa"/>
          </w:tcPr>
          <w:p w14:paraId="10AE5A96" w14:textId="77777777" w:rsidR="00AC05DE" w:rsidRPr="00AC05DE" w:rsidRDefault="00AC05DE" w:rsidP="00AC05DE">
            <w:pPr>
              <w:rPr>
                <w:rFonts w:eastAsia="Calibri"/>
                <w:lang w:eastAsia="en-US"/>
              </w:rPr>
            </w:pPr>
            <w:r w:rsidRPr="00AC05DE">
              <w:rPr>
                <w:rFonts w:eastAsia="Calibri"/>
                <w:lang w:eastAsia="en-US"/>
              </w:rPr>
              <w:t>Manjak primitaka od financijske imovine</w:t>
            </w:r>
          </w:p>
        </w:tc>
        <w:tc>
          <w:tcPr>
            <w:tcW w:w="2551" w:type="dxa"/>
          </w:tcPr>
          <w:p w14:paraId="0BD5EDFC" w14:textId="77777777" w:rsidR="00AC05DE" w:rsidRPr="00AC05DE" w:rsidRDefault="00AC05DE" w:rsidP="00AC05DE">
            <w:pPr>
              <w:jc w:val="right"/>
              <w:rPr>
                <w:rFonts w:eastAsia="Calibri"/>
                <w:lang w:eastAsia="en-US"/>
              </w:rPr>
            </w:pPr>
            <w:r w:rsidRPr="00AC05DE">
              <w:rPr>
                <w:rFonts w:eastAsia="Calibri"/>
                <w:lang w:eastAsia="en-US"/>
              </w:rPr>
              <w:t>-184.222,96</w:t>
            </w:r>
          </w:p>
        </w:tc>
      </w:tr>
      <w:tr w:rsidR="00AC05DE" w:rsidRPr="00AC05DE" w14:paraId="78194D1A" w14:textId="77777777" w:rsidTr="00BB1392">
        <w:tc>
          <w:tcPr>
            <w:tcW w:w="1526" w:type="dxa"/>
          </w:tcPr>
          <w:p w14:paraId="0692D827" w14:textId="77777777" w:rsidR="00AC05DE" w:rsidRPr="00AC05DE" w:rsidRDefault="00AC05DE" w:rsidP="00AC05DE">
            <w:pPr>
              <w:rPr>
                <w:rFonts w:eastAsia="Calibri"/>
                <w:lang w:eastAsia="en-US"/>
              </w:rPr>
            </w:pPr>
            <w:r w:rsidRPr="00AC05DE">
              <w:rPr>
                <w:rFonts w:eastAsia="Calibri"/>
                <w:lang w:eastAsia="en-US"/>
              </w:rPr>
              <w:t>92224</w:t>
            </w:r>
          </w:p>
        </w:tc>
        <w:tc>
          <w:tcPr>
            <w:tcW w:w="4536" w:type="dxa"/>
          </w:tcPr>
          <w:p w14:paraId="4A7AF15C" w14:textId="77777777" w:rsidR="00AC05DE" w:rsidRPr="00AC05DE" w:rsidRDefault="00AC05DE" w:rsidP="00AC05DE">
            <w:pPr>
              <w:rPr>
                <w:rFonts w:eastAsia="Calibri"/>
                <w:lang w:eastAsia="en-US"/>
              </w:rPr>
            </w:pPr>
            <w:r w:rsidRPr="00AC05DE">
              <w:rPr>
                <w:rFonts w:eastAsia="Calibri"/>
                <w:lang w:eastAsia="en-US"/>
              </w:rPr>
              <w:t>Manjak prihoda poslovanja ispravci iz prethodnih razdoblja</w:t>
            </w:r>
          </w:p>
        </w:tc>
        <w:tc>
          <w:tcPr>
            <w:tcW w:w="2551" w:type="dxa"/>
          </w:tcPr>
          <w:p w14:paraId="698A422B" w14:textId="77777777" w:rsidR="00AC05DE" w:rsidRPr="00AC05DE" w:rsidRDefault="00AC05DE" w:rsidP="00AC05DE">
            <w:pPr>
              <w:jc w:val="right"/>
              <w:rPr>
                <w:rFonts w:eastAsia="Calibri"/>
                <w:lang w:eastAsia="en-US"/>
              </w:rPr>
            </w:pPr>
            <w:r w:rsidRPr="00AC05DE">
              <w:rPr>
                <w:rFonts w:eastAsia="Calibri"/>
                <w:lang w:eastAsia="en-US"/>
              </w:rPr>
              <w:t>-3.117,14</w:t>
            </w:r>
          </w:p>
        </w:tc>
      </w:tr>
      <w:tr w:rsidR="00AC05DE" w:rsidRPr="00AC05DE" w14:paraId="0599BBAA" w14:textId="77777777" w:rsidTr="00BB1392">
        <w:tc>
          <w:tcPr>
            <w:tcW w:w="6062" w:type="dxa"/>
            <w:gridSpan w:val="2"/>
          </w:tcPr>
          <w:p w14:paraId="7DAFC458" w14:textId="77777777" w:rsidR="00AC05DE" w:rsidRPr="00AC05DE" w:rsidRDefault="00AC05DE" w:rsidP="00AC05DE">
            <w:pPr>
              <w:rPr>
                <w:rFonts w:eastAsia="Calibri"/>
                <w:b/>
                <w:lang w:eastAsia="en-US"/>
              </w:rPr>
            </w:pPr>
            <w:r w:rsidRPr="00AC05DE">
              <w:rPr>
                <w:rFonts w:eastAsia="Calibri"/>
                <w:b/>
                <w:lang w:eastAsia="en-US"/>
              </w:rPr>
              <w:t xml:space="preserve">                                      Ukupno </w:t>
            </w:r>
          </w:p>
        </w:tc>
        <w:tc>
          <w:tcPr>
            <w:tcW w:w="2551" w:type="dxa"/>
          </w:tcPr>
          <w:p w14:paraId="5B0C655E" w14:textId="77777777" w:rsidR="00AC05DE" w:rsidRPr="00AC05DE" w:rsidRDefault="00AC05DE" w:rsidP="00AC05DE">
            <w:pPr>
              <w:jc w:val="right"/>
              <w:rPr>
                <w:rFonts w:eastAsia="Calibri"/>
                <w:b/>
                <w:lang w:eastAsia="en-US"/>
              </w:rPr>
            </w:pPr>
            <w:r w:rsidRPr="00AC05DE">
              <w:rPr>
                <w:rFonts w:eastAsia="Calibri"/>
                <w:b/>
                <w:lang w:eastAsia="en-US"/>
              </w:rPr>
              <w:fldChar w:fldCharType="begin"/>
            </w:r>
            <w:r w:rsidRPr="00AC05DE">
              <w:rPr>
                <w:rFonts w:eastAsia="Calibri"/>
                <w:b/>
                <w:lang w:eastAsia="en-US"/>
              </w:rPr>
              <w:instrText xml:space="preserve"> =SUM(ABOVE) </w:instrText>
            </w:r>
            <w:r w:rsidRPr="00AC05DE">
              <w:rPr>
                <w:rFonts w:eastAsia="Calibri"/>
                <w:b/>
                <w:lang w:eastAsia="en-US"/>
              </w:rPr>
              <w:fldChar w:fldCharType="separate"/>
            </w:r>
            <w:r w:rsidRPr="00AC05DE">
              <w:rPr>
                <w:rFonts w:eastAsia="Calibri"/>
                <w:b/>
                <w:noProof/>
                <w:lang w:eastAsia="en-US"/>
              </w:rPr>
              <w:t>2.710.140,05</w:t>
            </w:r>
            <w:r w:rsidRPr="00AC05DE">
              <w:rPr>
                <w:rFonts w:eastAsia="Calibri"/>
                <w:b/>
                <w:lang w:eastAsia="en-US"/>
              </w:rPr>
              <w:fldChar w:fldCharType="end"/>
            </w:r>
          </w:p>
        </w:tc>
      </w:tr>
    </w:tbl>
    <w:p w14:paraId="75C12D8A" w14:textId="77777777" w:rsidR="00AC05DE" w:rsidRPr="00AC05DE" w:rsidRDefault="00AC05DE" w:rsidP="00AC05DE">
      <w:pPr>
        <w:spacing w:line="276" w:lineRule="auto"/>
        <w:rPr>
          <w:rFonts w:eastAsia="Calibri"/>
          <w:lang w:eastAsia="en-US"/>
        </w:rPr>
      </w:pPr>
    </w:p>
    <w:p w14:paraId="0EFCFD99" w14:textId="77777777" w:rsidR="00AC05DE" w:rsidRPr="00AC05DE" w:rsidRDefault="00AC05DE" w:rsidP="00AC05DE">
      <w:pPr>
        <w:spacing w:line="276" w:lineRule="auto"/>
        <w:rPr>
          <w:rFonts w:eastAsia="Calibri"/>
          <w:lang w:eastAsia="en-US"/>
        </w:rPr>
      </w:pPr>
      <w:r w:rsidRPr="00AC05DE">
        <w:rPr>
          <w:rFonts w:eastAsia="Calibri"/>
          <w:lang w:eastAsia="en-US"/>
        </w:rPr>
        <w:t xml:space="preserve">         Financijski rezultat iz stavka 1. Ovog članka preraspodjeljuje se na osnovnim računima podskupine  922 po aktivnostima i izvorima financiranja.</w:t>
      </w:r>
    </w:p>
    <w:p w14:paraId="1A9990CE" w14:textId="77777777" w:rsidR="00AC05DE" w:rsidRPr="00AC05DE" w:rsidRDefault="00AC05DE" w:rsidP="00AC05DE">
      <w:pPr>
        <w:spacing w:line="276" w:lineRule="auto"/>
        <w:rPr>
          <w:rFonts w:eastAsia="Calibri"/>
          <w:lang w:eastAsia="en-US"/>
        </w:rPr>
      </w:pPr>
      <w:r w:rsidRPr="00AC05DE">
        <w:rPr>
          <w:rFonts w:eastAsia="Calibri"/>
          <w:lang w:eastAsia="en-US"/>
        </w:rPr>
        <w:t xml:space="preserve">         </w:t>
      </w:r>
    </w:p>
    <w:p w14:paraId="1054E77C" w14:textId="77777777" w:rsidR="00AC05DE" w:rsidRPr="00AC05DE" w:rsidRDefault="00AC05DE" w:rsidP="00AC05DE">
      <w:pPr>
        <w:spacing w:after="200" w:line="276" w:lineRule="auto"/>
        <w:jc w:val="center"/>
        <w:rPr>
          <w:rFonts w:eastAsia="Calibri"/>
          <w:b/>
          <w:lang w:eastAsia="en-US"/>
        </w:rPr>
      </w:pPr>
      <w:r w:rsidRPr="00AC05DE">
        <w:rPr>
          <w:rFonts w:eastAsia="Calibri"/>
          <w:b/>
          <w:lang w:eastAsia="en-US"/>
        </w:rPr>
        <w:t>Članak 3.</w:t>
      </w:r>
    </w:p>
    <w:p w14:paraId="24413FD0" w14:textId="77777777" w:rsidR="00AC05DE" w:rsidRPr="00AC05DE" w:rsidRDefault="00AC05DE" w:rsidP="00AC05DE">
      <w:pPr>
        <w:spacing w:after="200" w:line="276" w:lineRule="auto"/>
        <w:jc w:val="both"/>
        <w:rPr>
          <w:rFonts w:eastAsia="Calibri"/>
          <w:lang w:eastAsia="en-US"/>
        </w:rPr>
      </w:pPr>
      <w:r w:rsidRPr="00AC05DE">
        <w:rPr>
          <w:rFonts w:eastAsia="Calibri"/>
          <w:lang w:eastAsia="en-US"/>
        </w:rPr>
        <w:lastRenderedPageBreak/>
        <w:t xml:space="preserve">            Ovom Odlukom utvrđeni višak prihoda  za 2025. godinu u ukupnom iznosu od 3.432.775,19 EUR (višak tekuće godine 3.432.774,69 EUR uvećan za višak prihoda ispravak prethodnih  razdoblja 0,50 EUR), prebijaju se kako slijedi: </w:t>
      </w:r>
    </w:p>
    <w:p w14:paraId="7639D824" w14:textId="77777777" w:rsidR="00AC05DE" w:rsidRPr="00AC05DE" w:rsidRDefault="00AC05DE">
      <w:pPr>
        <w:numPr>
          <w:ilvl w:val="0"/>
          <w:numId w:val="20"/>
        </w:numPr>
        <w:spacing w:after="200" w:line="276" w:lineRule="auto"/>
        <w:rPr>
          <w:rFonts w:eastAsia="Calibri"/>
          <w:lang w:eastAsia="en-US"/>
        </w:rPr>
      </w:pPr>
      <w:r w:rsidRPr="00AC05DE">
        <w:rPr>
          <w:rFonts w:eastAsia="Calibri"/>
          <w:lang w:eastAsia="en-US"/>
        </w:rPr>
        <w:t>92222 manjak prihoda od nefinancijske imovine u iznosu 535.295,04 EUR,</w:t>
      </w:r>
    </w:p>
    <w:p w14:paraId="2425C528" w14:textId="77777777" w:rsidR="00AC05DE" w:rsidRPr="00AC05DE" w:rsidRDefault="00AC05DE">
      <w:pPr>
        <w:numPr>
          <w:ilvl w:val="0"/>
          <w:numId w:val="20"/>
        </w:numPr>
        <w:spacing w:after="200" w:line="276" w:lineRule="auto"/>
        <w:rPr>
          <w:rFonts w:eastAsia="Calibri"/>
          <w:lang w:eastAsia="en-US"/>
        </w:rPr>
      </w:pPr>
      <w:r w:rsidRPr="00AC05DE">
        <w:rPr>
          <w:rFonts w:eastAsia="Calibri"/>
          <w:lang w:eastAsia="en-US"/>
        </w:rPr>
        <w:t>92223 manjak prihoda od financijske imovine u iznosu 184.222,96 EUR,</w:t>
      </w:r>
    </w:p>
    <w:p w14:paraId="58094E8B" w14:textId="77777777" w:rsidR="00AC05DE" w:rsidRPr="00AC05DE" w:rsidRDefault="00AC05DE">
      <w:pPr>
        <w:numPr>
          <w:ilvl w:val="0"/>
          <w:numId w:val="20"/>
        </w:numPr>
        <w:spacing w:after="200" w:line="276" w:lineRule="auto"/>
        <w:rPr>
          <w:rFonts w:eastAsia="Calibri"/>
          <w:lang w:eastAsia="en-US"/>
        </w:rPr>
      </w:pPr>
      <w:r w:rsidRPr="00AC05DE">
        <w:rPr>
          <w:rFonts w:eastAsia="Calibri"/>
          <w:lang w:eastAsia="en-US"/>
        </w:rPr>
        <w:t>92224manjak prihoda poslovanja ispravci iz prethodnih razdoblja u iznosu od 3.117,14 EUR.</w:t>
      </w:r>
    </w:p>
    <w:p w14:paraId="7817217B" w14:textId="77777777" w:rsidR="00AC05DE" w:rsidRPr="00AC05DE" w:rsidRDefault="00AC05DE" w:rsidP="00AC05DE">
      <w:pPr>
        <w:rPr>
          <w:rFonts w:ascii="Arial" w:hAnsi="Arial" w:cs="Arial"/>
        </w:rPr>
      </w:pPr>
      <w:r w:rsidRPr="00AC05DE">
        <w:rPr>
          <w:rFonts w:ascii="Calibri" w:eastAsia="Calibri" w:hAnsi="Calibri"/>
          <w:sz w:val="22"/>
          <w:szCs w:val="22"/>
          <w:lang w:eastAsia="en-US"/>
        </w:rPr>
        <w:tab/>
      </w:r>
    </w:p>
    <w:p w14:paraId="2A6C569C" w14:textId="77777777" w:rsidR="00AC05DE" w:rsidRPr="00AC05DE" w:rsidRDefault="00AC05DE" w:rsidP="00AC05DE">
      <w:pPr>
        <w:ind w:left="360"/>
        <w:rPr>
          <w:rFonts w:ascii="Arial" w:hAnsi="Arial" w:cs="Arial"/>
        </w:rPr>
      </w:pPr>
    </w:p>
    <w:p w14:paraId="194359F1" w14:textId="77777777" w:rsidR="00AC05DE" w:rsidRPr="00AC05DE" w:rsidRDefault="00AC05DE" w:rsidP="00AC05DE">
      <w:pPr>
        <w:jc w:val="both"/>
        <w:rPr>
          <w:rFonts w:eastAsia="Calibri"/>
          <w:lang w:eastAsia="en-US"/>
        </w:rPr>
      </w:pPr>
      <w:r w:rsidRPr="00AC05DE">
        <w:rPr>
          <w:rFonts w:eastAsia="Calibri"/>
          <w:lang w:eastAsia="en-US"/>
        </w:rPr>
        <w:t>Pozitivne stavke rezultata (Viškovi):</w:t>
      </w:r>
    </w:p>
    <w:p w14:paraId="47DE4007" w14:textId="77777777" w:rsidR="00AC05DE" w:rsidRPr="00AC05DE" w:rsidRDefault="00AC05DE" w:rsidP="00AC05DE">
      <w:pPr>
        <w:jc w:val="both"/>
        <w:rPr>
          <w:rFonts w:eastAsia="Calibri"/>
          <w:lang w:eastAsia="en-US"/>
        </w:rPr>
      </w:pPr>
      <w:r w:rsidRPr="00AC05DE">
        <w:rPr>
          <w:rFonts w:eastAsia="Calibri"/>
          <w:lang w:eastAsia="en-US"/>
        </w:rPr>
        <w:t>-Na računu 92211 (Višak prihoda poslovanja) evidentiran je značajan suficit u iznosu od 3.432.774,69 EUR, koji je rezultat veće dinamike naplate proračunskih prihoda (poslovanja) u odnosu na izvršene rashode.</w:t>
      </w:r>
    </w:p>
    <w:p w14:paraId="344B1F57" w14:textId="77777777" w:rsidR="00AC05DE" w:rsidRPr="00AC05DE" w:rsidRDefault="00AC05DE" w:rsidP="00AC05DE">
      <w:pPr>
        <w:jc w:val="both"/>
        <w:rPr>
          <w:rFonts w:eastAsia="Calibri"/>
          <w:lang w:eastAsia="en-US"/>
        </w:rPr>
      </w:pPr>
      <w:r w:rsidRPr="00AC05DE">
        <w:rPr>
          <w:rFonts w:eastAsia="Calibri"/>
          <w:lang w:eastAsia="en-US"/>
        </w:rPr>
        <w:t xml:space="preserve">-Na računu 92214 (Višak prihoda poslovanja - ispravci iz prethodnih razdoblja) utvrđen je simboličan iznos od 0,50 EUR na ime naknadno dostavljenih odobrenja dobavljača. </w:t>
      </w:r>
    </w:p>
    <w:p w14:paraId="40FE1B6E" w14:textId="77777777" w:rsidR="00AC05DE" w:rsidRPr="00AC05DE" w:rsidRDefault="00AC05DE" w:rsidP="00AC05DE">
      <w:pPr>
        <w:jc w:val="both"/>
        <w:rPr>
          <w:rFonts w:eastAsia="Calibri"/>
          <w:lang w:eastAsia="en-US"/>
        </w:rPr>
      </w:pPr>
      <w:r w:rsidRPr="00AC05DE">
        <w:rPr>
          <w:rFonts w:eastAsia="Calibri"/>
          <w:lang w:eastAsia="en-US"/>
        </w:rPr>
        <w:t>Ukupni bruto ostvareni višak iznosi 3.432.775,19 EUR.</w:t>
      </w:r>
    </w:p>
    <w:p w14:paraId="6F6F2818" w14:textId="77777777" w:rsidR="00AC05DE" w:rsidRPr="00AC05DE" w:rsidRDefault="00AC05DE" w:rsidP="00AC05DE">
      <w:pPr>
        <w:jc w:val="both"/>
        <w:rPr>
          <w:rFonts w:eastAsia="Calibri"/>
          <w:lang w:eastAsia="en-US"/>
        </w:rPr>
      </w:pPr>
      <w:r w:rsidRPr="00AC05DE">
        <w:rPr>
          <w:rFonts w:eastAsia="Calibri"/>
          <w:lang w:eastAsia="en-US"/>
        </w:rPr>
        <w:t>Negativne stavke rezultata (Manjkovi):</w:t>
      </w:r>
    </w:p>
    <w:p w14:paraId="16621875" w14:textId="77777777" w:rsidR="00AC05DE" w:rsidRPr="00AC05DE" w:rsidRDefault="00AC05DE" w:rsidP="00AC05DE">
      <w:pPr>
        <w:jc w:val="both"/>
        <w:rPr>
          <w:rFonts w:eastAsia="Calibri"/>
          <w:lang w:eastAsia="en-US"/>
        </w:rPr>
      </w:pPr>
      <w:r w:rsidRPr="00AC05DE">
        <w:rPr>
          <w:rFonts w:eastAsia="Calibri"/>
          <w:lang w:eastAsia="en-US"/>
        </w:rPr>
        <w:t>-Na računu 92222 (Manjak prihoda od nefinancijske imovine) iskazan je manjak od -535.295,04 EUR. Ovaj manjak je izravna posljedica intenzivnog investicijskog ciklusa i kapitalnih ulaganja u kojima su rashodi za nabavu dugotrajne imovine nadmašili namjenske prihode od prodaje imovine (što je uobičajeno kod provedbe kapitalnih projekata sufinanciranih iz drugih izvora).</w:t>
      </w:r>
    </w:p>
    <w:p w14:paraId="4C50FE2B" w14:textId="77777777" w:rsidR="00AC05DE" w:rsidRPr="00AC05DE" w:rsidRDefault="00AC05DE" w:rsidP="00AC05DE">
      <w:pPr>
        <w:jc w:val="both"/>
        <w:rPr>
          <w:rFonts w:eastAsia="Calibri"/>
          <w:lang w:eastAsia="en-US"/>
        </w:rPr>
      </w:pPr>
      <w:r w:rsidRPr="00AC05DE">
        <w:rPr>
          <w:rFonts w:eastAsia="Calibri"/>
          <w:lang w:eastAsia="en-US"/>
        </w:rPr>
        <w:t>-Na računu 92223 (Manjak primitaka od financijske imovine) iskazan je negativan saldo od -184.222,96 EUR, koji se odnosi na izvršene otplate glavnica primljenih kredita i zajmova u odnosu na primitke.</w:t>
      </w:r>
    </w:p>
    <w:p w14:paraId="5A33A444" w14:textId="77777777" w:rsidR="00AC05DE" w:rsidRPr="00AC05DE" w:rsidRDefault="00AC05DE" w:rsidP="00AC05DE">
      <w:pPr>
        <w:jc w:val="both"/>
        <w:rPr>
          <w:rFonts w:eastAsia="Calibri"/>
          <w:lang w:eastAsia="en-US"/>
        </w:rPr>
      </w:pPr>
      <w:r w:rsidRPr="00AC05DE">
        <w:rPr>
          <w:rFonts w:eastAsia="Calibri"/>
          <w:lang w:eastAsia="en-US"/>
        </w:rPr>
        <w:t>-Na računu 92224 (Manjak prihoda poslovanja - ispravci iz prethodnih razdoblja) proknjižen je iznos od -3.117,14 EUR na ime naknadno utvrđenih obveza ili ispravaka iz ranijih godina.</w:t>
      </w:r>
    </w:p>
    <w:p w14:paraId="0A31AD15" w14:textId="77777777" w:rsidR="00AC05DE" w:rsidRPr="00AC05DE" w:rsidRDefault="00AC05DE" w:rsidP="00AC05DE">
      <w:pPr>
        <w:jc w:val="both"/>
        <w:rPr>
          <w:rFonts w:eastAsia="Calibri"/>
          <w:lang w:eastAsia="en-US"/>
        </w:rPr>
      </w:pPr>
      <w:r w:rsidRPr="00AC05DE">
        <w:rPr>
          <w:rFonts w:eastAsia="Calibri"/>
          <w:lang w:eastAsia="en-US"/>
        </w:rPr>
        <w:t>Ukupni preneseni manjkovi iznose -722.635,14 EUR.</w:t>
      </w:r>
    </w:p>
    <w:p w14:paraId="2EC9B315" w14:textId="77777777" w:rsidR="00AC05DE" w:rsidRPr="00AC05DE" w:rsidRDefault="00AC05DE" w:rsidP="00AC05DE">
      <w:pPr>
        <w:jc w:val="both"/>
        <w:rPr>
          <w:rFonts w:eastAsia="Calibri"/>
          <w:lang w:eastAsia="en-US"/>
        </w:rPr>
      </w:pPr>
      <w:r w:rsidRPr="00AC05DE">
        <w:rPr>
          <w:rFonts w:eastAsia="Calibri"/>
          <w:lang w:eastAsia="en-US"/>
        </w:rPr>
        <w:t>Sukladno proračunskim načelima prvenstva pokrića manjkova, ovom se Odlukom dio ostvarenog viška poslovanja (iz računa 92211 i 92214) u iznosu od 722.635,14 EUR namjenski i trenutno raspoređuje za potpuno zatvaranje i pokriće prenesenih manjkova na računima 92222, 92223 i 92224.</w:t>
      </w:r>
    </w:p>
    <w:p w14:paraId="0AE7E5CE" w14:textId="77777777" w:rsidR="00AC05DE" w:rsidRPr="00AC05DE" w:rsidRDefault="00AC05DE" w:rsidP="00AC05DE">
      <w:pPr>
        <w:jc w:val="both"/>
        <w:rPr>
          <w:rFonts w:eastAsia="Calibri"/>
          <w:lang w:eastAsia="en-US"/>
        </w:rPr>
      </w:pPr>
    </w:p>
    <w:p w14:paraId="7D67B3A6" w14:textId="77777777" w:rsidR="00AC05DE" w:rsidRPr="00AC05DE" w:rsidRDefault="00AC05DE" w:rsidP="00AC05DE">
      <w:pPr>
        <w:jc w:val="both"/>
        <w:rPr>
          <w:rFonts w:eastAsia="Calibri"/>
          <w:lang w:eastAsia="en-US"/>
        </w:rPr>
      </w:pPr>
    </w:p>
    <w:p w14:paraId="0E63E0C4" w14:textId="77777777" w:rsidR="00AC05DE" w:rsidRPr="00AC05DE" w:rsidRDefault="00AC05DE" w:rsidP="00AC05DE">
      <w:pPr>
        <w:rPr>
          <w:rFonts w:ascii="Calibri" w:eastAsia="Calibri" w:hAnsi="Calibri"/>
          <w:sz w:val="22"/>
          <w:szCs w:val="22"/>
          <w:lang w:eastAsia="en-US"/>
        </w:rPr>
      </w:pPr>
    </w:p>
    <w:p w14:paraId="28B2839D" w14:textId="77777777" w:rsidR="00AC05DE" w:rsidRPr="00AC05DE" w:rsidRDefault="00AC05DE" w:rsidP="00AC05DE">
      <w:pPr>
        <w:jc w:val="center"/>
        <w:rPr>
          <w:rFonts w:eastAsia="Calibri"/>
          <w:b/>
          <w:lang w:eastAsia="en-US"/>
        </w:rPr>
      </w:pPr>
      <w:r w:rsidRPr="00AC05DE">
        <w:rPr>
          <w:rFonts w:eastAsia="Calibri"/>
          <w:b/>
          <w:lang w:eastAsia="en-US"/>
        </w:rPr>
        <w:t>Članak 4.</w:t>
      </w:r>
    </w:p>
    <w:p w14:paraId="636FF1A7" w14:textId="77777777" w:rsidR="00AC05DE" w:rsidRPr="00AC05DE" w:rsidRDefault="00AC05DE" w:rsidP="00AC05DE">
      <w:pPr>
        <w:jc w:val="both"/>
        <w:rPr>
          <w:rFonts w:ascii="Calibri" w:eastAsia="Calibri" w:hAnsi="Calibri"/>
          <w:sz w:val="22"/>
          <w:szCs w:val="22"/>
          <w:lang w:eastAsia="en-US"/>
        </w:rPr>
      </w:pPr>
      <w:r w:rsidRPr="00AC05DE">
        <w:rPr>
          <w:rFonts w:eastAsia="Calibri"/>
          <w:lang w:eastAsia="en-US"/>
        </w:rPr>
        <w:t xml:space="preserve">       Svođenjem svih navedenih računa podskupine 922, bruto viškovi su u potpunosti pokrili   sve iskazane manjkove, čime je generiran konačan neto preneseni višak poslovanja u iznosu od 2.710.140,05 EUR koji se sastoji od:</w:t>
      </w:r>
    </w:p>
    <w:p w14:paraId="589688C8" w14:textId="77777777" w:rsidR="00AC05DE" w:rsidRPr="00AC05DE" w:rsidRDefault="00AC05DE" w:rsidP="00AC05DE">
      <w:pPr>
        <w:rPr>
          <w:rFonts w:eastAsia="Calibri"/>
          <w:lang w:eastAsia="en-US"/>
        </w:rPr>
      </w:pPr>
    </w:p>
    <w:tbl>
      <w:tblPr>
        <w:tblStyle w:val="Reetkatablice20"/>
        <w:tblW w:w="0" w:type="auto"/>
        <w:tblLook w:val="04A0" w:firstRow="1" w:lastRow="0" w:firstColumn="1" w:lastColumn="0" w:noHBand="0" w:noVBand="1"/>
      </w:tblPr>
      <w:tblGrid>
        <w:gridCol w:w="2124"/>
        <w:gridCol w:w="2520"/>
        <w:gridCol w:w="2268"/>
        <w:gridCol w:w="1701"/>
      </w:tblGrid>
      <w:tr w:rsidR="00AC05DE" w:rsidRPr="00AC05DE" w14:paraId="0988922B" w14:textId="77777777" w:rsidTr="00BB1392">
        <w:tc>
          <w:tcPr>
            <w:tcW w:w="2124" w:type="dxa"/>
            <w:vMerge w:val="restart"/>
          </w:tcPr>
          <w:p w14:paraId="220A36D3" w14:textId="77777777" w:rsidR="00AC05DE" w:rsidRPr="00AC05DE" w:rsidRDefault="00AC05DE" w:rsidP="00AC05DE">
            <w:pPr>
              <w:rPr>
                <w:rFonts w:eastAsia="Calibri"/>
                <w:sz w:val="20"/>
                <w:szCs w:val="20"/>
                <w:lang w:eastAsia="en-US"/>
              </w:rPr>
            </w:pPr>
          </w:p>
          <w:p w14:paraId="7CE61224" w14:textId="77777777" w:rsidR="00AC05DE" w:rsidRPr="00AC05DE" w:rsidRDefault="00AC05DE" w:rsidP="00AC05DE">
            <w:pPr>
              <w:rPr>
                <w:rFonts w:eastAsia="Calibri"/>
                <w:sz w:val="20"/>
                <w:szCs w:val="20"/>
                <w:lang w:eastAsia="en-US"/>
              </w:rPr>
            </w:pPr>
            <w:r w:rsidRPr="00AC05DE">
              <w:rPr>
                <w:rFonts w:eastAsia="Calibri"/>
                <w:sz w:val="20"/>
                <w:szCs w:val="20"/>
                <w:lang w:eastAsia="en-US"/>
              </w:rPr>
              <w:t>Izvor</w:t>
            </w:r>
          </w:p>
        </w:tc>
        <w:tc>
          <w:tcPr>
            <w:tcW w:w="2520" w:type="dxa"/>
          </w:tcPr>
          <w:p w14:paraId="2152F8F3" w14:textId="77777777" w:rsidR="00AC05DE" w:rsidRPr="00AC05DE" w:rsidRDefault="00AC05DE" w:rsidP="00AC05DE">
            <w:pPr>
              <w:jc w:val="center"/>
              <w:rPr>
                <w:rFonts w:eastAsia="Calibri"/>
                <w:sz w:val="20"/>
                <w:szCs w:val="20"/>
                <w:lang w:eastAsia="en-US"/>
              </w:rPr>
            </w:pPr>
            <w:r w:rsidRPr="00AC05DE">
              <w:rPr>
                <w:rFonts w:eastAsia="Calibri"/>
                <w:sz w:val="20"/>
                <w:szCs w:val="20"/>
                <w:lang w:eastAsia="en-US"/>
              </w:rPr>
              <w:t>92211</w:t>
            </w:r>
          </w:p>
        </w:tc>
        <w:tc>
          <w:tcPr>
            <w:tcW w:w="2268" w:type="dxa"/>
          </w:tcPr>
          <w:p w14:paraId="07253E26" w14:textId="77777777" w:rsidR="00AC05DE" w:rsidRPr="00AC05DE" w:rsidRDefault="00AC05DE" w:rsidP="00AC05DE">
            <w:pPr>
              <w:jc w:val="center"/>
              <w:rPr>
                <w:rFonts w:eastAsia="Calibri"/>
                <w:sz w:val="20"/>
                <w:szCs w:val="20"/>
                <w:lang w:eastAsia="en-US"/>
              </w:rPr>
            </w:pPr>
            <w:r w:rsidRPr="00AC05DE">
              <w:rPr>
                <w:rFonts w:eastAsia="Calibri"/>
                <w:sz w:val="20"/>
                <w:szCs w:val="20"/>
                <w:lang w:eastAsia="en-US"/>
              </w:rPr>
              <w:t>92212</w:t>
            </w:r>
          </w:p>
        </w:tc>
        <w:tc>
          <w:tcPr>
            <w:tcW w:w="1701" w:type="dxa"/>
          </w:tcPr>
          <w:p w14:paraId="3ACDF04D" w14:textId="77777777" w:rsidR="00AC05DE" w:rsidRPr="00AC05DE" w:rsidRDefault="00AC05DE" w:rsidP="00AC05DE">
            <w:pPr>
              <w:jc w:val="center"/>
              <w:rPr>
                <w:rFonts w:eastAsia="Calibri"/>
                <w:sz w:val="20"/>
                <w:szCs w:val="20"/>
                <w:lang w:eastAsia="en-US"/>
              </w:rPr>
            </w:pPr>
            <w:r w:rsidRPr="00AC05DE">
              <w:rPr>
                <w:rFonts w:eastAsia="Calibri"/>
                <w:sz w:val="20"/>
                <w:szCs w:val="20"/>
                <w:lang w:eastAsia="en-US"/>
              </w:rPr>
              <w:t>922</w:t>
            </w:r>
          </w:p>
        </w:tc>
      </w:tr>
      <w:tr w:rsidR="00AC05DE" w:rsidRPr="00AC05DE" w14:paraId="0BEFCCA1" w14:textId="77777777" w:rsidTr="00BB1392">
        <w:tc>
          <w:tcPr>
            <w:tcW w:w="2124" w:type="dxa"/>
            <w:vMerge/>
          </w:tcPr>
          <w:p w14:paraId="575C2714" w14:textId="77777777" w:rsidR="00AC05DE" w:rsidRPr="00AC05DE" w:rsidRDefault="00AC05DE" w:rsidP="00AC05DE">
            <w:pPr>
              <w:rPr>
                <w:rFonts w:eastAsia="Calibri"/>
                <w:lang w:eastAsia="en-US"/>
              </w:rPr>
            </w:pPr>
          </w:p>
        </w:tc>
        <w:tc>
          <w:tcPr>
            <w:tcW w:w="2520" w:type="dxa"/>
          </w:tcPr>
          <w:p w14:paraId="05541198" w14:textId="77777777" w:rsidR="00AC05DE" w:rsidRPr="00AC05DE" w:rsidRDefault="00AC05DE" w:rsidP="00AC05DE">
            <w:pPr>
              <w:jc w:val="center"/>
              <w:rPr>
                <w:rFonts w:eastAsia="Calibri"/>
                <w:sz w:val="20"/>
                <w:szCs w:val="20"/>
                <w:lang w:eastAsia="en-US"/>
              </w:rPr>
            </w:pPr>
            <w:r w:rsidRPr="00AC05DE">
              <w:rPr>
                <w:rFonts w:eastAsia="Calibri"/>
                <w:sz w:val="20"/>
                <w:szCs w:val="20"/>
                <w:lang w:eastAsia="en-US"/>
              </w:rPr>
              <w:t>Višak prihoda poslovanja</w:t>
            </w:r>
          </w:p>
        </w:tc>
        <w:tc>
          <w:tcPr>
            <w:tcW w:w="2268" w:type="dxa"/>
          </w:tcPr>
          <w:p w14:paraId="0533BA35" w14:textId="77777777" w:rsidR="00AC05DE" w:rsidRPr="00AC05DE" w:rsidRDefault="00AC05DE" w:rsidP="00AC05DE">
            <w:pPr>
              <w:jc w:val="center"/>
              <w:rPr>
                <w:rFonts w:eastAsia="Calibri"/>
                <w:sz w:val="20"/>
                <w:szCs w:val="20"/>
                <w:lang w:eastAsia="en-US"/>
              </w:rPr>
            </w:pPr>
            <w:r w:rsidRPr="00AC05DE">
              <w:rPr>
                <w:rFonts w:eastAsia="Calibri"/>
                <w:sz w:val="20"/>
                <w:szCs w:val="20"/>
                <w:lang w:eastAsia="en-US"/>
              </w:rPr>
              <w:t xml:space="preserve">Višak prihoda od </w:t>
            </w:r>
            <w:proofErr w:type="spellStart"/>
            <w:r w:rsidRPr="00AC05DE">
              <w:rPr>
                <w:rFonts w:eastAsia="Calibri"/>
                <w:sz w:val="20"/>
                <w:szCs w:val="20"/>
                <w:lang w:eastAsia="en-US"/>
              </w:rPr>
              <w:t>nefinacijske</w:t>
            </w:r>
            <w:proofErr w:type="spellEnd"/>
            <w:r w:rsidRPr="00AC05DE">
              <w:rPr>
                <w:rFonts w:eastAsia="Calibri"/>
                <w:sz w:val="20"/>
                <w:szCs w:val="20"/>
                <w:lang w:eastAsia="en-US"/>
              </w:rPr>
              <w:t xml:space="preserve"> imovine</w:t>
            </w:r>
          </w:p>
        </w:tc>
        <w:tc>
          <w:tcPr>
            <w:tcW w:w="1701" w:type="dxa"/>
          </w:tcPr>
          <w:p w14:paraId="2C7B2965" w14:textId="77777777" w:rsidR="00AC05DE" w:rsidRPr="00AC05DE" w:rsidRDefault="00AC05DE" w:rsidP="00AC05DE">
            <w:pPr>
              <w:jc w:val="center"/>
              <w:rPr>
                <w:rFonts w:eastAsia="Calibri"/>
                <w:sz w:val="20"/>
                <w:szCs w:val="20"/>
                <w:lang w:eastAsia="en-US"/>
              </w:rPr>
            </w:pPr>
            <w:r w:rsidRPr="00AC05DE">
              <w:rPr>
                <w:rFonts w:eastAsia="Calibri"/>
                <w:sz w:val="20"/>
                <w:szCs w:val="20"/>
                <w:lang w:eastAsia="en-US"/>
              </w:rPr>
              <w:t>Rezultat</w:t>
            </w:r>
          </w:p>
        </w:tc>
      </w:tr>
      <w:tr w:rsidR="00AC05DE" w:rsidRPr="00AC05DE" w14:paraId="7F0CB503" w14:textId="77777777" w:rsidTr="00BB1392">
        <w:tc>
          <w:tcPr>
            <w:tcW w:w="2124" w:type="dxa"/>
          </w:tcPr>
          <w:p w14:paraId="0989F42A" w14:textId="77777777" w:rsidR="00AC05DE" w:rsidRPr="00AC05DE" w:rsidRDefault="00AC05DE" w:rsidP="00AC05DE">
            <w:pPr>
              <w:rPr>
                <w:rFonts w:eastAsia="Calibri"/>
                <w:sz w:val="20"/>
                <w:szCs w:val="20"/>
                <w:lang w:eastAsia="en-US"/>
              </w:rPr>
            </w:pPr>
            <w:r w:rsidRPr="00AC05DE">
              <w:rPr>
                <w:rFonts w:eastAsia="Calibri"/>
                <w:sz w:val="20"/>
                <w:szCs w:val="20"/>
                <w:lang w:eastAsia="en-US"/>
              </w:rPr>
              <w:t>Opći prihodi i primici (izvor 1.1.)</w:t>
            </w:r>
          </w:p>
        </w:tc>
        <w:tc>
          <w:tcPr>
            <w:tcW w:w="2520" w:type="dxa"/>
          </w:tcPr>
          <w:p w14:paraId="0C68A12A" w14:textId="77777777" w:rsidR="00AC05DE" w:rsidRPr="00AC05DE" w:rsidRDefault="00AC05DE" w:rsidP="00AC05DE">
            <w:pPr>
              <w:jc w:val="right"/>
              <w:rPr>
                <w:rFonts w:eastAsia="Calibri"/>
                <w:lang w:eastAsia="en-US"/>
              </w:rPr>
            </w:pPr>
            <w:r w:rsidRPr="00AC05DE">
              <w:rPr>
                <w:rFonts w:eastAsia="Calibri"/>
                <w:lang w:eastAsia="en-US"/>
              </w:rPr>
              <w:t>1.623.959,65</w:t>
            </w:r>
          </w:p>
        </w:tc>
        <w:tc>
          <w:tcPr>
            <w:tcW w:w="2268" w:type="dxa"/>
          </w:tcPr>
          <w:p w14:paraId="24FB7AB0" w14:textId="77777777" w:rsidR="00AC05DE" w:rsidRPr="00AC05DE" w:rsidRDefault="00AC05DE" w:rsidP="00AC05DE">
            <w:pPr>
              <w:jc w:val="right"/>
              <w:rPr>
                <w:rFonts w:eastAsia="Calibri"/>
                <w:lang w:eastAsia="en-US"/>
              </w:rPr>
            </w:pPr>
          </w:p>
        </w:tc>
        <w:tc>
          <w:tcPr>
            <w:tcW w:w="1701" w:type="dxa"/>
          </w:tcPr>
          <w:p w14:paraId="5E9E6EC7" w14:textId="77777777" w:rsidR="00AC05DE" w:rsidRPr="00AC05DE" w:rsidRDefault="00AC05DE" w:rsidP="00AC05DE">
            <w:pPr>
              <w:jc w:val="right"/>
              <w:rPr>
                <w:rFonts w:eastAsia="Calibri"/>
                <w:lang w:eastAsia="en-US"/>
              </w:rPr>
            </w:pPr>
            <w:r w:rsidRPr="00AC05DE">
              <w:rPr>
                <w:rFonts w:eastAsia="Calibri"/>
                <w:lang w:eastAsia="en-US"/>
              </w:rPr>
              <w:t>1.623.959,65</w:t>
            </w:r>
          </w:p>
        </w:tc>
      </w:tr>
      <w:tr w:rsidR="00AC05DE" w:rsidRPr="00AC05DE" w14:paraId="637D834F" w14:textId="77777777" w:rsidTr="00BB1392">
        <w:tc>
          <w:tcPr>
            <w:tcW w:w="2124" w:type="dxa"/>
          </w:tcPr>
          <w:p w14:paraId="2589236F" w14:textId="77777777" w:rsidR="00AC05DE" w:rsidRPr="00AC05DE" w:rsidRDefault="00AC05DE" w:rsidP="00AC05DE">
            <w:pPr>
              <w:rPr>
                <w:rFonts w:eastAsia="Calibri"/>
                <w:sz w:val="20"/>
                <w:szCs w:val="20"/>
                <w:lang w:eastAsia="en-US"/>
              </w:rPr>
            </w:pPr>
            <w:r w:rsidRPr="00AC05DE">
              <w:rPr>
                <w:rFonts w:eastAsia="Calibri"/>
                <w:sz w:val="20"/>
                <w:szCs w:val="20"/>
                <w:lang w:eastAsia="en-US"/>
              </w:rPr>
              <w:t xml:space="preserve">Koncesija javne usluge pražnjenja i odvoza </w:t>
            </w:r>
            <w:r w:rsidRPr="00AC05DE">
              <w:rPr>
                <w:rFonts w:eastAsia="Calibri"/>
                <w:sz w:val="20"/>
                <w:szCs w:val="20"/>
                <w:lang w:eastAsia="en-US"/>
              </w:rPr>
              <w:lastRenderedPageBreak/>
              <w:t>otpadnih voda (izvor 4.3.12.)</w:t>
            </w:r>
          </w:p>
        </w:tc>
        <w:tc>
          <w:tcPr>
            <w:tcW w:w="2520" w:type="dxa"/>
          </w:tcPr>
          <w:p w14:paraId="1921302B" w14:textId="77777777" w:rsidR="00AC05DE" w:rsidRPr="00AC05DE" w:rsidRDefault="00AC05DE" w:rsidP="00AC05DE">
            <w:pPr>
              <w:jc w:val="right"/>
              <w:rPr>
                <w:rFonts w:eastAsia="Calibri"/>
                <w:lang w:eastAsia="en-US"/>
              </w:rPr>
            </w:pPr>
            <w:r w:rsidRPr="00AC05DE">
              <w:rPr>
                <w:rFonts w:eastAsia="Calibri"/>
                <w:lang w:eastAsia="en-US"/>
              </w:rPr>
              <w:lastRenderedPageBreak/>
              <w:t>2.585,02</w:t>
            </w:r>
          </w:p>
        </w:tc>
        <w:tc>
          <w:tcPr>
            <w:tcW w:w="2268" w:type="dxa"/>
          </w:tcPr>
          <w:p w14:paraId="2941A91B" w14:textId="77777777" w:rsidR="00AC05DE" w:rsidRPr="00AC05DE" w:rsidRDefault="00AC05DE" w:rsidP="00AC05DE">
            <w:pPr>
              <w:jc w:val="right"/>
              <w:rPr>
                <w:rFonts w:eastAsia="Calibri"/>
                <w:lang w:eastAsia="en-US"/>
              </w:rPr>
            </w:pPr>
          </w:p>
        </w:tc>
        <w:tc>
          <w:tcPr>
            <w:tcW w:w="1701" w:type="dxa"/>
          </w:tcPr>
          <w:p w14:paraId="57012F39" w14:textId="77777777" w:rsidR="00AC05DE" w:rsidRPr="00AC05DE" w:rsidRDefault="00AC05DE" w:rsidP="00AC05DE">
            <w:pPr>
              <w:jc w:val="right"/>
              <w:rPr>
                <w:rFonts w:eastAsia="Calibri"/>
                <w:lang w:eastAsia="en-US"/>
              </w:rPr>
            </w:pPr>
            <w:r w:rsidRPr="00AC05DE">
              <w:rPr>
                <w:rFonts w:eastAsia="Calibri"/>
                <w:lang w:eastAsia="en-US"/>
              </w:rPr>
              <w:t>2.585,02</w:t>
            </w:r>
          </w:p>
        </w:tc>
      </w:tr>
      <w:tr w:rsidR="00AC05DE" w:rsidRPr="00AC05DE" w14:paraId="502D79ED" w14:textId="77777777" w:rsidTr="00BB1392">
        <w:tc>
          <w:tcPr>
            <w:tcW w:w="2124" w:type="dxa"/>
          </w:tcPr>
          <w:p w14:paraId="6123533A" w14:textId="77777777" w:rsidR="00AC05DE" w:rsidRPr="00AC05DE" w:rsidRDefault="00AC05DE" w:rsidP="00AC05DE">
            <w:pPr>
              <w:rPr>
                <w:rFonts w:eastAsia="Calibri"/>
                <w:sz w:val="20"/>
                <w:szCs w:val="20"/>
                <w:lang w:eastAsia="en-US"/>
              </w:rPr>
            </w:pPr>
            <w:r w:rsidRPr="00AC05DE">
              <w:rPr>
                <w:rFonts w:eastAsia="Calibri"/>
                <w:sz w:val="20"/>
                <w:szCs w:val="20"/>
                <w:lang w:eastAsia="en-US"/>
              </w:rPr>
              <w:t>Koncesija za taxi prijevoz (izvor 4.3.13.)</w:t>
            </w:r>
          </w:p>
        </w:tc>
        <w:tc>
          <w:tcPr>
            <w:tcW w:w="2520" w:type="dxa"/>
          </w:tcPr>
          <w:p w14:paraId="233CB6A2" w14:textId="77777777" w:rsidR="00AC05DE" w:rsidRPr="00AC05DE" w:rsidRDefault="00AC05DE" w:rsidP="00AC05DE">
            <w:pPr>
              <w:jc w:val="right"/>
              <w:rPr>
                <w:rFonts w:eastAsia="Calibri"/>
                <w:lang w:eastAsia="en-US"/>
              </w:rPr>
            </w:pPr>
            <w:r w:rsidRPr="00AC05DE">
              <w:rPr>
                <w:rFonts w:eastAsia="Calibri"/>
                <w:lang w:eastAsia="en-US"/>
              </w:rPr>
              <w:t>450,00</w:t>
            </w:r>
          </w:p>
        </w:tc>
        <w:tc>
          <w:tcPr>
            <w:tcW w:w="2268" w:type="dxa"/>
          </w:tcPr>
          <w:p w14:paraId="6B37212B" w14:textId="77777777" w:rsidR="00AC05DE" w:rsidRPr="00AC05DE" w:rsidRDefault="00AC05DE" w:rsidP="00AC05DE">
            <w:pPr>
              <w:jc w:val="right"/>
              <w:rPr>
                <w:rFonts w:eastAsia="Calibri"/>
                <w:lang w:eastAsia="en-US"/>
              </w:rPr>
            </w:pPr>
          </w:p>
        </w:tc>
        <w:tc>
          <w:tcPr>
            <w:tcW w:w="1701" w:type="dxa"/>
          </w:tcPr>
          <w:p w14:paraId="3D0050ED" w14:textId="77777777" w:rsidR="00AC05DE" w:rsidRPr="00AC05DE" w:rsidRDefault="00AC05DE" w:rsidP="00AC05DE">
            <w:pPr>
              <w:jc w:val="right"/>
              <w:rPr>
                <w:rFonts w:eastAsia="Calibri"/>
                <w:lang w:eastAsia="en-US"/>
              </w:rPr>
            </w:pPr>
            <w:r w:rsidRPr="00AC05DE">
              <w:rPr>
                <w:rFonts w:eastAsia="Calibri"/>
                <w:lang w:eastAsia="en-US"/>
              </w:rPr>
              <w:t>450,00</w:t>
            </w:r>
          </w:p>
        </w:tc>
      </w:tr>
      <w:tr w:rsidR="00AC05DE" w:rsidRPr="00AC05DE" w14:paraId="4B7A16FC" w14:textId="77777777" w:rsidTr="00BB1392">
        <w:tc>
          <w:tcPr>
            <w:tcW w:w="2124" w:type="dxa"/>
          </w:tcPr>
          <w:p w14:paraId="7BAB4D2A" w14:textId="77777777" w:rsidR="00AC05DE" w:rsidRPr="00AC05DE" w:rsidRDefault="00AC05DE" w:rsidP="00AC05DE">
            <w:pPr>
              <w:rPr>
                <w:rFonts w:eastAsia="Calibri"/>
                <w:sz w:val="20"/>
                <w:szCs w:val="20"/>
                <w:lang w:eastAsia="en-US"/>
              </w:rPr>
            </w:pPr>
            <w:r w:rsidRPr="00AC05DE">
              <w:rPr>
                <w:rFonts w:eastAsia="Calibri"/>
                <w:sz w:val="20"/>
                <w:szCs w:val="20"/>
                <w:lang w:eastAsia="en-US"/>
              </w:rPr>
              <w:t>Naknada za legalizaciju nezakonito izgrađenih zgrada  (izvor 4.3.5.)</w:t>
            </w:r>
          </w:p>
        </w:tc>
        <w:tc>
          <w:tcPr>
            <w:tcW w:w="2520" w:type="dxa"/>
          </w:tcPr>
          <w:p w14:paraId="75BC3CD1" w14:textId="77777777" w:rsidR="00AC05DE" w:rsidRPr="00AC05DE" w:rsidRDefault="00AC05DE" w:rsidP="00AC05DE">
            <w:pPr>
              <w:jc w:val="right"/>
              <w:rPr>
                <w:rFonts w:eastAsia="Calibri"/>
                <w:lang w:eastAsia="en-US"/>
              </w:rPr>
            </w:pPr>
            <w:r w:rsidRPr="00AC05DE">
              <w:rPr>
                <w:rFonts w:eastAsia="Calibri"/>
                <w:lang w:eastAsia="en-US"/>
              </w:rPr>
              <w:t>1.384,16</w:t>
            </w:r>
          </w:p>
        </w:tc>
        <w:tc>
          <w:tcPr>
            <w:tcW w:w="2268" w:type="dxa"/>
          </w:tcPr>
          <w:p w14:paraId="517601CE" w14:textId="77777777" w:rsidR="00AC05DE" w:rsidRPr="00AC05DE" w:rsidRDefault="00AC05DE" w:rsidP="00AC05DE">
            <w:pPr>
              <w:jc w:val="right"/>
              <w:rPr>
                <w:rFonts w:eastAsia="Calibri"/>
                <w:lang w:eastAsia="en-US"/>
              </w:rPr>
            </w:pPr>
          </w:p>
        </w:tc>
        <w:tc>
          <w:tcPr>
            <w:tcW w:w="1701" w:type="dxa"/>
          </w:tcPr>
          <w:p w14:paraId="37301A9F" w14:textId="77777777" w:rsidR="00AC05DE" w:rsidRPr="00AC05DE" w:rsidRDefault="00AC05DE" w:rsidP="00AC05DE">
            <w:pPr>
              <w:jc w:val="right"/>
              <w:rPr>
                <w:rFonts w:eastAsia="Calibri"/>
                <w:lang w:eastAsia="en-US"/>
              </w:rPr>
            </w:pPr>
            <w:r w:rsidRPr="00AC05DE">
              <w:rPr>
                <w:rFonts w:eastAsia="Calibri"/>
                <w:lang w:eastAsia="en-US"/>
              </w:rPr>
              <w:t>1.384,16</w:t>
            </w:r>
          </w:p>
        </w:tc>
      </w:tr>
      <w:tr w:rsidR="00AC05DE" w:rsidRPr="00AC05DE" w14:paraId="7B5C4055" w14:textId="77777777" w:rsidTr="00BB1392">
        <w:trPr>
          <w:trHeight w:val="989"/>
        </w:trPr>
        <w:tc>
          <w:tcPr>
            <w:tcW w:w="2124" w:type="dxa"/>
          </w:tcPr>
          <w:p w14:paraId="25D0977E" w14:textId="77777777" w:rsidR="00AC05DE" w:rsidRPr="00AC05DE" w:rsidRDefault="00AC05DE" w:rsidP="00AC05DE">
            <w:pPr>
              <w:rPr>
                <w:rFonts w:eastAsia="Calibri"/>
                <w:sz w:val="20"/>
                <w:szCs w:val="20"/>
                <w:lang w:eastAsia="en-US"/>
              </w:rPr>
            </w:pPr>
            <w:r w:rsidRPr="00AC05DE">
              <w:rPr>
                <w:rFonts w:eastAsia="Calibri"/>
                <w:sz w:val="20"/>
                <w:szCs w:val="20"/>
                <w:lang w:eastAsia="en-US"/>
              </w:rPr>
              <w:t>Prihodi od prodaje nefinancijske imovine (izvor  7)</w:t>
            </w:r>
          </w:p>
        </w:tc>
        <w:tc>
          <w:tcPr>
            <w:tcW w:w="2520" w:type="dxa"/>
          </w:tcPr>
          <w:p w14:paraId="4E507D5C" w14:textId="77777777" w:rsidR="00AC05DE" w:rsidRPr="00AC05DE" w:rsidRDefault="00AC05DE" w:rsidP="00AC05DE">
            <w:pPr>
              <w:jc w:val="right"/>
              <w:rPr>
                <w:rFonts w:eastAsia="Calibri"/>
                <w:lang w:eastAsia="en-US"/>
              </w:rPr>
            </w:pPr>
            <w:r w:rsidRPr="00AC05DE">
              <w:rPr>
                <w:rFonts w:eastAsia="Calibri"/>
                <w:lang w:eastAsia="en-US"/>
              </w:rPr>
              <w:t xml:space="preserve"> </w:t>
            </w:r>
          </w:p>
        </w:tc>
        <w:tc>
          <w:tcPr>
            <w:tcW w:w="2268" w:type="dxa"/>
          </w:tcPr>
          <w:p w14:paraId="00E6224B" w14:textId="77777777" w:rsidR="00AC05DE" w:rsidRPr="00AC05DE" w:rsidRDefault="00AC05DE" w:rsidP="00AC05DE">
            <w:pPr>
              <w:jc w:val="right"/>
              <w:rPr>
                <w:rFonts w:eastAsia="Calibri"/>
                <w:lang w:eastAsia="en-US"/>
              </w:rPr>
            </w:pPr>
            <w:r w:rsidRPr="00AC05DE">
              <w:rPr>
                <w:rFonts w:eastAsia="Calibri"/>
                <w:lang w:eastAsia="en-US"/>
              </w:rPr>
              <w:t>1.081.761,22</w:t>
            </w:r>
          </w:p>
        </w:tc>
        <w:tc>
          <w:tcPr>
            <w:tcW w:w="1701" w:type="dxa"/>
          </w:tcPr>
          <w:p w14:paraId="17BE51FE" w14:textId="77777777" w:rsidR="00AC05DE" w:rsidRPr="00AC05DE" w:rsidRDefault="00AC05DE" w:rsidP="00AC05DE">
            <w:pPr>
              <w:jc w:val="right"/>
              <w:rPr>
                <w:rFonts w:eastAsia="Calibri"/>
                <w:lang w:eastAsia="en-US"/>
              </w:rPr>
            </w:pPr>
            <w:r w:rsidRPr="00AC05DE">
              <w:rPr>
                <w:rFonts w:eastAsia="Calibri"/>
                <w:lang w:eastAsia="en-US"/>
              </w:rPr>
              <w:t>1.081.761,22</w:t>
            </w:r>
          </w:p>
        </w:tc>
      </w:tr>
      <w:tr w:rsidR="00AC05DE" w:rsidRPr="00AC05DE" w14:paraId="362FBE8A" w14:textId="77777777" w:rsidTr="00BB1392">
        <w:tc>
          <w:tcPr>
            <w:tcW w:w="2124" w:type="dxa"/>
          </w:tcPr>
          <w:p w14:paraId="1D1CF807" w14:textId="77777777" w:rsidR="00AC05DE" w:rsidRPr="00AC05DE" w:rsidRDefault="00AC05DE" w:rsidP="00AC05DE">
            <w:pPr>
              <w:rPr>
                <w:rFonts w:eastAsia="Calibri"/>
                <w:lang w:eastAsia="en-US"/>
              </w:rPr>
            </w:pPr>
            <w:r w:rsidRPr="00AC05DE">
              <w:rPr>
                <w:rFonts w:eastAsia="Calibri"/>
                <w:lang w:eastAsia="en-US"/>
              </w:rPr>
              <w:t>UKUPNO</w:t>
            </w:r>
          </w:p>
        </w:tc>
        <w:tc>
          <w:tcPr>
            <w:tcW w:w="2520" w:type="dxa"/>
          </w:tcPr>
          <w:p w14:paraId="7B63D910" w14:textId="77777777" w:rsidR="00AC05DE" w:rsidRPr="00AC05DE" w:rsidRDefault="00AC05DE" w:rsidP="00AC05DE">
            <w:pPr>
              <w:jc w:val="right"/>
              <w:rPr>
                <w:rFonts w:eastAsia="Calibri"/>
                <w:lang w:eastAsia="en-US"/>
              </w:rPr>
            </w:pPr>
            <w:r w:rsidRPr="00AC05DE">
              <w:rPr>
                <w:rFonts w:eastAsia="Calibri"/>
                <w:lang w:eastAsia="en-US"/>
              </w:rPr>
              <w:fldChar w:fldCharType="begin"/>
            </w:r>
            <w:r w:rsidRPr="00AC05DE">
              <w:rPr>
                <w:rFonts w:eastAsia="Calibri"/>
                <w:lang w:eastAsia="en-US"/>
              </w:rPr>
              <w:instrText xml:space="preserve"> =SUM(ABOVE) </w:instrText>
            </w:r>
            <w:r w:rsidRPr="00AC05DE">
              <w:rPr>
                <w:rFonts w:eastAsia="Calibri"/>
                <w:lang w:eastAsia="en-US"/>
              </w:rPr>
              <w:fldChar w:fldCharType="separate"/>
            </w:r>
            <w:r w:rsidRPr="00AC05DE">
              <w:rPr>
                <w:rFonts w:eastAsia="Calibri"/>
                <w:noProof/>
                <w:lang w:eastAsia="en-US"/>
              </w:rPr>
              <w:t>1.628.378,83</w:t>
            </w:r>
            <w:r w:rsidRPr="00AC05DE">
              <w:rPr>
                <w:rFonts w:eastAsia="Calibri"/>
                <w:lang w:eastAsia="en-US"/>
              </w:rPr>
              <w:fldChar w:fldCharType="end"/>
            </w:r>
          </w:p>
        </w:tc>
        <w:tc>
          <w:tcPr>
            <w:tcW w:w="2268" w:type="dxa"/>
          </w:tcPr>
          <w:p w14:paraId="408B47AE" w14:textId="77777777" w:rsidR="00AC05DE" w:rsidRPr="00AC05DE" w:rsidRDefault="00AC05DE" w:rsidP="00AC05DE">
            <w:pPr>
              <w:jc w:val="right"/>
              <w:rPr>
                <w:rFonts w:eastAsia="Calibri"/>
                <w:lang w:eastAsia="en-US"/>
              </w:rPr>
            </w:pPr>
            <w:r w:rsidRPr="00AC05DE">
              <w:rPr>
                <w:rFonts w:eastAsia="Calibri"/>
                <w:lang w:eastAsia="en-US"/>
              </w:rPr>
              <w:t>1.081.761,22</w:t>
            </w:r>
          </w:p>
        </w:tc>
        <w:tc>
          <w:tcPr>
            <w:tcW w:w="1701" w:type="dxa"/>
          </w:tcPr>
          <w:p w14:paraId="3A49A445" w14:textId="77777777" w:rsidR="00AC05DE" w:rsidRPr="00AC05DE" w:rsidRDefault="00AC05DE" w:rsidP="00AC05DE">
            <w:pPr>
              <w:jc w:val="right"/>
              <w:rPr>
                <w:rFonts w:eastAsia="Calibri"/>
                <w:lang w:eastAsia="en-US"/>
              </w:rPr>
            </w:pPr>
            <w:r w:rsidRPr="00AC05DE">
              <w:rPr>
                <w:rFonts w:eastAsia="Calibri"/>
                <w:lang w:eastAsia="en-US"/>
              </w:rPr>
              <w:fldChar w:fldCharType="begin"/>
            </w:r>
            <w:r w:rsidRPr="00AC05DE">
              <w:rPr>
                <w:rFonts w:eastAsia="Calibri"/>
                <w:lang w:eastAsia="en-US"/>
              </w:rPr>
              <w:instrText xml:space="preserve"> =SUM(ABOVE) </w:instrText>
            </w:r>
            <w:r w:rsidRPr="00AC05DE">
              <w:rPr>
                <w:rFonts w:eastAsia="Calibri"/>
                <w:lang w:eastAsia="en-US"/>
              </w:rPr>
              <w:fldChar w:fldCharType="separate"/>
            </w:r>
            <w:r w:rsidRPr="00AC05DE">
              <w:rPr>
                <w:rFonts w:eastAsia="Calibri"/>
                <w:noProof/>
                <w:lang w:eastAsia="en-US"/>
              </w:rPr>
              <w:t>2.710.140,05</w:t>
            </w:r>
            <w:r w:rsidRPr="00AC05DE">
              <w:rPr>
                <w:rFonts w:eastAsia="Calibri"/>
                <w:lang w:eastAsia="en-US"/>
              </w:rPr>
              <w:fldChar w:fldCharType="end"/>
            </w:r>
          </w:p>
        </w:tc>
      </w:tr>
    </w:tbl>
    <w:p w14:paraId="60AD74F2" w14:textId="77777777" w:rsidR="00AC05DE" w:rsidRPr="00AC05DE" w:rsidRDefault="00AC05DE" w:rsidP="00AC05DE">
      <w:pPr>
        <w:rPr>
          <w:rFonts w:eastAsia="Calibri"/>
          <w:lang w:eastAsia="en-US"/>
        </w:rPr>
      </w:pPr>
    </w:p>
    <w:p w14:paraId="796C4652" w14:textId="77777777" w:rsidR="00AC05DE" w:rsidRPr="00AC05DE" w:rsidRDefault="00AC05DE" w:rsidP="00AC05DE">
      <w:pPr>
        <w:rPr>
          <w:rFonts w:eastAsia="Calibri"/>
          <w:lang w:eastAsia="en-US"/>
        </w:rPr>
      </w:pPr>
    </w:p>
    <w:p w14:paraId="49D2B2E5" w14:textId="77777777" w:rsidR="00AC05DE" w:rsidRPr="00AC05DE" w:rsidRDefault="00AC05DE" w:rsidP="00AC05DE">
      <w:pPr>
        <w:jc w:val="both"/>
        <w:rPr>
          <w:rFonts w:eastAsia="Calibri"/>
          <w:lang w:eastAsia="en-US"/>
        </w:rPr>
      </w:pPr>
      <w:r w:rsidRPr="00AC05DE">
        <w:rPr>
          <w:rFonts w:eastAsia="Calibri"/>
          <w:lang w:eastAsia="en-US"/>
        </w:rPr>
        <w:t xml:space="preserve">              </w:t>
      </w:r>
    </w:p>
    <w:p w14:paraId="3325E5D1" w14:textId="77777777" w:rsidR="00AC05DE" w:rsidRPr="00AC05DE" w:rsidRDefault="00AC05DE" w:rsidP="00AC05DE">
      <w:pPr>
        <w:jc w:val="both"/>
        <w:rPr>
          <w:rFonts w:eastAsia="Calibri"/>
          <w:lang w:eastAsia="en-US"/>
        </w:rPr>
      </w:pPr>
      <w:r w:rsidRPr="00AC05DE">
        <w:rPr>
          <w:rFonts w:eastAsia="Calibri"/>
          <w:lang w:eastAsia="en-US"/>
        </w:rPr>
        <w:t xml:space="preserve">Preostali višak prihoda poslovanja u iznosu od 2.710.140,05  EUR  raspodijelit će se Prvim Izmjenama i dopunama proračuna Općine Marčana za 2026. godinu. </w:t>
      </w:r>
    </w:p>
    <w:p w14:paraId="4FEE489C" w14:textId="77777777" w:rsidR="00AC05DE" w:rsidRPr="00AC05DE" w:rsidRDefault="00AC05DE" w:rsidP="00AC05DE">
      <w:pPr>
        <w:rPr>
          <w:rFonts w:eastAsia="Calibri"/>
          <w:lang w:eastAsia="en-US"/>
        </w:rPr>
      </w:pPr>
    </w:p>
    <w:p w14:paraId="03645FAB" w14:textId="77777777" w:rsidR="00AC05DE" w:rsidRPr="00AC05DE" w:rsidRDefault="00AC05DE" w:rsidP="00AC05DE">
      <w:pPr>
        <w:jc w:val="center"/>
        <w:rPr>
          <w:rFonts w:eastAsia="Calibri"/>
          <w:b/>
          <w:lang w:eastAsia="en-US"/>
        </w:rPr>
      </w:pPr>
      <w:r w:rsidRPr="00AC05DE">
        <w:rPr>
          <w:rFonts w:eastAsia="Calibri"/>
          <w:b/>
          <w:lang w:eastAsia="en-US"/>
        </w:rPr>
        <w:t>Članak 4.</w:t>
      </w:r>
    </w:p>
    <w:p w14:paraId="3CB6D22D" w14:textId="77777777" w:rsidR="00AC05DE" w:rsidRPr="00AC05DE" w:rsidRDefault="00AC05DE" w:rsidP="00AC05DE">
      <w:pPr>
        <w:rPr>
          <w:rFonts w:eastAsia="Calibri"/>
          <w:lang w:eastAsia="en-US"/>
        </w:rPr>
      </w:pPr>
    </w:p>
    <w:p w14:paraId="4CA9E4E2" w14:textId="77777777" w:rsidR="00AC05DE" w:rsidRPr="00AC05DE" w:rsidRDefault="00AC05DE" w:rsidP="00AC05DE">
      <w:pPr>
        <w:jc w:val="both"/>
        <w:rPr>
          <w:rFonts w:eastAsia="Calibri"/>
          <w:lang w:eastAsia="en-US"/>
        </w:rPr>
      </w:pPr>
      <w:r w:rsidRPr="00AC05DE">
        <w:rPr>
          <w:rFonts w:eastAsia="Calibri"/>
          <w:lang w:eastAsia="en-US"/>
        </w:rPr>
        <w:t xml:space="preserve">Ova odluka stupa na snagu osam dana od dana objave u „Službenim novinama Općine Marčana“.    </w:t>
      </w:r>
    </w:p>
    <w:p w14:paraId="2CBE9875" w14:textId="77777777" w:rsidR="00AC05DE" w:rsidRPr="00AC05DE" w:rsidRDefault="00AC05DE" w:rsidP="00AC05DE">
      <w:pPr>
        <w:rPr>
          <w:rFonts w:eastAsia="Calibri"/>
          <w:lang w:eastAsia="en-US"/>
        </w:rPr>
      </w:pPr>
    </w:p>
    <w:p w14:paraId="26EB78A1" w14:textId="77777777" w:rsidR="00AC05DE" w:rsidRPr="00AC05DE" w:rsidRDefault="00AC05DE" w:rsidP="00AC05DE">
      <w:pPr>
        <w:jc w:val="both"/>
      </w:pPr>
    </w:p>
    <w:p w14:paraId="327F6DD7" w14:textId="77777777" w:rsidR="00AC05DE" w:rsidRPr="00AC05DE" w:rsidRDefault="00AC05DE" w:rsidP="00AC05DE">
      <w:pPr>
        <w:jc w:val="both"/>
      </w:pPr>
      <w:r w:rsidRPr="00AC05DE">
        <w:t>KLASA: 400-01/26-01/02</w:t>
      </w:r>
    </w:p>
    <w:p w14:paraId="5DA5912B" w14:textId="77777777" w:rsidR="00AC05DE" w:rsidRPr="00AC05DE" w:rsidRDefault="00AC05DE" w:rsidP="00AC05DE">
      <w:pPr>
        <w:jc w:val="both"/>
      </w:pPr>
      <w:r w:rsidRPr="00AC05DE">
        <w:t xml:space="preserve">URBROJ: </w:t>
      </w:r>
      <w:bookmarkStart w:id="8" w:name="_Hlk194565312"/>
      <w:r w:rsidRPr="00AC05DE">
        <w:t>2163-26-1-26-</w:t>
      </w:r>
      <w:bookmarkEnd w:id="8"/>
      <w:r w:rsidRPr="00AC05DE">
        <w:t>3</w:t>
      </w:r>
    </w:p>
    <w:p w14:paraId="33BF0413" w14:textId="77777777" w:rsidR="00AC05DE" w:rsidRPr="00AC05DE" w:rsidRDefault="00AC05DE" w:rsidP="00AC05DE">
      <w:pPr>
        <w:jc w:val="both"/>
      </w:pPr>
      <w:r w:rsidRPr="00AC05DE">
        <w:t>Marčana, 28. svibnja 2026.</w:t>
      </w:r>
    </w:p>
    <w:p w14:paraId="420C247E" w14:textId="77777777" w:rsidR="00AC05DE" w:rsidRPr="00AC05DE" w:rsidRDefault="00AC05DE" w:rsidP="00AC05DE">
      <w:pPr>
        <w:jc w:val="both"/>
      </w:pPr>
    </w:p>
    <w:p w14:paraId="66E0DC93" w14:textId="77777777" w:rsidR="00AC05DE" w:rsidRPr="00AC05DE" w:rsidRDefault="00AC05DE" w:rsidP="00AC05DE">
      <w:pPr>
        <w:jc w:val="both"/>
      </w:pPr>
    </w:p>
    <w:p w14:paraId="5B7AD555" w14:textId="77777777" w:rsidR="00AC05DE" w:rsidRPr="00AC05DE" w:rsidRDefault="00AC05DE" w:rsidP="00AC05DE">
      <w:pPr>
        <w:ind w:left="2832"/>
        <w:jc w:val="both"/>
        <w:rPr>
          <w:b/>
        </w:rPr>
      </w:pPr>
      <w:r w:rsidRPr="00AC05DE">
        <w:rPr>
          <w:b/>
        </w:rPr>
        <w:t xml:space="preserve">                           OPĆINSKO VIJEĆE OPĆINE MARČANA</w:t>
      </w:r>
    </w:p>
    <w:p w14:paraId="1257073B" w14:textId="77777777" w:rsidR="00AC05DE" w:rsidRPr="00AC05DE" w:rsidRDefault="00AC05DE" w:rsidP="00AC05DE">
      <w:pPr>
        <w:ind w:left="1392"/>
        <w:jc w:val="both"/>
        <w:rPr>
          <w:b/>
        </w:rPr>
      </w:pPr>
      <w:r w:rsidRPr="00AC05DE">
        <w:rPr>
          <w:b/>
        </w:rPr>
        <w:t xml:space="preserve">                                                                            PREDSJEDNIK</w:t>
      </w:r>
    </w:p>
    <w:p w14:paraId="2FBD24BF" w14:textId="4D7824BE" w:rsidR="00AC05DE" w:rsidRDefault="00AC05DE" w:rsidP="00AC05DE">
      <w:pPr>
        <w:ind w:left="1392"/>
        <w:jc w:val="both"/>
        <w:rPr>
          <w:b/>
        </w:rPr>
      </w:pPr>
      <w:r w:rsidRPr="00AC05DE">
        <w:rPr>
          <w:b/>
        </w:rPr>
        <w:t xml:space="preserve">                                                                          Denis </w:t>
      </w:r>
      <w:proofErr w:type="spellStart"/>
      <w:r w:rsidRPr="00AC05DE">
        <w:rPr>
          <w:b/>
        </w:rPr>
        <w:t>Diković</w:t>
      </w:r>
      <w:proofErr w:type="spellEnd"/>
      <w:r>
        <w:rPr>
          <w:b/>
        </w:rPr>
        <w:t>, v.r.</w:t>
      </w:r>
    </w:p>
    <w:p w14:paraId="26ACE549" w14:textId="77777777" w:rsidR="008E309A" w:rsidRDefault="008E309A" w:rsidP="008E309A">
      <w:pPr>
        <w:jc w:val="both"/>
        <w:rPr>
          <w:b/>
        </w:rPr>
      </w:pPr>
    </w:p>
    <w:p w14:paraId="53E5BFA2" w14:textId="77777777" w:rsidR="008E309A" w:rsidRDefault="008E309A" w:rsidP="008E309A">
      <w:pPr>
        <w:jc w:val="both"/>
        <w:rPr>
          <w:b/>
        </w:rPr>
      </w:pPr>
    </w:p>
    <w:p w14:paraId="7B705073" w14:textId="693F152E" w:rsidR="008E309A" w:rsidRDefault="008E309A" w:rsidP="008E309A">
      <w:pPr>
        <w:jc w:val="both"/>
        <w:rPr>
          <w:b/>
        </w:rPr>
      </w:pPr>
      <w:r>
        <w:rPr>
          <w:b/>
        </w:rPr>
        <w:t>___________________________________________________________________________</w:t>
      </w:r>
    </w:p>
    <w:p w14:paraId="43CBE4E1" w14:textId="77777777" w:rsidR="008E309A" w:rsidRDefault="008E309A" w:rsidP="008E309A">
      <w:pPr>
        <w:jc w:val="both"/>
        <w:rPr>
          <w:b/>
        </w:rPr>
      </w:pPr>
    </w:p>
    <w:p w14:paraId="6F4489DC" w14:textId="77777777" w:rsidR="008E309A" w:rsidRPr="00AC05DE" w:rsidRDefault="008E309A" w:rsidP="008E309A">
      <w:pPr>
        <w:jc w:val="both"/>
        <w:rPr>
          <w:b/>
        </w:rPr>
      </w:pPr>
    </w:p>
    <w:p w14:paraId="2E2C25CB" w14:textId="77777777" w:rsidR="00D643E4" w:rsidRPr="00D643E4" w:rsidRDefault="00D643E4" w:rsidP="00D643E4">
      <w:pPr>
        <w:spacing w:after="160" w:line="259" w:lineRule="auto"/>
        <w:ind w:firstLine="708"/>
        <w:jc w:val="both"/>
        <w:rPr>
          <w:rFonts w:eastAsiaTheme="minorHAnsi"/>
          <w:kern w:val="2"/>
          <w:lang w:eastAsia="en-US"/>
          <w14:ligatures w14:val="standardContextual"/>
        </w:rPr>
      </w:pPr>
      <w:r w:rsidRPr="00D643E4">
        <w:rPr>
          <w:rFonts w:eastAsiaTheme="minorHAnsi"/>
          <w:kern w:val="2"/>
          <w:lang w:eastAsia="en-US"/>
          <w14:ligatures w14:val="standardContextual"/>
        </w:rPr>
        <w:t xml:space="preserve">Na temelju Zakona o sustavu civilne zaštite (“Narodne novine”, broj 82/15, 118/18, 31/20, 20/21), članka 17., stavak 1., točka 2. Pravilnika o smjernicama za izradu procjena rizika od katastrofa i velikih nesreća za područje Republike Hrvatske i jedinica lokalne i područne (regionalne) samouprave (“Narodne novine”, broj 65/16) i članka 36. Statuta Općine Marčana (“Službene novine Općine Marčana 7/09., 2/13. i 4/13 – pročišćeni tekst,  3/21. i 14/22.), Općinsko vijeće Općine Marčana je na svojoj 6. sjednici, održanoj dana 28. svibnja 2026. godine, donijelo </w:t>
      </w:r>
    </w:p>
    <w:p w14:paraId="6EB2AEA4" w14:textId="77777777" w:rsidR="00D643E4" w:rsidRPr="00D643E4" w:rsidRDefault="00D643E4" w:rsidP="00D643E4">
      <w:pPr>
        <w:spacing w:after="160" w:line="259" w:lineRule="auto"/>
        <w:jc w:val="both"/>
        <w:rPr>
          <w:rFonts w:eastAsiaTheme="minorHAnsi"/>
          <w:kern w:val="2"/>
          <w:lang w:eastAsia="en-US"/>
          <w14:ligatures w14:val="standardContextual"/>
        </w:rPr>
      </w:pPr>
    </w:p>
    <w:p w14:paraId="57E2B7DF" w14:textId="77777777" w:rsidR="00D643E4" w:rsidRPr="00D643E4" w:rsidRDefault="00D643E4" w:rsidP="00D643E4">
      <w:pPr>
        <w:spacing w:after="160" w:line="259" w:lineRule="auto"/>
        <w:jc w:val="center"/>
        <w:rPr>
          <w:rFonts w:eastAsiaTheme="minorHAnsi"/>
          <w:kern w:val="2"/>
          <w:sz w:val="36"/>
          <w:szCs w:val="36"/>
          <w:lang w:eastAsia="en-US"/>
          <w14:ligatures w14:val="standardContextual"/>
        </w:rPr>
      </w:pPr>
      <w:r w:rsidRPr="00D643E4">
        <w:rPr>
          <w:rFonts w:eastAsiaTheme="minorHAnsi"/>
          <w:b/>
          <w:bCs/>
          <w:kern w:val="2"/>
          <w:sz w:val="36"/>
          <w:szCs w:val="36"/>
          <w:lang w:eastAsia="en-US"/>
          <w14:ligatures w14:val="standardContextual"/>
        </w:rPr>
        <w:t>ODLUKU</w:t>
      </w:r>
    </w:p>
    <w:p w14:paraId="1D3FF365" w14:textId="77777777" w:rsidR="00D643E4" w:rsidRDefault="00D643E4" w:rsidP="00D643E4">
      <w:pPr>
        <w:spacing w:after="160" w:line="259" w:lineRule="auto"/>
        <w:jc w:val="center"/>
        <w:rPr>
          <w:rFonts w:eastAsiaTheme="minorHAnsi"/>
          <w:b/>
          <w:bCs/>
          <w:kern w:val="2"/>
          <w:sz w:val="28"/>
          <w:szCs w:val="28"/>
          <w:lang w:eastAsia="en-US"/>
          <w14:ligatures w14:val="standardContextual"/>
        </w:rPr>
      </w:pPr>
    </w:p>
    <w:p w14:paraId="15311703" w14:textId="77777777" w:rsidR="00D643E4" w:rsidRDefault="00D643E4" w:rsidP="00D643E4">
      <w:pPr>
        <w:spacing w:after="160" w:line="259" w:lineRule="auto"/>
        <w:jc w:val="center"/>
        <w:rPr>
          <w:rFonts w:eastAsiaTheme="minorHAnsi"/>
          <w:b/>
          <w:bCs/>
          <w:kern w:val="2"/>
          <w:sz w:val="28"/>
          <w:szCs w:val="28"/>
          <w:lang w:eastAsia="en-US"/>
          <w14:ligatures w14:val="standardContextual"/>
        </w:rPr>
      </w:pPr>
    </w:p>
    <w:p w14:paraId="2FB4CE3D" w14:textId="39693C0A" w:rsidR="00D643E4" w:rsidRPr="00D643E4" w:rsidRDefault="00D643E4" w:rsidP="00D643E4">
      <w:pPr>
        <w:spacing w:after="160" w:line="259" w:lineRule="auto"/>
        <w:jc w:val="center"/>
        <w:rPr>
          <w:rFonts w:eastAsiaTheme="minorHAnsi"/>
          <w:b/>
          <w:bCs/>
          <w:kern w:val="2"/>
          <w:sz w:val="28"/>
          <w:szCs w:val="28"/>
          <w:lang w:eastAsia="en-US"/>
          <w14:ligatures w14:val="standardContextual"/>
        </w:rPr>
      </w:pPr>
      <w:r w:rsidRPr="00D643E4">
        <w:rPr>
          <w:rFonts w:eastAsiaTheme="minorHAnsi"/>
          <w:b/>
          <w:bCs/>
          <w:kern w:val="2"/>
          <w:sz w:val="28"/>
          <w:szCs w:val="28"/>
          <w:lang w:eastAsia="en-US"/>
          <w14:ligatures w14:val="standardContextual"/>
        </w:rPr>
        <w:t>o donošenju Procjene rizika od velikih nesreća za područje Općine Marčana</w:t>
      </w:r>
    </w:p>
    <w:p w14:paraId="4658C709" w14:textId="77777777" w:rsidR="00D643E4" w:rsidRPr="00D643E4" w:rsidRDefault="00D643E4" w:rsidP="00D643E4">
      <w:pPr>
        <w:spacing w:after="160" w:line="259" w:lineRule="auto"/>
        <w:jc w:val="center"/>
        <w:rPr>
          <w:rFonts w:eastAsiaTheme="minorHAnsi"/>
          <w:b/>
          <w:bCs/>
          <w:kern w:val="2"/>
          <w:sz w:val="28"/>
          <w:szCs w:val="28"/>
          <w:lang w:eastAsia="en-US"/>
          <w14:ligatures w14:val="standardContextual"/>
        </w:rPr>
      </w:pPr>
    </w:p>
    <w:p w14:paraId="56D88C0B" w14:textId="77777777" w:rsidR="00D643E4" w:rsidRPr="00D643E4" w:rsidRDefault="00D643E4" w:rsidP="00D643E4">
      <w:pPr>
        <w:spacing w:after="160" w:line="259" w:lineRule="auto"/>
        <w:jc w:val="center"/>
        <w:rPr>
          <w:rFonts w:eastAsiaTheme="minorHAnsi"/>
          <w:kern w:val="2"/>
          <w:lang w:eastAsia="en-US"/>
          <w14:ligatures w14:val="standardContextual"/>
        </w:rPr>
      </w:pPr>
      <w:r w:rsidRPr="00D643E4">
        <w:rPr>
          <w:rFonts w:eastAsiaTheme="minorHAnsi"/>
          <w:kern w:val="2"/>
          <w:lang w:eastAsia="en-US"/>
          <w14:ligatures w14:val="standardContextual"/>
        </w:rPr>
        <w:t>Članak 1.</w:t>
      </w:r>
    </w:p>
    <w:p w14:paraId="4C8171CA" w14:textId="77777777" w:rsidR="00D643E4" w:rsidRPr="00D643E4" w:rsidRDefault="00D643E4" w:rsidP="00D643E4">
      <w:pPr>
        <w:spacing w:after="160" w:line="259" w:lineRule="auto"/>
        <w:ind w:firstLine="708"/>
        <w:jc w:val="both"/>
        <w:rPr>
          <w:rFonts w:eastAsiaTheme="minorHAnsi"/>
          <w:kern w:val="2"/>
          <w:lang w:eastAsia="en-US"/>
          <w14:ligatures w14:val="standardContextual"/>
        </w:rPr>
      </w:pPr>
      <w:r w:rsidRPr="00D643E4">
        <w:rPr>
          <w:rFonts w:eastAsiaTheme="minorHAnsi"/>
          <w:kern w:val="2"/>
          <w:lang w:eastAsia="en-US"/>
          <w14:ligatures w14:val="standardContextual"/>
        </w:rPr>
        <w:t>Donosi se Procjena rizika od velikih ne sreća za područje Općine Marčana (u daljnjem tekstu: “Procjena”).</w:t>
      </w:r>
    </w:p>
    <w:p w14:paraId="1CF72C86" w14:textId="77777777" w:rsidR="00D643E4" w:rsidRPr="00D643E4" w:rsidRDefault="00D643E4" w:rsidP="00D643E4">
      <w:pPr>
        <w:spacing w:after="160" w:line="259" w:lineRule="auto"/>
        <w:jc w:val="center"/>
        <w:rPr>
          <w:rFonts w:eastAsiaTheme="minorHAnsi"/>
          <w:kern w:val="2"/>
          <w:lang w:eastAsia="en-US"/>
          <w14:ligatures w14:val="standardContextual"/>
        </w:rPr>
      </w:pPr>
      <w:r w:rsidRPr="00D643E4">
        <w:rPr>
          <w:rFonts w:eastAsiaTheme="minorHAnsi"/>
          <w:kern w:val="2"/>
          <w:lang w:eastAsia="en-US"/>
          <w14:ligatures w14:val="standardContextual"/>
        </w:rPr>
        <w:t>Članak 2.</w:t>
      </w:r>
    </w:p>
    <w:p w14:paraId="5173D7DC" w14:textId="77777777" w:rsidR="00D643E4" w:rsidRPr="00D643E4" w:rsidRDefault="00D643E4" w:rsidP="00D643E4">
      <w:pPr>
        <w:spacing w:after="160" w:line="259" w:lineRule="auto"/>
        <w:ind w:firstLine="708"/>
        <w:jc w:val="both"/>
        <w:rPr>
          <w:rFonts w:eastAsiaTheme="minorHAnsi"/>
          <w:kern w:val="2"/>
          <w:lang w:eastAsia="en-US"/>
          <w14:ligatures w14:val="standardContextual"/>
        </w:rPr>
      </w:pPr>
      <w:r w:rsidRPr="00D643E4">
        <w:rPr>
          <w:rFonts w:eastAsiaTheme="minorHAnsi"/>
          <w:kern w:val="2"/>
          <w:lang w:eastAsia="en-US"/>
          <w14:ligatures w14:val="standardContextual"/>
        </w:rPr>
        <w:t>Procjena iz stavka 1. ovog članka sastavni je dio ove Odluke  i neće se objaviti u Službenim novinama Općine Marčana. Procjena iz stavka 1. ovog članka objaviti će se na internetskoj stranici Općine Marčana www.marcana.</w:t>
      </w:r>
    </w:p>
    <w:p w14:paraId="642D0230" w14:textId="77777777" w:rsidR="00D643E4" w:rsidRPr="00D643E4" w:rsidRDefault="00D643E4" w:rsidP="00D643E4">
      <w:pPr>
        <w:spacing w:after="160" w:line="259" w:lineRule="auto"/>
        <w:jc w:val="center"/>
        <w:rPr>
          <w:rFonts w:eastAsiaTheme="minorHAnsi"/>
          <w:kern w:val="2"/>
          <w:lang w:eastAsia="en-US"/>
          <w14:ligatures w14:val="standardContextual"/>
        </w:rPr>
      </w:pPr>
      <w:r w:rsidRPr="00D643E4">
        <w:rPr>
          <w:rFonts w:eastAsiaTheme="minorHAnsi"/>
          <w:kern w:val="2"/>
          <w:lang w:eastAsia="en-US"/>
          <w14:ligatures w14:val="standardContextual"/>
        </w:rPr>
        <w:t>Članak 3.</w:t>
      </w:r>
    </w:p>
    <w:p w14:paraId="2DB9E187" w14:textId="77777777" w:rsidR="00D643E4" w:rsidRPr="00D643E4" w:rsidRDefault="00D643E4" w:rsidP="00D643E4">
      <w:pPr>
        <w:spacing w:after="160" w:line="259" w:lineRule="auto"/>
        <w:ind w:firstLine="708"/>
        <w:jc w:val="both"/>
        <w:rPr>
          <w:rFonts w:eastAsiaTheme="minorHAnsi"/>
          <w:kern w:val="2"/>
          <w:lang w:eastAsia="en-US"/>
          <w14:ligatures w14:val="standardContextual"/>
        </w:rPr>
      </w:pPr>
      <w:r w:rsidRPr="00D643E4">
        <w:rPr>
          <w:rFonts w:eastAsiaTheme="minorHAnsi"/>
          <w:kern w:val="2"/>
          <w:lang w:eastAsia="en-US"/>
          <w14:ligatures w14:val="standardContextual"/>
        </w:rPr>
        <w:t xml:space="preserve">Procjenu je izradilo ovlašteno trgovačko društvo DLS d.o.o., sa sjedištem u Rijeci, Ulica Franje </w:t>
      </w:r>
      <w:proofErr w:type="spellStart"/>
      <w:r w:rsidRPr="00D643E4">
        <w:rPr>
          <w:rFonts w:eastAsiaTheme="minorHAnsi"/>
          <w:kern w:val="2"/>
          <w:lang w:eastAsia="en-US"/>
          <w14:ligatures w14:val="standardContextual"/>
        </w:rPr>
        <w:t>Čandeka</w:t>
      </w:r>
      <w:proofErr w:type="spellEnd"/>
      <w:r w:rsidRPr="00D643E4">
        <w:rPr>
          <w:rFonts w:eastAsiaTheme="minorHAnsi"/>
          <w:kern w:val="2"/>
          <w:lang w:eastAsia="en-US"/>
          <w14:ligatures w14:val="standardContextual"/>
        </w:rPr>
        <w:t xml:space="preserve"> 23B, u koordinaciji s Općinom Marčana kao naručiteljem izrade.</w:t>
      </w:r>
    </w:p>
    <w:p w14:paraId="4F0DB5B5" w14:textId="77777777" w:rsidR="00D643E4" w:rsidRPr="00D643E4" w:rsidRDefault="00D643E4" w:rsidP="00D643E4">
      <w:pPr>
        <w:spacing w:after="160" w:line="259" w:lineRule="auto"/>
        <w:jc w:val="center"/>
        <w:rPr>
          <w:rFonts w:eastAsiaTheme="minorHAnsi"/>
          <w:kern w:val="2"/>
          <w:lang w:eastAsia="en-US"/>
          <w14:ligatures w14:val="standardContextual"/>
        </w:rPr>
      </w:pPr>
      <w:r w:rsidRPr="00D643E4">
        <w:rPr>
          <w:rFonts w:eastAsiaTheme="minorHAnsi"/>
          <w:kern w:val="2"/>
          <w:lang w:eastAsia="en-US"/>
          <w14:ligatures w14:val="standardContextual"/>
        </w:rPr>
        <w:t>Članak 4.</w:t>
      </w:r>
    </w:p>
    <w:p w14:paraId="5C00CD66" w14:textId="77777777" w:rsidR="00D643E4" w:rsidRPr="00D643E4" w:rsidRDefault="00D643E4" w:rsidP="00D643E4">
      <w:pPr>
        <w:spacing w:after="160" w:line="259" w:lineRule="auto"/>
        <w:ind w:firstLine="708"/>
        <w:jc w:val="both"/>
        <w:rPr>
          <w:rFonts w:eastAsiaTheme="minorHAnsi"/>
          <w:kern w:val="2"/>
          <w:lang w:eastAsia="en-US"/>
          <w14:ligatures w14:val="standardContextual"/>
        </w:rPr>
      </w:pPr>
      <w:r w:rsidRPr="00D643E4">
        <w:rPr>
          <w:rFonts w:eastAsiaTheme="minorHAnsi"/>
          <w:kern w:val="2"/>
          <w:lang w:eastAsia="en-US"/>
          <w14:ligatures w14:val="standardContextual"/>
        </w:rPr>
        <w:t>Ova Odluka stupa na snagu osmog dana od dana objave u “Službenim novinama Općine Marčana“</w:t>
      </w:r>
    </w:p>
    <w:p w14:paraId="25D4AA6F" w14:textId="77777777" w:rsidR="00D643E4" w:rsidRPr="00D643E4" w:rsidRDefault="00D643E4" w:rsidP="00D643E4">
      <w:pPr>
        <w:spacing w:after="160" w:line="259" w:lineRule="auto"/>
        <w:jc w:val="both"/>
        <w:rPr>
          <w:rFonts w:eastAsiaTheme="minorHAnsi"/>
          <w:kern w:val="2"/>
          <w:lang w:eastAsia="en-US"/>
          <w14:ligatures w14:val="standardContextual"/>
        </w:rPr>
      </w:pPr>
    </w:p>
    <w:p w14:paraId="6A9B18C6" w14:textId="77777777" w:rsidR="00D643E4" w:rsidRPr="00D643E4" w:rsidRDefault="00D643E4" w:rsidP="00D643E4">
      <w:pPr>
        <w:jc w:val="both"/>
      </w:pPr>
      <w:r w:rsidRPr="00D643E4">
        <w:t>KLASA: 240-03/25-01/1</w:t>
      </w:r>
    </w:p>
    <w:p w14:paraId="5B124376" w14:textId="77777777" w:rsidR="00D643E4" w:rsidRPr="00D643E4" w:rsidRDefault="00D643E4" w:rsidP="00D643E4">
      <w:pPr>
        <w:jc w:val="both"/>
      </w:pPr>
      <w:r w:rsidRPr="00D643E4">
        <w:t>URBROJ: 2163-26-1-26-6</w:t>
      </w:r>
    </w:p>
    <w:p w14:paraId="66B2F668" w14:textId="77777777" w:rsidR="00D643E4" w:rsidRPr="00D643E4" w:rsidRDefault="00D643E4" w:rsidP="00D643E4">
      <w:pPr>
        <w:jc w:val="both"/>
        <w:rPr>
          <w:b/>
        </w:rPr>
      </w:pPr>
      <w:r w:rsidRPr="00D643E4">
        <w:t>Marčana, 28. svibnja 2026.</w:t>
      </w:r>
    </w:p>
    <w:p w14:paraId="7AA3ED3D" w14:textId="77777777" w:rsidR="00D643E4" w:rsidRPr="00D643E4" w:rsidRDefault="00D643E4" w:rsidP="00D643E4">
      <w:pPr>
        <w:jc w:val="both"/>
        <w:rPr>
          <w:szCs w:val="20"/>
        </w:rPr>
      </w:pPr>
    </w:p>
    <w:p w14:paraId="7DD127DB" w14:textId="77777777" w:rsidR="00D643E4" w:rsidRPr="00D643E4" w:rsidRDefault="00D643E4" w:rsidP="00D643E4">
      <w:pPr>
        <w:jc w:val="both"/>
        <w:rPr>
          <w:szCs w:val="20"/>
        </w:rPr>
      </w:pPr>
    </w:p>
    <w:p w14:paraId="5BF2EF92" w14:textId="77777777" w:rsidR="00D643E4" w:rsidRPr="00D643E4" w:rsidRDefault="00D643E4" w:rsidP="00D643E4">
      <w:pPr>
        <w:ind w:left="2160"/>
        <w:jc w:val="both"/>
        <w:rPr>
          <w:b/>
          <w:szCs w:val="20"/>
        </w:rPr>
      </w:pPr>
      <w:r w:rsidRPr="00D643E4">
        <w:rPr>
          <w:b/>
          <w:szCs w:val="20"/>
        </w:rPr>
        <w:t xml:space="preserve">                                        OPĆINSKO VIJEĆE OPĆINE MARČANA</w:t>
      </w:r>
    </w:p>
    <w:p w14:paraId="11DDAD5A" w14:textId="77777777" w:rsidR="00D643E4" w:rsidRPr="00D643E4" w:rsidRDefault="00D643E4" w:rsidP="00D643E4">
      <w:pPr>
        <w:jc w:val="both"/>
        <w:rPr>
          <w:b/>
          <w:szCs w:val="20"/>
        </w:rPr>
      </w:pPr>
      <w:r w:rsidRPr="00D643E4">
        <w:rPr>
          <w:b/>
          <w:szCs w:val="20"/>
        </w:rPr>
        <w:t xml:space="preserve">                                                                                                      PREDSJEDNIK</w:t>
      </w:r>
    </w:p>
    <w:p w14:paraId="00500C19" w14:textId="239A3451" w:rsidR="00D643E4" w:rsidRPr="00D643E4" w:rsidRDefault="00D643E4" w:rsidP="00D643E4">
      <w:pPr>
        <w:jc w:val="both"/>
        <w:rPr>
          <w:b/>
          <w:szCs w:val="20"/>
        </w:rPr>
      </w:pPr>
      <w:r w:rsidRPr="00D643E4">
        <w:rPr>
          <w:b/>
          <w:szCs w:val="20"/>
        </w:rPr>
        <w:t xml:space="preserve">                                                                                                     Denis </w:t>
      </w:r>
      <w:proofErr w:type="spellStart"/>
      <w:r w:rsidRPr="00D643E4">
        <w:rPr>
          <w:b/>
          <w:szCs w:val="20"/>
        </w:rPr>
        <w:t>Diković</w:t>
      </w:r>
      <w:proofErr w:type="spellEnd"/>
      <w:r>
        <w:rPr>
          <w:b/>
          <w:szCs w:val="20"/>
        </w:rPr>
        <w:t>, v.r.</w:t>
      </w:r>
    </w:p>
    <w:p w14:paraId="19ECC99D" w14:textId="77777777" w:rsidR="00D643E4" w:rsidRDefault="00D643E4" w:rsidP="00D643E4">
      <w:pPr>
        <w:spacing w:after="160" w:line="259" w:lineRule="auto"/>
        <w:rPr>
          <w:rFonts w:asciiTheme="minorHAnsi" w:eastAsiaTheme="minorHAnsi" w:hAnsiTheme="minorHAnsi" w:cstheme="minorBidi"/>
          <w:kern w:val="2"/>
          <w:sz w:val="22"/>
          <w:szCs w:val="22"/>
          <w:lang w:eastAsia="en-US"/>
          <w14:ligatures w14:val="standardContextual"/>
        </w:rPr>
      </w:pPr>
    </w:p>
    <w:p w14:paraId="3FF94D58" w14:textId="510BBE82" w:rsidR="00D643E4" w:rsidRDefault="00D643E4" w:rsidP="00D643E4">
      <w:pPr>
        <w:spacing w:after="160" w:line="259" w:lineRule="auto"/>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__________________________________________________________________________________</w:t>
      </w:r>
    </w:p>
    <w:p w14:paraId="52BF2347" w14:textId="77777777" w:rsidR="00D643E4" w:rsidRDefault="00D643E4" w:rsidP="00D643E4">
      <w:pPr>
        <w:spacing w:after="160" w:line="259" w:lineRule="auto"/>
        <w:rPr>
          <w:rFonts w:asciiTheme="minorHAnsi" w:eastAsiaTheme="minorHAnsi" w:hAnsiTheme="minorHAnsi" w:cstheme="minorBidi"/>
          <w:kern w:val="2"/>
          <w:sz w:val="22"/>
          <w:szCs w:val="22"/>
          <w:lang w:eastAsia="en-US"/>
          <w14:ligatures w14:val="standardContextual"/>
        </w:rPr>
      </w:pPr>
    </w:p>
    <w:p w14:paraId="1567D1E9" w14:textId="77777777" w:rsidR="00C464F2" w:rsidRPr="00C464F2" w:rsidRDefault="00C464F2" w:rsidP="00C464F2">
      <w:pPr>
        <w:ind w:firstLine="708"/>
        <w:jc w:val="both"/>
        <w:rPr>
          <w:sz w:val="20"/>
          <w:szCs w:val="20"/>
        </w:rPr>
      </w:pPr>
      <w:r w:rsidRPr="00C464F2">
        <w:rPr>
          <w:szCs w:val="20"/>
        </w:rPr>
        <w:t>Na temelju članka 10. stavka 1. Zakona o plaćama u lokalnoj i područnoj (regionalnoj) samoupravi („Narodne novine“, br. 28/10. i 10/23.) i članka 36. točke 2. Statuta Općine Marčana (“Službene novine Općine Marčana”, br. 7/09., 2/13., 4/13- pročišćeni tekst, 3/21. i 14/22.), na prijedlog Načelnika Općine Marčana, Općinsko vijeće Općine Marčana, na svojoj 6. sjednici održanoj dana 28. svibnja 2026. godine, donosi</w:t>
      </w:r>
    </w:p>
    <w:p w14:paraId="4AEC88CC" w14:textId="77777777" w:rsidR="00C464F2" w:rsidRPr="00C464F2" w:rsidRDefault="00C464F2" w:rsidP="00C464F2">
      <w:pPr>
        <w:keepNext/>
        <w:outlineLvl w:val="2"/>
        <w:rPr>
          <w:b/>
          <w:snapToGrid w:val="0"/>
          <w:sz w:val="28"/>
          <w:szCs w:val="28"/>
          <w:lang w:eastAsia="en-US"/>
        </w:rPr>
      </w:pPr>
    </w:p>
    <w:p w14:paraId="678F5958" w14:textId="77777777" w:rsidR="00C464F2" w:rsidRDefault="00C464F2" w:rsidP="00C464F2">
      <w:pPr>
        <w:keepNext/>
        <w:jc w:val="center"/>
        <w:outlineLvl w:val="2"/>
        <w:rPr>
          <w:b/>
          <w:snapToGrid w:val="0"/>
          <w:sz w:val="28"/>
          <w:szCs w:val="28"/>
          <w:lang w:eastAsia="en-US"/>
        </w:rPr>
      </w:pPr>
    </w:p>
    <w:p w14:paraId="6F48D9F1" w14:textId="79666075" w:rsidR="00C464F2" w:rsidRPr="00C464F2" w:rsidRDefault="00C464F2" w:rsidP="00C464F2">
      <w:pPr>
        <w:keepNext/>
        <w:jc w:val="center"/>
        <w:outlineLvl w:val="2"/>
        <w:rPr>
          <w:b/>
          <w:snapToGrid w:val="0"/>
          <w:sz w:val="28"/>
          <w:szCs w:val="28"/>
          <w:lang w:eastAsia="en-US"/>
        </w:rPr>
      </w:pPr>
      <w:r w:rsidRPr="00C464F2">
        <w:rPr>
          <w:b/>
          <w:snapToGrid w:val="0"/>
          <w:sz w:val="28"/>
          <w:szCs w:val="28"/>
          <w:lang w:eastAsia="en-US"/>
        </w:rPr>
        <w:t xml:space="preserve">O D L U K U </w:t>
      </w:r>
    </w:p>
    <w:p w14:paraId="58DDD89A" w14:textId="77777777" w:rsidR="00C464F2" w:rsidRPr="00C464F2" w:rsidRDefault="00C464F2" w:rsidP="00C464F2">
      <w:pPr>
        <w:jc w:val="center"/>
        <w:rPr>
          <w:b/>
          <w:sz w:val="28"/>
          <w:szCs w:val="20"/>
        </w:rPr>
      </w:pPr>
      <w:bookmarkStart w:id="9" w:name="_Hlk158880346"/>
      <w:r w:rsidRPr="00C464F2">
        <w:rPr>
          <w:b/>
          <w:sz w:val="28"/>
          <w:szCs w:val="20"/>
        </w:rPr>
        <w:t xml:space="preserve">o izmjenama </w:t>
      </w:r>
      <w:bookmarkEnd w:id="9"/>
      <w:r w:rsidRPr="00C464F2">
        <w:rPr>
          <w:b/>
          <w:sz w:val="28"/>
          <w:szCs w:val="20"/>
        </w:rPr>
        <w:t xml:space="preserve">Odluke o koeficijentima za obračun plaće </w:t>
      </w:r>
    </w:p>
    <w:p w14:paraId="5F695824" w14:textId="77777777" w:rsidR="00C464F2" w:rsidRDefault="00C464F2" w:rsidP="00C464F2">
      <w:pPr>
        <w:jc w:val="center"/>
        <w:rPr>
          <w:b/>
          <w:sz w:val="28"/>
          <w:szCs w:val="20"/>
        </w:rPr>
      </w:pPr>
    </w:p>
    <w:p w14:paraId="51CB7512" w14:textId="01637417" w:rsidR="00C464F2" w:rsidRPr="00C464F2" w:rsidRDefault="00C464F2" w:rsidP="00C464F2">
      <w:pPr>
        <w:jc w:val="center"/>
        <w:rPr>
          <w:b/>
          <w:sz w:val="28"/>
          <w:szCs w:val="20"/>
        </w:rPr>
      </w:pPr>
      <w:r w:rsidRPr="00C464F2">
        <w:rPr>
          <w:b/>
          <w:sz w:val="28"/>
          <w:szCs w:val="20"/>
        </w:rPr>
        <w:t xml:space="preserve">službenika i namještenika u upravnim tijelima Općine Marčana </w:t>
      </w:r>
      <w:r w:rsidRPr="00C464F2">
        <w:rPr>
          <w:b/>
          <w:sz w:val="28"/>
          <w:szCs w:val="20"/>
        </w:rPr>
        <w:cr/>
      </w:r>
    </w:p>
    <w:p w14:paraId="05570750" w14:textId="77777777" w:rsidR="00C464F2" w:rsidRPr="00C464F2" w:rsidRDefault="00C464F2" w:rsidP="00C464F2">
      <w:pPr>
        <w:rPr>
          <w:sz w:val="12"/>
          <w:szCs w:val="20"/>
        </w:rPr>
      </w:pPr>
    </w:p>
    <w:p w14:paraId="76C03E62" w14:textId="77777777" w:rsidR="00C464F2" w:rsidRPr="00C464F2" w:rsidRDefault="00C464F2" w:rsidP="00C464F2">
      <w:pPr>
        <w:jc w:val="center"/>
        <w:rPr>
          <w:b/>
          <w:szCs w:val="20"/>
        </w:rPr>
      </w:pPr>
      <w:r w:rsidRPr="00C464F2">
        <w:rPr>
          <w:b/>
          <w:szCs w:val="20"/>
        </w:rPr>
        <w:t>Članak  1.</w:t>
      </w:r>
    </w:p>
    <w:p w14:paraId="482629E4" w14:textId="77777777" w:rsidR="00C464F2" w:rsidRPr="00C464F2" w:rsidRDefault="00C464F2" w:rsidP="00C464F2">
      <w:pPr>
        <w:ind w:firstLine="720"/>
        <w:jc w:val="both"/>
      </w:pPr>
      <w:r w:rsidRPr="00C464F2">
        <w:t>U Odluci o koeficijentima za obračun plaće službenika i namještenika u upravnim tijelima Općine Marčana („Službene novine Općine Marčana“, br. 18/22., 23/24. i 19/25.), članak 3. mijenja se i glasi:</w:t>
      </w:r>
    </w:p>
    <w:p w14:paraId="7B21E611" w14:textId="77777777" w:rsidR="00C464F2" w:rsidRPr="00C464F2" w:rsidRDefault="00C464F2" w:rsidP="00C464F2">
      <w:pPr>
        <w:widowControl w:val="0"/>
        <w:shd w:val="clear" w:color="auto" w:fill="FFFFFF"/>
        <w:tabs>
          <w:tab w:val="left" w:pos="0"/>
          <w:tab w:val="left" w:pos="9072"/>
        </w:tabs>
        <w:autoSpaceDE w:val="0"/>
        <w:autoSpaceDN w:val="0"/>
        <w:adjustRightInd w:val="0"/>
        <w:spacing w:before="288" w:line="240" w:lineRule="exact"/>
        <w:ind w:right="-283"/>
        <w:jc w:val="center"/>
        <w:rPr>
          <w:b/>
          <w:bCs/>
          <w:spacing w:val="-2"/>
        </w:rPr>
      </w:pPr>
      <w:r w:rsidRPr="00C464F2">
        <w:rPr>
          <w:b/>
          <w:bCs/>
          <w:spacing w:val="-2"/>
        </w:rPr>
        <w:t>„Članak 3.</w:t>
      </w:r>
    </w:p>
    <w:p w14:paraId="5E841D00" w14:textId="77777777" w:rsidR="00C464F2" w:rsidRPr="00C464F2" w:rsidRDefault="00C464F2" w:rsidP="00C464F2">
      <w:pPr>
        <w:widowControl w:val="0"/>
        <w:shd w:val="clear" w:color="auto" w:fill="FFFFFF"/>
        <w:tabs>
          <w:tab w:val="left" w:pos="0"/>
          <w:tab w:val="left" w:pos="9072"/>
        </w:tabs>
        <w:autoSpaceDE w:val="0"/>
        <w:autoSpaceDN w:val="0"/>
        <w:adjustRightInd w:val="0"/>
        <w:spacing w:before="5" w:line="240" w:lineRule="exact"/>
        <w:ind w:right="-283" w:firstLine="709"/>
        <w:jc w:val="both"/>
      </w:pPr>
      <w:r w:rsidRPr="00C464F2">
        <w:t>Koeficijenti za obračun plaće službenika i namještenika u Upravnom odjelu za društvene djelatnosti, gospodarstvo, financije i javnu nabavu  određuju se unutar kategorije, potkategorije, razine potkategorije i klasifikacijskog ranga radnih mjesta kako slijedi:</w:t>
      </w:r>
    </w:p>
    <w:p w14:paraId="0D596889" w14:textId="77777777" w:rsidR="00C464F2" w:rsidRPr="00C464F2" w:rsidRDefault="00C464F2" w:rsidP="00C464F2">
      <w:pPr>
        <w:ind w:firstLine="720"/>
        <w:jc w:val="both"/>
      </w:pP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2194"/>
        <w:gridCol w:w="3894"/>
        <w:gridCol w:w="1134"/>
        <w:gridCol w:w="992"/>
        <w:gridCol w:w="1134"/>
      </w:tblGrid>
      <w:tr w:rsidR="00C464F2" w:rsidRPr="00C464F2" w14:paraId="7D4C525F" w14:textId="77777777" w:rsidTr="00BB1392">
        <w:trPr>
          <w:tblCellSpacing w:w="15" w:type="dxa"/>
        </w:trPr>
        <w:tc>
          <w:tcPr>
            <w:tcW w:w="9288" w:type="dxa"/>
            <w:gridSpan w:val="5"/>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0C19F3" w14:textId="77777777" w:rsidR="00C464F2" w:rsidRPr="00C464F2" w:rsidRDefault="00C464F2" w:rsidP="00C464F2">
            <w:pPr>
              <w:spacing w:before="100" w:beforeAutospacing="1" w:after="100" w:afterAutospacing="1"/>
            </w:pPr>
            <w:r w:rsidRPr="00C464F2">
              <w:rPr>
                <w:b/>
                <w:bCs/>
              </w:rPr>
              <w:t>RADNA MJESTA I. KATEGORIJE</w:t>
            </w:r>
          </w:p>
        </w:tc>
      </w:tr>
      <w:tr w:rsidR="00C464F2" w:rsidRPr="00C464F2" w14:paraId="19336217" w14:textId="77777777" w:rsidTr="00BB1392">
        <w:trPr>
          <w:trHeight w:val="395"/>
          <w:tblCellSpacing w:w="15" w:type="dxa"/>
        </w:trPr>
        <w:tc>
          <w:tcPr>
            <w:tcW w:w="2149" w:type="dxa"/>
            <w:vMerge w:val="restart"/>
            <w:tcBorders>
              <w:top w:val="single" w:sz="6" w:space="0" w:color="666666"/>
              <w:left w:val="single" w:sz="6" w:space="0" w:color="666666"/>
              <w:right w:val="single" w:sz="6" w:space="0" w:color="666666"/>
            </w:tcBorders>
            <w:tcMar>
              <w:top w:w="45" w:type="dxa"/>
              <w:left w:w="45" w:type="dxa"/>
              <w:bottom w:w="45" w:type="dxa"/>
              <w:right w:w="45" w:type="dxa"/>
            </w:tcMar>
            <w:vAlign w:val="center"/>
            <w:hideMark/>
          </w:tcPr>
          <w:p w14:paraId="7400F135" w14:textId="77777777" w:rsidR="00C464F2" w:rsidRPr="00C464F2" w:rsidRDefault="00C464F2" w:rsidP="00C464F2">
            <w:pPr>
              <w:spacing w:before="100" w:beforeAutospacing="1" w:after="100" w:afterAutospacing="1"/>
            </w:pPr>
            <w:r w:rsidRPr="00C464F2">
              <w:rPr>
                <w:b/>
                <w:bCs/>
              </w:rPr>
              <w:t>Potkategorija</w:t>
            </w:r>
            <w:r w:rsidRPr="00C464F2">
              <w:rPr>
                <w:b/>
                <w:bCs/>
              </w:rPr>
              <w:br/>
              <w:t>radnog mjesta</w:t>
            </w:r>
          </w:p>
        </w:tc>
        <w:tc>
          <w:tcPr>
            <w:tcW w:w="4998"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327144" w14:textId="77777777" w:rsidR="00C464F2" w:rsidRPr="00C464F2" w:rsidRDefault="00C464F2" w:rsidP="00C464F2">
            <w:pPr>
              <w:spacing w:before="100" w:beforeAutospacing="1" w:after="100" w:afterAutospacing="1"/>
              <w:rPr>
                <w:i/>
              </w:rPr>
            </w:pPr>
            <w:r w:rsidRPr="00C464F2">
              <w:rPr>
                <w:b/>
                <w:bCs/>
                <w:i/>
              </w:rPr>
              <w:t>Naziv unutarnje ustrojstvene jedinice</w:t>
            </w:r>
          </w:p>
        </w:tc>
        <w:tc>
          <w:tcPr>
            <w:tcW w:w="962" w:type="dxa"/>
            <w:vMerge w:val="restart"/>
            <w:tcBorders>
              <w:top w:val="single" w:sz="6" w:space="0" w:color="666666"/>
              <w:left w:val="single" w:sz="6" w:space="0" w:color="666666"/>
              <w:right w:val="single" w:sz="6" w:space="0" w:color="666666"/>
            </w:tcBorders>
            <w:tcMar>
              <w:top w:w="45" w:type="dxa"/>
              <w:left w:w="45" w:type="dxa"/>
              <w:bottom w:w="45" w:type="dxa"/>
              <w:right w:w="45" w:type="dxa"/>
            </w:tcMar>
            <w:textDirection w:val="btLr"/>
            <w:vAlign w:val="center"/>
            <w:hideMark/>
          </w:tcPr>
          <w:p w14:paraId="21303704" w14:textId="77777777" w:rsidR="00C464F2" w:rsidRPr="00C464F2" w:rsidRDefault="00C464F2" w:rsidP="00C464F2">
            <w:pPr>
              <w:spacing w:before="100" w:beforeAutospacing="1" w:after="100" w:afterAutospacing="1"/>
              <w:ind w:right="113"/>
            </w:pPr>
            <w:r w:rsidRPr="00C464F2">
              <w:rPr>
                <w:b/>
                <w:bCs/>
              </w:rPr>
              <w:t>Klasifikacijski rang</w:t>
            </w:r>
          </w:p>
        </w:tc>
        <w:tc>
          <w:tcPr>
            <w:tcW w:w="1089" w:type="dxa"/>
            <w:vMerge w:val="restart"/>
            <w:tcBorders>
              <w:top w:val="single" w:sz="6" w:space="0" w:color="666666"/>
              <w:left w:val="single" w:sz="6" w:space="0" w:color="666666"/>
              <w:right w:val="single" w:sz="6" w:space="0" w:color="666666"/>
            </w:tcBorders>
            <w:textDirection w:val="btLr"/>
            <w:vAlign w:val="center"/>
          </w:tcPr>
          <w:p w14:paraId="51BB4ADA" w14:textId="77777777" w:rsidR="00C464F2" w:rsidRPr="00C464F2" w:rsidRDefault="00C464F2" w:rsidP="00C464F2">
            <w:pPr>
              <w:spacing w:before="100" w:beforeAutospacing="1" w:after="100" w:afterAutospacing="1"/>
              <w:ind w:right="113"/>
              <w:rPr>
                <w:b/>
                <w:bCs/>
              </w:rPr>
            </w:pPr>
            <w:r w:rsidRPr="00C464F2">
              <w:rPr>
                <w:b/>
                <w:bCs/>
              </w:rPr>
              <w:t>Koeficijent za obračun plaće</w:t>
            </w:r>
          </w:p>
        </w:tc>
      </w:tr>
      <w:tr w:rsidR="00C464F2" w:rsidRPr="00C464F2" w14:paraId="185DB497" w14:textId="77777777" w:rsidTr="00BB1392">
        <w:trPr>
          <w:trHeight w:val="1558"/>
          <w:tblCellSpacing w:w="15" w:type="dxa"/>
        </w:trPr>
        <w:tc>
          <w:tcPr>
            <w:tcW w:w="2149" w:type="dxa"/>
            <w:vMerge/>
            <w:tcBorders>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46DE7A" w14:textId="77777777" w:rsidR="00C464F2" w:rsidRPr="00C464F2" w:rsidRDefault="00C464F2" w:rsidP="00C464F2">
            <w:pPr>
              <w:spacing w:before="100" w:beforeAutospacing="1" w:after="100" w:afterAutospacing="1"/>
              <w:rPr>
                <w:b/>
                <w:bCs/>
              </w:rPr>
            </w:pPr>
          </w:p>
        </w:tc>
        <w:tc>
          <w:tcPr>
            <w:tcW w:w="4998"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D1CB28" w14:textId="77777777" w:rsidR="00C464F2" w:rsidRPr="00C464F2" w:rsidRDefault="00C464F2" w:rsidP="00C464F2">
            <w:pPr>
              <w:spacing w:before="100" w:beforeAutospacing="1" w:after="100" w:afterAutospacing="1"/>
              <w:rPr>
                <w:b/>
                <w:bCs/>
              </w:rPr>
            </w:pPr>
            <w:r w:rsidRPr="00C464F2">
              <w:rPr>
                <w:b/>
                <w:bCs/>
              </w:rPr>
              <w:t>Redni broj i naziv radnog mjesta</w:t>
            </w:r>
          </w:p>
        </w:tc>
        <w:tc>
          <w:tcPr>
            <w:tcW w:w="962" w:type="dxa"/>
            <w:vMerge/>
            <w:tcBorders>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6B9964" w14:textId="77777777" w:rsidR="00C464F2" w:rsidRPr="00C464F2" w:rsidRDefault="00C464F2" w:rsidP="00C464F2">
            <w:pPr>
              <w:spacing w:before="100" w:beforeAutospacing="1" w:after="100" w:afterAutospacing="1"/>
              <w:rPr>
                <w:b/>
                <w:bCs/>
              </w:rPr>
            </w:pPr>
          </w:p>
        </w:tc>
        <w:tc>
          <w:tcPr>
            <w:tcW w:w="1089" w:type="dxa"/>
            <w:vMerge/>
            <w:tcBorders>
              <w:left w:val="single" w:sz="6" w:space="0" w:color="666666"/>
              <w:bottom w:val="single" w:sz="6" w:space="0" w:color="666666"/>
              <w:right w:val="single" w:sz="6" w:space="0" w:color="666666"/>
            </w:tcBorders>
            <w:vAlign w:val="center"/>
          </w:tcPr>
          <w:p w14:paraId="69E885B1" w14:textId="77777777" w:rsidR="00C464F2" w:rsidRPr="00C464F2" w:rsidRDefault="00C464F2" w:rsidP="00C464F2">
            <w:pPr>
              <w:spacing w:before="100" w:beforeAutospacing="1" w:after="100" w:afterAutospacing="1"/>
              <w:rPr>
                <w:b/>
                <w:bCs/>
              </w:rPr>
            </w:pPr>
          </w:p>
        </w:tc>
      </w:tr>
      <w:tr w:rsidR="00C464F2" w:rsidRPr="00C464F2" w14:paraId="47076907" w14:textId="77777777" w:rsidTr="00BB1392">
        <w:trPr>
          <w:tblCellSpacing w:w="15" w:type="dxa"/>
        </w:trPr>
        <w:tc>
          <w:tcPr>
            <w:tcW w:w="214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E5BDCD" w14:textId="77777777" w:rsidR="00C464F2" w:rsidRPr="00C464F2" w:rsidRDefault="00C464F2" w:rsidP="00C464F2">
            <w:pPr>
              <w:spacing w:before="100" w:beforeAutospacing="1" w:after="100" w:afterAutospacing="1"/>
            </w:pPr>
            <w:r w:rsidRPr="00C464F2">
              <w:rPr>
                <w:b/>
                <w:bCs/>
              </w:rPr>
              <w:t>Glavni rukovoditelj</w:t>
            </w:r>
          </w:p>
        </w:tc>
        <w:tc>
          <w:tcPr>
            <w:tcW w:w="4998"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AF3D1C" w14:textId="77777777" w:rsidR="00C464F2" w:rsidRPr="00C464F2" w:rsidRDefault="00C464F2" w:rsidP="00C464F2">
            <w:pPr>
              <w:spacing w:before="100" w:beforeAutospacing="1" w:after="100" w:afterAutospacing="1"/>
            </w:pPr>
            <w:r w:rsidRPr="00C464F2">
              <w:t> 1.  Pročelnik Upravnog odjela za društvene djelatnosti, gospodarstvo, financije i  javnu nabavu Općine Marčana</w:t>
            </w:r>
          </w:p>
        </w:tc>
        <w:tc>
          <w:tcPr>
            <w:tcW w:w="962"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C83AA1" w14:textId="77777777" w:rsidR="00C464F2" w:rsidRPr="00C464F2" w:rsidRDefault="00C464F2" w:rsidP="00C464F2">
            <w:pPr>
              <w:spacing w:before="100" w:beforeAutospacing="1" w:after="100" w:afterAutospacing="1"/>
              <w:jc w:val="right"/>
            </w:pPr>
            <w:r w:rsidRPr="00C464F2">
              <w:t> 1.</w:t>
            </w:r>
          </w:p>
        </w:tc>
        <w:tc>
          <w:tcPr>
            <w:tcW w:w="1089" w:type="dxa"/>
            <w:tcBorders>
              <w:top w:val="single" w:sz="6" w:space="0" w:color="666666"/>
              <w:left w:val="single" w:sz="6" w:space="0" w:color="666666"/>
              <w:bottom w:val="single" w:sz="6" w:space="0" w:color="666666"/>
              <w:right w:val="single" w:sz="6" w:space="0" w:color="666666"/>
            </w:tcBorders>
            <w:vAlign w:val="center"/>
          </w:tcPr>
          <w:p w14:paraId="7E7E1C0F" w14:textId="77777777" w:rsidR="00C464F2" w:rsidRPr="00C464F2" w:rsidRDefault="00C464F2" w:rsidP="00C464F2">
            <w:pPr>
              <w:spacing w:before="100" w:beforeAutospacing="1" w:after="100" w:afterAutospacing="1"/>
              <w:jc w:val="right"/>
            </w:pPr>
            <w:r w:rsidRPr="00C464F2">
              <w:t xml:space="preserve"> 3,60</w:t>
            </w:r>
          </w:p>
        </w:tc>
      </w:tr>
      <w:tr w:rsidR="00C464F2" w:rsidRPr="00C464F2" w14:paraId="4242952F" w14:textId="77777777" w:rsidTr="00BB1392">
        <w:trPr>
          <w:trHeight w:val="627"/>
          <w:tblCellSpacing w:w="15" w:type="dxa"/>
        </w:trPr>
        <w:tc>
          <w:tcPr>
            <w:tcW w:w="2149" w:type="dxa"/>
            <w:vMerge w:val="restart"/>
            <w:tcBorders>
              <w:top w:val="single" w:sz="6" w:space="0" w:color="666666"/>
              <w:left w:val="single" w:sz="6" w:space="0" w:color="666666"/>
              <w:right w:val="single" w:sz="6" w:space="0" w:color="666666"/>
            </w:tcBorders>
            <w:tcMar>
              <w:top w:w="45" w:type="dxa"/>
              <w:left w:w="45" w:type="dxa"/>
              <w:bottom w:w="45" w:type="dxa"/>
              <w:right w:w="45" w:type="dxa"/>
            </w:tcMar>
            <w:vAlign w:val="center"/>
            <w:hideMark/>
          </w:tcPr>
          <w:p w14:paraId="02551BDF" w14:textId="77777777" w:rsidR="00C464F2" w:rsidRPr="00C464F2" w:rsidRDefault="00C464F2" w:rsidP="00C464F2">
            <w:pPr>
              <w:spacing w:before="100" w:beforeAutospacing="1" w:after="100" w:afterAutospacing="1"/>
            </w:pPr>
            <w:r w:rsidRPr="00C464F2">
              <w:rPr>
                <w:b/>
                <w:bCs/>
              </w:rPr>
              <w:t>Rukovoditelj</w:t>
            </w:r>
          </w:p>
        </w:tc>
        <w:tc>
          <w:tcPr>
            <w:tcW w:w="3864" w:type="dxa"/>
            <w:tcBorders>
              <w:top w:val="single" w:sz="6" w:space="0" w:color="666666"/>
              <w:left w:val="single" w:sz="6" w:space="0" w:color="666666"/>
              <w:right w:val="single" w:sz="6" w:space="0" w:color="666666"/>
            </w:tcBorders>
            <w:tcMar>
              <w:top w:w="45" w:type="dxa"/>
              <w:left w:w="45" w:type="dxa"/>
              <w:bottom w:w="45" w:type="dxa"/>
              <w:right w:w="45" w:type="dxa"/>
            </w:tcMar>
            <w:vAlign w:val="center"/>
            <w:hideMark/>
          </w:tcPr>
          <w:p w14:paraId="161AE3D3" w14:textId="77777777" w:rsidR="00C464F2" w:rsidRPr="00C464F2" w:rsidRDefault="00C464F2" w:rsidP="00C464F2">
            <w:pPr>
              <w:rPr>
                <w:i/>
              </w:rPr>
            </w:pPr>
            <w:r w:rsidRPr="00C464F2">
              <w:rPr>
                <w:i/>
              </w:rPr>
              <w:t>Odsjek za računovodstvo, financije i proračun</w:t>
            </w:r>
          </w:p>
        </w:tc>
        <w:tc>
          <w:tcPr>
            <w:tcW w:w="1104" w:type="dxa"/>
            <w:tcBorders>
              <w:top w:val="single" w:sz="6" w:space="0" w:color="666666"/>
              <w:left w:val="single" w:sz="6" w:space="0" w:color="666666"/>
              <w:right w:val="single" w:sz="6" w:space="0" w:color="666666"/>
            </w:tcBorders>
            <w:tcMar>
              <w:top w:w="45" w:type="dxa"/>
              <w:left w:w="45" w:type="dxa"/>
              <w:bottom w:w="45" w:type="dxa"/>
              <w:right w:w="45" w:type="dxa"/>
            </w:tcMar>
            <w:vAlign w:val="center"/>
            <w:hideMark/>
          </w:tcPr>
          <w:p w14:paraId="20A2D6C5" w14:textId="77777777" w:rsidR="00C464F2" w:rsidRPr="00C464F2" w:rsidRDefault="00C464F2" w:rsidP="00C464F2">
            <w:pPr>
              <w:spacing w:before="100" w:beforeAutospacing="1" w:after="100" w:afterAutospacing="1"/>
              <w:rPr>
                <w:b/>
              </w:rPr>
            </w:pPr>
            <w:r w:rsidRPr="00C464F2">
              <w:rPr>
                <w:b/>
              </w:rPr>
              <w:t>Razina</w:t>
            </w:r>
          </w:p>
        </w:tc>
        <w:tc>
          <w:tcPr>
            <w:tcW w:w="2081" w:type="dxa"/>
            <w:gridSpan w:val="2"/>
            <w:tcBorders>
              <w:top w:val="single" w:sz="6" w:space="0" w:color="666666"/>
              <w:left w:val="single" w:sz="6" w:space="0" w:color="666666"/>
              <w:right w:val="single" w:sz="6" w:space="0" w:color="666666"/>
            </w:tcBorders>
            <w:tcMar>
              <w:top w:w="45" w:type="dxa"/>
              <w:left w:w="45" w:type="dxa"/>
              <w:bottom w:w="45" w:type="dxa"/>
              <w:right w:w="45" w:type="dxa"/>
            </w:tcMar>
            <w:vAlign w:val="center"/>
            <w:hideMark/>
          </w:tcPr>
          <w:p w14:paraId="22160821" w14:textId="77777777" w:rsidR="00C464F2" w:rsidRPr="00C464F2" w:rsidRDefault="00C464F2" w:rsidP="00C464F2">
            <w:pPr>
              <w:spacing w:before="100" w:beforeAutospacing="1" w:after="100" w:afterAutospacing="1"/>
            </w:pPr>
            <w:r w:rsidRPr="00C464F2">
              <w:t> </w:t>
            </w:r>
          </w:p>
        </w:tc>
      </w:tr>
      <w:tr w:rsidR="00C464F2" w:rsidRPr="00C464F2" w14:paraId="0F6FD8C7" w14:textId="77777777" w:rsidTr="00BB1392">
        <w:trPr>
          <w:trHeight w:val="1128"/>
          <w:tblCellSpacing w:w="15" w:type="dxa"/>
        </w:trPr>
        <w:tc>
          <w:tcPr>
            <w:tcW w:w="2149" w:type="dxa"/>
            <w:vMerge/>
            <w:tcBorders>
              <w:left w:val="single" w:sz="6" w:space="0" w:color="666666"/>
              <w:right w:val="single" w:sz="6" w:space="0" w:color="666666"/>
            </w:tcBorders>
            <w:tcMar>
              <w:top w:w="45" w:type="dxa"/>
              <w:left w:w="45" w:type="dxa"/>
              <w:bottom w:w="45" w:type="dxa"/>
              <w:right w:w="45" w:type="dxa"/>
            </w:tcMar>
            <w:vAlign w:val="center"/>
            <w:hideMark/>
          </w:tcPr>
          <w:p w14:paraId="0F61F296" w14:textId="77777777" w:rsidR="00C464F2" w:rsidRPr="00C464F2" w:rsidRDefault="00C464F2" w:rsidP="00C464F2">
            <w:pPr>
              <w:spacing w:before="100" w:beforeAutospacing="1" w:after="100" w:afterAutospacing="1"/>
            </w:pPr>
          </w:p>
        </w:tc>
        <w:tc>
          <w:tcPr>
            <w:tcW w:w="3864" w:type="dxa"/>
            <w:tcBorders>
              <w:top w:val="single" w:sz="6" w:space="0" w:color="666666"/>
              <w:left w:val="single" w:sz="6" w:space="0" w:color="666666"/>
              <w:right w:val="single" w:sz="6" w:space="0" w:color="666666"/>
            </w:tcBorders>
            <w:tcMar>
              <w:top w:w="45" w:type="dxa"/>
              <w:left w:w="45" w:type="dxa"/>
              <w:bottom w:w="45" w:type="dxa"/>
              <w:right w:w="45" w:type="dxa"/>
            </w:tcMar>
            <w:vAlign w:val="center"/>
            <w:hideMark/>
          </w:tcPr>
          <w:p w14:paraId="3BA4150C" w14:textId="77777777" w:rsidR="00C464F2" w:rsidRPr="00C464F2" w:rsidRDefault="00C464F2" w:rsidP="00C464F2">
            <w:pPr>
              <w:spacing w:before="100" w:beforeAutospacing="1" w:after="100" w:afterAutospacing="1"/>
            </w:pPr>
            <w:r w:rsidRPr="00C464F2">
              <w:t>2.Voditelj Odsjeka za računovodstvo, financije i proračun</w:t>
            </w:r>
          </w:p>
        </w:tc>
        <w:tc>
          <w:tcPr>
            <w:tcW w:w="1104" w:type="dxa"/>
            <w:tcBorders>
              <w:top w:val="single" w:sz="6" w:space="0" w:color="666666"/>
              <w:left w:val="single" w:sz="6" w:space="0" w:color="666666"/>
              <w:right w:val="single" w:sz="6" w:space="0" w:color="666666"/>
            </w:tcBorders>
            <w:tcMar>
              <w:top w:w="45" w:type="dxa"/>
              <w:left w:w="45" w:type="dxa"/>
              <w:bottom w:w="45" w:type="dxa"/>
              <w:right w:w="45" w:type="dxa"/>
            </w:tcMar>
            <w:vAlign w:val="center"/>
            <w:hideMark/>
          </w:tcPr>
          <w:p w14:paraId="20C83BD0" w14:textId="77777777" w:rsidR="00C464F2" w:rsidRPr="00C464F2" w:rsidRDefault="00C464F2" w:rsidP="00C464F2">
            <w:pPr>
              <w:spacing w:before="100" w:beforeAutospacing="1" w:after="100" w:afterAutospacing="1"/>
            </w:pPr>
            <w:r w:rsidRPr="00C464F2">
              <w:t>2.</w:t>
            </w:r>
          </w:p>
        </w:tc>
        <w:tc>
          <w:tcPr>
            <w:tcW w:w="962" w:type="dxa"/>
            <w:tcBorders>
              <w:top w:val="single" w:sz="6" w:space="0" w:color="666666"/>
              <w:left w:val="single" w:sz="6" w:space="0" w:color="666666"/>
              <w:right w:val="single" w:sz="6" w:space="0" w:color="666666"/>
            </w:tcBorders>
            <w:tcMar>
              <w:top w:w="45" w:type="dxa"/>
              <w:left w:w="45" w:type="dxa"/>
              <w:bottom w:w="45" w:type="dxa"/>
              <w:right w:w="45" w:type="dxa"/>
            </w:tcMar>
            <w:vAlign w:val="center"/>
            <w:hideMark/>
          </w:tcPr>
          <w:p w14:paraId="3CAB54DB" w14:textId="77777777" w:rsidR="00C464F2" w:rsidRPr="00C464F2" w:rsidRDefault="00C464F2" w:rsidP="00C464F2">
            <w:pPr>
              <w:spacing w:before="100" w:beforeAutospacing="1" w:after="100" w:afterAutospacing="1"/>
              <w:jc w:val="right"/>
            </w:pPr>
            <w:r w:rsidRPr="00C464F2">
              <w:t>7.</w:t>
            </w:r>
          </w:p>
        </w:tc>
        <w:tc>
          <w:tcPr>
            <w:tcW w:w="1089" w:type="dxa"/>
            <w:tcBorders>
              <w:top w:val="single" w:sz="6" w:space="0" w:color="666666"/>
              <w:left w:val="single" w:sz="6" w:space="0" w:color="666666"/>
              <w:right w:val="single" w:sz="6" w:space="0" w:color="666666"/>
            </w:tcBorders>
            <w:vAlign w:val="center"/>
          </w:tcPr>
          <w:p w14:paraId="13E33B8A" w14:textId="77777777" w:rsidR="00C464F2" w:rsidRPr="00C464F2" w:rsidRDefault="00C464F2" w:rsidP="00C464F2">
            <w:pPr>
              <w:spacing w:before="100" w:beforeAutospacing="1" w:after="100" w:afterAutospacing="1"/>
              <w:jc w:val="right"/>
            </w:pPr>
            <w:r w:rsidRPr="00C464F2">
              <w:t xml:space="preserve"> 2,80</w:t>
            </w:r>
          </w:p>
        </w:tc>
      </w:tr>
      <w:tr w:rsidR="00C464F2" w:rsidRPr="00C464F2" w14:paraId="26019971" w14:textId="77777777" w:rsidTr="00BB1392">
        <w:trPr>
          <w:tblCellSpacing w:w="15" w:type="dxa"/>
        </w:trPr>
        <w:tc>
          <w:tcPr>
            <w:tcW w:w="9288" w:type="dxa"/>
            <w:gridSpan w:val="5"/>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DC143F" w14:textId="77777777" w:rsidR="00C464F2" w:rsidRPr="00C464F2" w:rsidRDefault="00C464F2" w:rsidP="00C464F2">
            <w:pPr>
              <w:spacing w:before="100" w:beforeAutospacing="1" w:after="100" w:afterAutospacing="1"/>
            </w:pPr>
            <w:r w:rsidRPr="00C464F2">
              <w:rPr>
                <w:b/>
                <w:bCs/>
              </w:rPr>
              <w:t>RADNA MJESTA II. KATEGORIJE</w:t>
            </w:r>
          </w:p>
        </w:tc>
      </w:tr>
      <w:tr w:rsidR="00C464F2" w:rsidRPr="00C464F2" w14:paraId="5F290EF8" w14:textId="77777777" w:rsidTr="00BB1392">
        <w:trPr>
          <w:trHeight w:val="1101"/>
          <w:tblCellSpacing w:w="15" w:type="dxa"/>
        </w:trPr>
        <w:tc>
          <w:tcPr>
            <w:tcW w:w="2149" w:type="dxa"/>
            <w:tcBorders>
              <w:top w:val="single" w:sz="6" w:space="0" w:color="666666"/>
              <w:left w:val="single" w:sz="6" w:space="0" w:color="666666"/>
              <w:right w:val="single" w:sz="6" w:space="0" w:color="666666"/>
            </w:tcBorders>
            <w:tcMar>
              <w:top w:w="45" w:type="dxa"/>
              <w:left w:w="45" w:type="dxa"/>
              <w:bottom w:w="45" w:type="dxa"/>
              <w:right w:w="45" w:type="dxa"/>
            </w:tcMar>
            <w:vAlign w:val="center"/>
          </w:tcPr>
          <w:p w14:paraId="266854C0" w14:textId="77777777" w:rsidR="00C464F2" w:rsidRPr="00C464F2" w:rsidRDefault="00C464F2" w:rsidP="00C464F2">
            <w:pPr>
              <w:spacing w:before="100" w:beforeAutospacing="1" w:after="100" w:afterAutospacing="1"/>
              <w:rPr>
                <w:b/>
                <w:bCs/>
              </w:rPr>
            </w:pPr>
            <w:r w:rsidRPr="00C464F2">
              <w:rPr>
                <w:b/>
                <w:bCs/>
              </w:rPr>
              <w:t>Savjetnik</w:t>
            </w:r>
          </w:p>
        </w:tc>
        <w:tc>
          <w:tcPr>
            <w:tcW w:w="3864" w:type="dxa"/>
            <w:tcBorders>
              <w:top w:val="single" w:sz="6" w:space="0" w:color="666666"/>
              <w:left w:val="single" w:sz="6" w:space="0" w:color="666666"/>
              <w:right w:val="single" w:sz="6" w:space="0" w:color="666666"/>
            </w:tcBorders>
            <w:tcMar>
              <w:top w:w="45" w:type="dxa"/>
              <w:left w:w="45" w:type="dxa"/>
              <w:bottom w:w="45" w:type="dxa"/>
              <w:right w:w="45" w:type="dxa"/>
            </w:tcMar>
            <w:vAlign w:val="center"/>
          </w:tcPr>
          <w:p w14:paraId="0B881548" w14:textId="77777777" w:rsidR="00C464F2" w:rsidRPr="00C464F2" w:rsidRDefault="00C464F2" w:rsidP="00C464F2">
            <w:pPr>
              <w:spacing w:before="100" w:beforeAutospacing="1" w:after="100" w:afterAutospacing="1"/>
            </w:pPr>
            <w:r w:rsidRPr="00C464F2">
              <w:t>3. Savjetnik za nabavu, projekte i EU fondove</w:t>
            </w:r>
          </w:p>
        </w:tc>
        <w:tc>
          <w:tcPr>
            <w:tcW w:w="2096" w:type="dxa"/>
            <w:gridSpan w:val="2"/>
            <w:tcBorders>
              <w:top w:val="single" w:sz="6" w:space="0" w:color="666666"/>
              <w:left w:val="single" w:sz="6" w:space="0" w:color="666666"/>
              <w:right w:val="single" w:sz="6" w:space="0" w:color="666666"/>
            </w:tcBorders>
            <w:tcMar>
              <w:top w:w="45" w:type="dxa"/>
              <w:left w:w="45" w:type="dxa"/>
              <w:bottom w:w="45" w:type="dxa"/>
              <w:right w:w="45" w:type="dxa"/>
            </w:tcMar>
            <w:vAlign w:val="center"/>
            <w:hideMark/>
          </w:tcPr>
          <w:p w14:paraId="7EA5223A" w14:textId="77777777" w:rsidR="00C464F2" w:rsidRPr="00C464F2" w:rsidRDefault="00C464F2" w:rsidP="00C464F2">
            <w:pPr>
              <w:spacing w:before="100" w:beforeAutospacing="1" w:after="100" w:afterAutospacing="1"/>
              <w:jc w:val="right"/>
            </w:pPr>
            <w:r w:rsidRPr="00C464F2">
              <w:t>5.</w:t>
            </w:r>
          </w:p>
        </w:tc>
        <w:tc>
          <w:tcPr>
            <w:tcW w:w="1089" w:type="dxa"/>
            <w:tcBorders>
              <w:top w:val="single" w:sz="6" w:space="0" w:color="666666"/>
              <w:left w:val="single" w:sz="6" w:space="0" w:color="666666"/>
              <w:right w:val="single" w:sz="6" w:space="0" w:color="666666"/>
            </w:tcBorders>
            <w:vAlign w:val="center"/>
          </w:tcPr>
          <w:p w14:paraId="201EF851" w14:textId="77777777" w:rsidR="00C464F2" w:rsidRPr="00C464F2" w:rsidRDefault="00C464F2" w:rsidP="00C464F2">
            <w:pPr>
              <w:spacing w:before="100" w:beforeAutospacing="1" w:after="100" w:afterAutospacing="1"/>
              <w:jc w:val="right"/>
            </w:pPr>
            <w:r w:rsidRPr="00C464F2">
              <w:t>3,15</w:t>
            </w:r>
          </w:p>
        </w:tc>
      </w:tr>
      <w:tr w:rsidR="00C464F2" w:rsidRPr="00C464F2" w14:paraId="646AB472" w14:textId="77777777" w:rsidTr="00BB1392">
        <w:trPr>
          <w:tblCellSpacing w:w="15" w:type="dxa"/>
        </w:trPr>
        <w:tc>
          <w:tcPr>
            <w:tcW w:w="9288" w:type="dxa"/>
            <w:gridSpan w:val="5"/>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302E3D" w14:textId="77777777" w:rsidR="00C464F2" w:rsidRPr="00C464F2" w:rsidRDefault="00C464F2" w:rsidP="00C464F2">
            <w:pPr>
              <w:spacing w:before="100" w:beforeAutospacing="1" w:after="100" w:afterAutospacing="1"/>
            </w:pPr>
            <w:r w:rsidRPr="00C464F2">
              <w:rPr>
                <w:b/>
                <w:bCs/>
              </w:rPr>
              <w:t>RADNA MJESTA III. KATEGORIJE</w:t>
            </w:r>
          </w:p>
        </w:tc>
      </w:tr>
      <w:tr w:rsidR="00C464F2" w:rsidRPr="00C464F2" w14:paraId="29009456" w14:textId="77777777" w:rsidTr="00BB1392">
        <w:trPr>
          <w:tblCellSpacing w:w="15" w:type="dxa"/>
        </w:trPr>
        <w:tc>
          <w:tcPr>
            <w:tcW w:w="2149" w:type="dxa"/>
            <w:tcBorders>
              <w:top w:val="single" w:sz="4" w:space="0" w:color="auto"/>
              <w:left w:val="single" w:sz="6" w:space="0" w:color="666666"/>
              <w:bottom w:val="single" w:sz="6" w:space="0" w:color="666666"/>
              <w:right w:val="single" w:sz="6" w:space="0" w:color="666666"/>
            </w:tcBorders>
            <w:tcMar>
              <w:top w:w="45" w:type="dxa"/>
              <w:left w:w="45" w:type="dxa"/>
              <w:bottom w:w="45" w:type="dxa"/>
              <w:right w:w="45" w:type="dxa"/>
            </w:tcMar>
            <w:vAlign w:val="center"/>
          </w:tcPr>
          <w:p w14:paraId="6C9974E5" w14:textId="77777777" w:rsidR="00C464F2" w:rsidRPr="00C464F2" w:rsidRDefault="00C464F2" w:rsidP="00C464F2">
            <w:pPr>
              <w:spacing w:before="100" w:beforeAutospacing="1" w:after="100" w:afterAutospacing="1"/>
              <w:rPr>
                <w:b/>
                <w:bCs/>
              </w:rPr>
            </w:pPr>
            <w:r w:rsidRPr="00C464F2">
              <w:rPr>
                <w:b/>
                <w:bCs/>
              </w:rPr>
              <w:t>Viši referent</w:t>
            </w:r>
          </w:p>
        </w:tc>
        <w:tc>
          <w:tcPr>
            <w:tcW w:w="3864" w:type="dxa"/>
            <w:tcBorders>
              <w:top w:val="single" w:sz="4" w:space="0" w:color="auto"/>
              <w:left w:val="single" w:sz="6" w:space="0" w:color="666666"/>
              <w:bottom w:val="single" w:sz="6" w:space="0" w:color="666666"/>
              <w:right w:val="single" w:sz="6" w:space="0" w:color="666666"/>
            </w:tcBorders>
            <w:tcMar>
              <w:top w:w="45" w:type="dxa"/>
              <w:left w:w="45" w:type="dxa"/>
              <w:bottom w:w="45" w:type="dxa"/>
              <w:right w:w="45" w:type="dxa"/>
            </w:tcMar>
            <w:vAlign w:val="center"/>
          </w:tcPr>
          <w:p w14:paraId="56265C37" w14:textId="77777777" w:rsidR="00C464F2" w:rsidRPr="00C464F2" w:rsidRDefault="00C464F2" w:rsidP="00C464F2">
            <w:pPr>
              <w:spacing w:before="100" w:beforeAutospacing="1" w:after="100" w:afterAutospacing="1"/>
            </w:pPr>
            <w:r w:rsidRPr="00C464F2">
              <w:t>4.</w:t>
            </w:r>
            <w:r w:rsidRPr="00C464F2">
              <w:rPr>
                <w:rFonts w:ascii="Calibri" w:eastAsia="Calibri" w:hAnsi="Calibri"/>
                <w:sz w:val="22"/>
                <w:szCs w:val="22"/>
                <w:lang w:eastAsia="en-US"/>
              </w:rPr>
              <w:t xml:space="preserve"> </w:t>
            </w:r>
            <w:r w:rsidRPr="00C464F2">
              <w:t>Viši referent za opće poslove i informiranje</w:t>
            </w:r>
          </w:p>
        </w:tc>
        <w:tc>
          <w:tcPr>
            <w:tcW w:w="2096" w:type="dxa"/>
            <w:gridSpan w:val="2"/>
            <w:tcBorders>
              <w:top w:val="single" w:sz="4" w:space="0" w:color="auto"/>
              <w:left w:val="single" w:sz="6" w:space="0" w:color="666666"/>
              <w:bottom w:val="single" w:sz="6" w:space="0" w:color="666666"/>
              <w:right w:val="single" w:sz="6" w:space="0" w:color="666666"/>
            </w:tcBorders>
            <w:tcMar>
              <w:top w:w="45" w:type="dxa"/>
              <w:left w:w="45" w:type="dxa"/>
              <w:bottom w:w="45" w:type="dxa"/>
              <w:right w:w="45" w:type="dxa"/>
            </w:tcMar>
            <w:vAlign w:val="center"/>
          </w:tcPr>
          <w:p w14:paraId="18ACA0E5" w14:textId="77777777" w:rsidR="00C464F2" w:rsidRPr="00C464F2" w:rsidRDefault="00C464F2" w:rsidP="00C464F2">
            <w:pPr>
              <w:spacing w:before="100" w:beforeAutospacing="1" w:after="100" w:afterAutospacing="1"/>
              <w:jc w:val="right"/>
            </w:pPr>
            <w:r w:rsidRPr="00C464F2">
              <w:t>9.</w:t>
            </w:r>
          </w:p>
        </w:tc>
        <w:tc>
          <w:tcPr>
            <w:tcW w:w="1089" w:type="dxa"/>
            <w:tcBorders>
              <w:top w:val="single" w:sz="4" w:space="0" w:color="auto"/>
              <w:left w:val="single" w:sz="6" w:space="0" w:color="666666"/>
              <w:bottom w:val="single" w:sz="6" w:space="0" w:color="666666"/>
              <w:right w:val="single" w:sz="6" w:space="0" w:color="666666"/>
            </w:tcBorders>
            <w:vAlign w:val="center"/>
          </w:tcPr>
          <w:p w14:paraId="31A52EC9" w14:textId="77777777" w:rsidR="00C464F2" w:rsidRPr="00C464F2" w:rsidRDefault="00C464F2" w:rsidP="00C464F2">
            <w:pPr>
              <w:spacing w:before="100" w:beforeAutospacing="1" w:after="100" w:afterAutospacing="1"/>
              <w:jc w:val="right"/>
            </w:pPr>
            <w:r w:rsidRPr="00C464F2">
              <w:t>2,45</w:t>
            </w:r>
          </w:p>
        </w:tc>
      </w:tr>
      <w:tr w:rsidR="00C464F2" w:rsidRPr="00C464F2" w14:paraId="6B86E1CB" w14:textId="77777777" w:rsidTr="00BB1392">
        <w:trPr>
          <w:tblCellSpacing w:w="15" w:type="dxa"/>
        </w:trPr>
        <w:tc>
          <w:tcPr>
            <w:tcW w:w="214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476D61" w14:textId="77777777" w:rsidR="00C464F2" w:rsidRPr="00C464F2" w:rsidRDefault="00C464F2" w:rsidP="00C464F2">
            <w:pPr>
              <w:spacing w:before="100" w:beforeAutospacing="1" w:after="100" w:afterAutospacing="1"/>
            </w:pPr>
            <w:r w:rsidRPr="00C464F2">
              <w:rPr>
                <w:b/>
                <w:bCs/>
              </w:rPr>
              <w:t>Referent</w:t>
            </w:r>
          </w:p>
        </w:tc>
        <w:tc>
          <w:tcPr>
            <w:tcW w:w="386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3BD650" w14:textId="77777777" w:rsidR="00C464F2" w:rsidRPr="00C464F2" w:rsidRDefault="00C464F2" w:rsidP="00C464F2">
            <w:pPr>
              <w:spacing w:before="100" w:beforeAutospacing="1" w:after="100" w:afterAutospacing="1"/>
            </w:pPr>
            <w:r w:rsidRPr="00C464F2">
              <w:t xml:space="preserve">5.Referent - administrativni tajnik općinskog načelnika  </w:t>
            </w:r>
          </w:p>
        </w:tc>
        <w:tc>
          <w:tcPr>
            <w:tcW w:w="2096"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999E1F" w14:textId="77777777" w:rsidR="00C464F2" w:rsidRPr="00C464F2" w:rsidRDefault="00C464F2" w:rsidP="00C464F2">
            <w:pPr>
              <w:spacing w:before="100" w:beforeAutospacing="1" w:after="100" w:afterAutospacing="1"/>
              <w:jc w:val="right"/>
            </w:pPr>
            <w:r w:rsidRPr="00C464F2">
              <w:t> 11.</w:t>
            </w:r>
          </w:p>
        </w:tc>
        <w:tc>
          <w:tcPr>
            <w:tcW w:w="1089" w:type="dxa"/>
            <w:tcBorders>
              <w:top w:val="single" w:sz="6" w:space="0" w:color="666666"/>
              <w:left w:val="single" w:sz="6" w:space="0" w:color="666666"/>
              <w:bottom w:val="single" w:sz="6" w:space="0" w:color="666666"/>
              <w:right w:val="single" w:sz="6" w:space="0" w:color="666666"/>
            </w:tcBorders>
            <w:vAlign w:val="center"/>
          </w:tcPr>
          <w:p w14:paraId="1F53C3AF" w14:textId="77777777" w:rsidR="00C464F2" w:rsidRPr="00C464F2" w:rsidRDefault="00C464F2" w:rsidP="00C464F2">
            <w:pPr>
              <w:spacing w:before="100" w:beforeAutospacing="1" w:after="100" w:afterAutospacing="1"/>
              <w:jc w:val="right"/>
            </w:pPr>
            <w:r w:rsidRPr="00C464F2">
              <w:t>2,1</w:t>
            </w:r>
          </w:p>
        </w:tc>
      </w:tr>
      <w:tr w:rsidR="00C464F2" w:rsidRPr="00C464F2" w14:paraId="38D1131A" w14:textId="77777777" w:rsidTr="00BB1392">
        <w:trPr>
          <w:tblCellSpacing w:w="15" w:type="dxa"/>
        </w:trPr>
        <w:tc>
          <w:tcPr>
            <w:tcW w:w="214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91250E" w14:textId="77777777" w:rsidR="00C464F2" w:rsidRPr="00C464F2" w:rsidRDefault="00C464F2" w:rsidP="00C464F2">
            <w:pPr>
              <w:spacing w:before="100" w:beforeAutospacing="1" w:after="100" w:afterAutospacing="1"/>
            </w:pPr>
            <w:r w:rsidRPr="00C464F2">
              <w:rPr>
                <w:b/>
                <w:bCs/>
              </w:rPr>
              <w:t>Referent</w:t>
            </w:r>
          </w:p>
        </w:tc>
        <w:tc>
          <w:tcPr>
            <w:tcW w:w="386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474AC0" w14:textId="77777777" w:rsidR="00C464F2" w:rsidRPr="00C464F2" w:rsidRDefault="00C464F2" w:rsidP="00C464F2">
            <w:pPr>
              <w:spacing w:before="100" w:beforeAutospacing="1" w:after="100" w:afterAutospacing="1"/>
            </w:pPr>
            <w:r w:rsidRPr="00C464F2">
              <w:t>6.Referent za uredsko poslovanje</w:t>
            </w:r>
          </w:p>
        </w:tc>
        <w:tc>
          <w:tcPr>
            <w:tcW w:w="2096"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0B783A" w14:textId="77777777" w:rsidR="00C464F2" w:rsidRPr="00C464F2" w:rsidRDefault="00C464F2" w:rsidP="00C464F2">
            <w:pPr>
              <w:spacing w:before="100" w:beforeAutospacing="1" w:after="100" w:afterAutospacing="1"/>
              <w:jc w:val="right"/>
            </w:pPr>
            <w:r w:rsidRPr="00C464F2">
              <w:t>11.</w:t>
            </w:r>
          </w:p>
        </w:tc>
        <w:tc>
          <w:tcPr>
            <w:tcW w:w="1089" w:type="dxa"/>
            <w:tcBorders>
              <w:top w:val="single" w:sz="6" w:space="0" w:color="666666"/>
              <w:left w:val="single" w:sz="6" w:space="0" w:color="666666"/>
              <w:bottom w:val="single" w:sz="6" w:space="0" w:color="666666"/>
              <w:right w:val="single" w:sz="6" w:space="0" w:color="666666"/>
            </w:tcBorders>
            <w:vAlign w:val="center"/>
          </w:tcPr>
          <w:p w14:paraId="180FFFB2" w14:textId="77777777" w:rsidR="00C464F2" w:rsidRPr="00C464F2" w:rsidRDefault="00C464F2" w:rsidP="00C464F2">
            <w:pPr>
              <w:spacing w:before="100" w:beforeAutospacing="1" w:after="100" w:afterAutospacing="1"/>
              <w:jc w:val="right"/>
            </w:pPr>
            <w:r w:rsidRPr="00C464F2">
              <w:t>2,1</w:t>
            </w:r>
          </w:p>
        </w:tc>
      </w:tr>
      <w:tr w:rsidR="00C464F2" w:rsidRPr="00C464F2" w14:paraId="44C177BC" w14:textId="77777777" w:rsidTr="00BB1392">
        <w:trPr>
          <w:trHeight w:val="201"/>
          <w:tblCellSpacing w:w="15" w:type="dxa"/>
        </w:trPr>
        <w:tc>
          <w:tcPr>
            <w:tcW w:w="2149" w:type="dxa"/>
            <w:vMerge w:val="restart"/>
            <w:tcBorders>
              <w:top w:val="single" w:sz="6" w:space="0" w:color="666666"/>
              <w:left w:val="single" w:sz="6" w:space="0" w:color="666666"/>
              <w:right w:val="single" w:sz="6" w:space="0" w:color="666666"/>
            </w:tcBorders>
            <w:tcMar>
              <w:top w:w="45" w:type="dxa"/>
              <w:left w:w="45" w:type="dxa"/>
              <w:bottom w:w="45" w:type="dxa"/>
              <w:right w:w="45" w:type="dxa"/>
            </w:tcMar>
            <w:vAlign w:val="center"/>
            <w:hideMark/>
          </w:tcPr>
          <w:p w14:paraId="47D69234" w14:textId="77777777" w:rsidR="00C464F2" w:rsidRPr="00C464F2" w:rsidRDefault="00C464F2" w:rsidP="00C464F2">
            <w:pPr>
              <w:spacing w:before="100" w:beforeAutospacing="1" w:after="100" w:afterAutospacing="1"/>
            </w:pPr>
            <w:r w:rsidRPr="00C464F2">
              <w:rPr>
                <w:b/>
                <w:bCs/>
              </w:rPr>
              <w:lastRenderedPageBreak/>
              <w:t>Referent</w:t>
            </w:r>
          </w:p>
        </w:tc>
        <w:tc>
          <w:tcPr>
            <w:tcW w:w="386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B3B2DB" w14:textId="77777777" w:rsidR="00C464F2" w:rsidRPr="00C464F2" w:rsidRDefault="00C464F2" w:rsidP="00C464F2">
            <w:pPr>
              <w:rPr>
                <w:i/>
              </w:rPr>
            </w:pPr>
            <w:r w:rsidRPr="00C464F2">
              <w:rPr>
                <w:i/>
              </w:rPr>
              <w:t>Odsjek za  računovodstvo, financije i proračun</w:t>
            </w:r>
          </w:p>
        </w:tc>
        <w:tc>
          <w:tcPr>
            <w:tcW w:w="2096" w:type="dxa"/>
            <w:gridSpan w:val="2"/>
            <w:vMerge w:val="restart"/>
            <w:tcBorders>
              <w:top w:val="single" w:sz="6" w:space="0" w:color="666666"/>
              <w:left w:val="single" w:sz="6" w:space="0" w:color="666666"/>
              <w:right w:val="single" w:sz="6" w:space="0" w:color="666666"/>
            </w:tcBorders>
            <w:tcMar>
              <w:top w:w="45" w:type="dxa"/>
              <w:left w:w="45" w:type="dxa"/>
              <w:bottom w:w="45" w:type="dxa"/>
              <w:right w:w="45" w:type="dxa"/>
            </w:tcMar>
            <w:vAlign w:val="center"/>
            <w:hideMark/>
          </w:tcPr>
          <w:p w14:paraId="41E1267E" w14:textId="77777777" w:rsidR="00C464F2" w:rsidRPr="00C464F2" w:rsidRDefault="00C464F2" w:rsidP="00C464F2">
            <w:pPr>
              <w:spacing w:before="100" w:beforeAutospacing="1" w:after="100" w:afterAutospacing="1"/>
              <w:jc w:val="right"/>
            </w:pPr>
          </w:p>
          <w:p w14:paraId="758E8CAE" w14:textId="77777777" w:rsidR="00C464F2" w:rsidRPr="00C464F2" w:rsidRDefault="00C464F2" w:rsidP="00C464F2">
            <w:pPr>
              <w:spacing w:before="100" w:beforeAutospacing="1" w:after="100" w:afterAutospacing="1"/>
              <w:jc w:val="right"/>
            </w:pPr>
            <w:r w:rsidRPr="00C464F2">
              <w:t>11.</w:t>
            </w:r>
          </w:p>
        </w:tc>
        <w:tc>
          <w:tcPr>
            <w:tcW w:w="1089" w:type="dxa"/>
            <w:vMerge w:val="restart"/>
            <w:tcBorders>
              <w:top w:val="single" w:sz="6" w:space="0" w:color="666666"/>
              <w:left w:val="single" w:sz="6" w:space="0" w:color="666666"/>
              <w:right w:val="single" w:sz="6" w:space="0" w:color="666666"/>
            </w:tcBorders>
            <w:vAlign w:val="center"/>
          </w:tcPr>
          <w:p w14:paraId="78B7F867" w14:textId="77777777" w:rsidR="00C464F2" w:rsidRPr="00C464F2" w:rsidRDefault="00C464F2" w:rsidP="00C464F2">
            <w:pPr>
              <w:spacing w:before="100" w:beforeAutospacing="1" w:after="100" w:afterAutospacing="1"/>
              <w:jc w:val="right"/>
            </w:pPr>
            <w:r w:rsidRPr="00C464F2">
              <w:t>2,1</w:t>
            </w:r>
          </w:p>
        </w:tc>
      </w:tr>
      <w:tr w:rsidR="00C464F2" w:rsidRPr="00C464F2" w14:paraId="4322B668" w14:textId="77777777" w:rsidTr="00BB1392">
        <w:trPr>
          <w:trHeight w:val="200"/>
          <w:tblCellSpacing w:w="15" w:type="dxa"/>
        </w:trPr>
        <w:tc>
          <w:tcPr>
            <w:tcW w:w="2149" w:type="dxa"/>
            <w:vMerge/>
            <w:tcBorders>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1B4BED" w14:textId="77777777" w:rsidR="00C464F2" w:rsidRPr="00C464F2" w:rsidRDefault="00C464F2" w:rsidP="00C464F2">
            <w:pPr>
              <w:spacing w:before="100" w:beforeAutospacing="1" w:after="100" w:afterAutospacing="1"/>
              <w:rPr>
                <w:b/>
                <w:bCs/>
              </w:rPr>
            </w:pPr>
          </w:p>
        </w:tc>
        <w:tc>
          <w:tcPr>
            <w:tcW w:w="386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3C9AC4" w14:textId="77777777" w:rsidR="00C464F2" w:rsidRPr="00C464F2" w:rsidRDefault="00C464F2" w:rsidP="00C464F2">
            <w:pPr>
              <w:spacing w:before="100" w:beforeAutospacing="1" w:after="100" w:afterAutospacing="1"/>
            </w:pPr>
            <w:r w:rsidRPr="00C464F2">
              <w:t>7.Računovodstveni referent</w:t>
            </w:r>
          </w:p>
        </w:tc>
        <w:tc>
          <w:tcPr>
            <w:tcW w:w="2096" w:type="dxa"/>
            <w:gridSpan w:val="2"/>
            <w:vMerge/>
            <w:tcBorders>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0A189C" w14:textId="77777777" w:rsidR="00C464F2" w:rsidRPr="00C464F2" w:rsidRDefault="00C464F2" w:rsidP="00C464F2">
            <w:pPr>
              <w:spacing w:before="100" w:beforeAutospacing="1" w:after="100" w:afterAutospacing="1"/>
            </w:pPr>
          </w:p>
        </w:tc>
        <w:tc>
          <w:tcPr>
            <w:tcW w:w="1089" w:type="dxa"/>
            <w:vMerge/>
            <w:tcBorders>
              <w:left w:val="single" w:sz="6" w:space="0" w:color="666666"/>
              <w:bottom w:val="single" w:sz="6" w:space="0" w:color="666666"/>
              <w:right w:val="single" w:sz="6" w:space="0" w:color="666666"/>
            </w:tcBorders>
            <w:vAlign w:val="center"/>
          </w:tcPr>
          <w:p w14:paraId="515EF67B" w14:textId="77777777" w:rsidR="00C464F2" w:rsidRPr="00C464F2" w:rsidRDefault="00C464F2" w:rsidP="00C464F2">
            <w:pPr>
              <w:spacing w:before="100" w:beforeAutospacing="1" w:after="100" w:afterAutospacing="1"/>
            </w:pPr>
          </w:p>
        </w:tc>
      </w:tr>
      <w:tr w:rsidR="00C464F2" w:rsidRPr="00C464F2" w14:paraId="4F43EAE8" w14:textId="77777777" w:rsidTr="00BB1392">
        <w:trPr>
          <w:tblCellSpacing w:w="15" w:type="dxa"/>
        </w:trPr>
        <w:tc>
          <w:tcPr>
            <w:tcW w:w="9288" w:type="dxa"/>
            <w:gridSpan w:val="5"/>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BC98F0" w14:textId="77777777" w:rsidR="00C464F2" w:rsidRPr="00C464F2" w:rsidRDefault="00C464F2" w:rsidP="00C464F2">
            <w:pPr>
              <w:spacing w:before="100" w:beforeAutospacing="1" w:after="100" w:afterAutospacing="1"/>
            </w:pPr>
            <w:r w:rsidRPr="00C464F2">
              <w:rPr>
                <w:b/>
                <w:bCs/>
              </w:rPr>
              <w:t>RADNA MJESTA IV. KATEGORIJE</w:t>
            </w:r>
          </w:p>
        </w:tc>
      </w:tr>
      <w:tr w:rsidR="00C464F2" w:rsidRPr="00C464F2" w14:paraId="5D6CD97D" w14:textId="77777777" w:rsidTr="00BB1392">
        <w:trPr>
          <w:tblCellSpacing w:w="15" w:type="dxa"/>
        </w:trPr>
        <w:tc>
          <w:tcPr>
            <w:tcW w:w="214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979733" w14:textId="77777777" w:rsidR="00C464F2" w:rsidRPr="00C464F2" w:rsidRDefault="00C464F2" w:rsidP="00C464F2">
            <w:pPr>
              <w:spacing w:before="100" w:beforeAutospacing="1" w:after="100" w:afterAutospacing="1"/>
            </w:pPr>
          </w:p>
        </w:tc>
        <w:tc>
          <w:tcPr>
            <w:tcW w:w="386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908654" w14:textId="77777777" w:rsidR="00C464F2" w:rsidRPr="00C464F2" w:rsidRDefault="00C464F2" w:rsidP="00C464F2">
            <w:pPr>
              <w:spacing w:before="100" w:beforeAutospacing="1" w:after="100" w:afterAutospacing="1"/>
            </w:pPr>
            <w:r w:rsidRPr="00C464F2">
              <w:t> </w:t>
            </w:r>
          </w:p>
        </w:tc>
        <w:tc>
          <w:tcPr>
            <w:tcW w:w="1104"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7DEF4D" w14:textId="77777777" w:rsidR="00C464F2" w:rsidRPr="00C464F2" w:rsidRDefault="00C464F2" w:rsidP="00C464F2">
            <w:pPr>
              <w:spacing w:before="100" w:beforeAutospacing="1" w:after="100" w:afterAutospacing="1"/>
              <w:rPr>
                <w:b/>
              </w:rPr>
            </w:pPr>
            <w:r w:rsidRPr="00C464F2">
              <w:rPr>
                <w:b/>
              </w:rPr>
              <w:t>Razina</w:t>
            </w:r>
          </w:p>
        </w:tc>
        <w:tc>
          <w:tcPr>
            <w:tcW w:w="2081"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522BF3" w14:textId="77777777" w:rsidR="00C464F2" w:rsidRPr="00C464F2" w:rsidRDefault="00C464F2" w:rsidP="00C464F2">
            <w:pPr>
              <w:spacing w:before="100" w:beforeAutospacing="1" w:after="100" w:afterAutospacing="1"/>
            </w:pPr>
            <w:r w:rsidRPr="00C464F2">
              <w:t> </w:t>
            </w:r>
          </w:p>
        </w:tc>
      </w:tr>
      <w:tr w:rsidR="00C464F2" w:rsidRPr="00C464F2" w14:paraId="5F5E7675" w14:textId="77777777" w:rsidTr="00BB1392">
        <w:trPr>
          <w:trHeight w:val="561"/>
          <w:tblCellSpacing w:w="15" w:type="dxa"/>
        </w:trPr>
        <w:tc>
          <w:tcPr>
            <w:tcW w:w="2149" w:type="dxa"/>
            <w:tcBorders>
              <w:top w:val="single" w:sz="6" w:space="0" w:color="666666"/>
              <w:left w:val="single" w:sz="6" w:space="0" w:color="666666"/>
              <w:right w:val="single" w:sz="6" w:space="0" w:color="666666"/>
            </w:tcBorders>
            <w:tcMar>
              <w:top w:w="45" w:type="dxa"/>
              <w:left w:w="45" w:type="dxa"/>
              <w:bottom w:w="45" w:type="dxa"/>
              <w:right w:w="45" w:type="dxa"/>
            </w:tcMar>
            <w:vAlign w:val="center"/>
            <w:hideMark/>
          </w:tcPr>
          <w:p w14:paraId="33E06831" w14:textId="77777777" w:rsidR="00C464F2" w:rsidRPr="00C464F2" w:rsidRDefault="00C464F2" w:rsidP="00C464F2">
            <w:pPr>
              <w:spacing w:before="100" w:beforeAutospacing="1" w:after="100" w:afterAutospacing="1"/>
            </w:pPr>
            <w:r w:rsidRPr="00C464F2">
              <w:rPr>
                <w:b/>
                <w:bCs/>
              </w:rPr>
              <w:t>Namještenici II. Potkategorije</w:t>
            </w:r>
          </w:p>
        </w:tc>
        <w:tc>
          <w:tcPr>
            <w:tcW w:w="3864" w:type="dxa"/>
            <w:tcBorders>
              <w:top w:val="single" w:sz="6" w:space="0" w:color="666666"/>
              <w:left w:val="single" w:sz="6" w:space="0" w:color="666666"/>
              <w:right w:val="single" w:sz="6" w:space="0" w:color="666666"/>
            </w:tcBorders>
            <w:tcMar>
              <w:top w:w="45" w:type="dxa"/>
              <w:left w:w="45" w:type="dxa"/>
              <w:bottom w:w="45" w:type="dxa"/>
              <w:right w:w="45" w:type="dxa"/>
            </w:tcMar>
            <w:vAlign w:val="center"/>
            <w:hideMark/>
          </w:tcPr>
          <w:p w14:paraId="4309DE71" w14:textId="77777777" w:rsidR="00C464F2" w:rsidRPr="00C464F2" w:rsidRDefault="00C464F2" w:rsidP="00C464F2">
            <w:pPr>
              <w:spacing w:before="100" w:beforeAutospacing="1" w:after="100" w:afterAutospacing="1"/>
            </w:pPr>
            <w:r w:rsidRPr="00C464F2">
              <w:t>8.Spremač</w:t>
            </w:r>
          </w:p>
        </w:tc>
        <w:tc>
          <w:tcPr>
            <w:tcW w:w="1104" w:type="dxa"/>
            <w:tcBorders>
              <w:top w:val="single" w:sz="6" w:space="0" w:color="666666"/>
              <w:left w:val="single" w:sz="6" w:space="0" w:color="666666"/>
              <w:right w:val="single" w:sz="6" w:space="0" w:color="666666"/>
            </w:tcBorders>
            <w:tcMar>
              <w:top w:w="45" w:type="dxa"/>
              <w:left w:w="45" w:type="dxa"/>
              <w:bottom w:w="45" w:type="dxa"/>
              <w:right w:w="45" w:type="dxa"/>
            </w:tcMar>
            <w:vAlign w:val="center"/>
            <w:hideMark/>
          </w:tcPr>
          <w:p w14:paraId="6CA76931" w14:textId="77777777" w:rsidR="00C464F2" w:rsidRPr="00C464F2" w:rsidRDefault="00C464F2" w:rsidP="00C464F2">
            <w:pPr>
              <w:spacing w:before="100" w:beforeAutospacing="1" w:after="100" w:afterAutospacing="1"/>
            </w:pPr>
            <w:r w:rsidRPr="00C464F2">
              <w:t>2.</w:t>
            </w:r>
          </w:p>
        </w:tc>
        <w:tc>
          <w:tcPr>
            <w:tcW w:w="962" w:type="dxa"/>
            <w:tcBorders>
              <w:top w:val="single" w:sz="6" w:space="0" w:color="666666"/>
              <w:left w:val="single" w:sz="6" w:space="0" w:color="666666"/>
              <w:right w:val="single" w:sz="6" w:space="0" w:color="666666"/>
            </w:tcBorders>
            <w:tcMar>
              <w:top w:w="45" w:type="dxa"/>
              <w:left w:w="45" w:type="dxa"/>
              <w:bottom w:w="45" w:type="dxa"/>
              <w:right w:w="45" w:type="dxa"/>
            </w:tcMar>
            <w:vAlign w:val="center"/>
            <w:hideMark/>
          </w:tcPr>
          <w:p w14:paraId="6D7B7C54" w14:textId="77777777" w:rsidR="00C464F2" w:rsidRPr="00C464F2" w:rsidRDefault="00C464F2" w:rsidP="00C464F2">
            <w:pPr>
              <w:spacing w:before="100" w:beforeAutospacing="1" w:after="100" w:afterAutospacing="1"/>
              <w:jc w:val="right"/>
            </w:pPr>
            <w:r w:rsidRPr="00C464F2">
              <w:t>13.</w:t>
            </w:r>
          </w:p>
        </w:tc>
        <w:tc>
          <w:tcPr>
            <w:tcW w:w="1089" w:type="dxa"/>
            <w:tcBorders>
              <w:top w:val="single" w:sz="6" w:space="0" w:color="666666"/>
              <w:left w:val="single" w:sz="6" w:space="0" w:color="666666"/>
              <w:right w:val="single" w:sz="6" w:space="0" w:color="666666"/>
            </w:tcBorders>
            <w:vAlign w:val="center"/>
          </w:tcPr>
          <w:p w14:paraId="355D825A" w14:textId="77777777" w:rsidR="00C464F2" w:rsidRPr="00C464F2" w:rsidRDefault="00C464F2" w:rsidP="00C464F2">
            <w:pPr>
              <w:spacing w:before="100" w:beforeAutospacing="1" w:after="100" w:afterAutospacing="1"/>
              <w:jc w:val="right"/>
            </w:pPr>
            <w:r w:rsidRPr="00C464F2">
              <w:t>1,20</w:t>
            </w:r>
          </w:p>
        </w:tc>
      </w:tr>
      <w:tr w:rsidR="00C464F2" w:rsidRPr="00C464F2" w14:paraId="23483B7E" w14:textId="77777777" w:rsidTr="00BB1392">
        <w:trPr>
          <w:trHeight w:hRule="exact" w:val="23"/>
          <w:tblCellSpacing w:w="15" w:type="dxa"/>
        </w:trPr>
        <w:tc>
          <w:tcPr>
            <w:tcW w:w="9288" w:type="dxa"/>
            <w:gridSpan w:val="5"/>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F35672" w14:textId="77777777" w:rsidR="00C464F2" w:rsidRPr="00C464F2" w:rsidRDefault="00C464F2" w:rsidP="00C464F2">
            <w:pPr>
              <w:spacing w:before="100" w:beforeAutospacing="1" w:after="100" w:afterAutospacing="1"/>
            </w:pPr>
          </w:p>
        </w:tc>
      </w:tr>
    </w:tbl>
    <w:p w14:paraId="251F0FB7" w14:textId="77777777" w:rsidR="00C464F2" w:rsidRPr="00C464F2" w:rsidRDefault="00C464F2" w:rsidP="00C464F2">
      <w:pPr>
        <w:widowControl w:val="0"/>
        <w:shd w:val="clear" w:color="auto" w:fill="FFFFFF"/>
        <w:tabs>
          <w:tab w:val="left" w:pos="0"/>
          <w:tab w:val="left" w:pos="9072"/>
        </w:tabs>
        <w:autoSpaceDE w:val="0"/>
        <w:autoSpaceDN w:val="0"/>
        <w:adjustRightInd w:val="0"/>
        <w:spacing w:before="288" w:line="240" w:lineRule="exact"/>
        <w:ind w:right="-283"/>
        <w:jc w:val="center"/>
        <w:rPr>
          <w:b/>
          <w:szCs w:val="20"/>
        </w:rPr>
      </w:pPr>
      <w:r w:rsidRPr="00C464F2">
        <w:rPr>
          <w:b/>
          <w:szCs w:val="20"/>
        </w:rPr>
        <w:t>Članak 2.</w:t>
      </w:r>
    </w:p>
    <w:p w14:paraId="33AAA923" w14:textId="77777777" w:rsidR="00C464F2" w:rsidRPr="00C464F2" w:rsidRDefault="00C464F2" w:rsidP="00C464F2">
      <w:pPr>
        <w:widowControl w:val="0"/>
        <w:autoSpaceDE w:val="0"/>
        <w:autoSpaceDN w:val="0"/>
        <w:adjustRightInd w:val="0"/>
        <w:spacing w:after="120"/>
        <w:ind w:right="1" w:firstLine="709"/>
        <w:jc w:val="both"/>
      </w:pPr>
      <w:r w:rsidRPr="00C464F2">
        <w:t>Ova Odluka stupa na snagu osmoga dana od dana objave u “Službenim novinama Općine Marčana”.</w:t>
      </w:r>
    </w:p>
    <w:p w14:paraId="35276C65" w14:textId="77777777" w:rsidR="00C464F2" w:rsidRPr="00C464F2" w:rsidRDefault="00C464F2" w:rsidP="00C464F2">
      <w:pPr>
        <w:widowControl w:val="0"/>
        <w:autoSpaceDE w:val="0"/>
        <w:autoSpaceDN w:val="0"/>
        <w:adjustRightInd w:val="0"/>
        <w:jc w:val="both"/>
      </w:pPr>
      <w:r w:rsidRPr="00C464F2">
        <w:t xml:space="preserve">KLASA: 120-01/26-01/01 </w:t>
      </w:r>
    </w:p>
    <w:p w14:paraId="44763FE0" w14:textId="77777777" w:rsidR="00C464F2" w:rsidRPr="00C464F2" w:rsidRDefault="00C464F2" w:rsidP="00C464F2">
      <w:pPr>
        <w:widowControl w:val="0"/>
        <w:autoSpaceDE w:val="0"/>
        <w:autoSpaceDN w:val="0"/>
        <w:adjustRightInd w:val="0"/>
        <w:jc w:val="both"/>
      </w:pPr>
      <w:r w:rsidRPr="00C464F2">
        <w:t>URBROJ: 2163-26-1-26-3</w:t>
      </w:r>
    </w:p>
    <w:p w14:paraId="077D3E68" w14:textId="77777777" w:rsidR="00C464F2" w:rsidRPr="00C464F2" w:rsidRDefault="00C464F2" w:rsidP="00C464F2">
      <w:pPr>
        <w:widowControl w:val="0"/>
        <w:autoSpaceDE w:val="0"/>
        <w:autoSpaceDN w:val="0"/>
        <w:adjustRightInd w:val="0"/>
        <w:jc w:val="both"/>
      </w:pPr>
      <w:r w:rsidRPr="00C464F2">
        <w:t>Marčana, 28. svibnja 2026.</w:t>
      </w:r>
    </w:p>
    <w:p w14:paraId="6ACFE0F0" w14:textId="77777777" w:rsidR="00C464F2" w:rsidRPr="00C464F2" w:rsidRDefault="00C464F2" w:rsidP="00C464F2">
      <w:pPr>
        <w:widowControl w:val="0"/>
        <w:autoSpaceDE w:val="0"/>
        <w:autoSpaceDN w:val="0"/>
        <w:adjustRightInd w:val="0"/>
        <w:jc w:val="both"/>
      </w:pPr>
    </w:p>
    <w:p w14:paraId="43F54A21" w14:textId="77777777" w:rsidR="00C464F2" w:rsidRPr="00C464F2" w:rsidRDefault="00C464F2" w:rsidP="00C464F2">
      <w:pPr>
        <w:widowControl w:val="0"/>
        <w:autoSpaceDE w:val="0"/>
        <w:autoSpaceDN w:val="0"/>
        <w:adjustRightInd w:val="0"/>
        <w:jc w:val="both"/>
      </w:pPr>
    </w:p>
    <w:p w14:paraId="3429A00B" w14:textId="77777777" w:rsidR="00C464F2" w:rsidRPr="00C464F2" w:rsidRDefault="00C464F2" w:rsidP="00C464F2">
      <w:pPr>
        <w:widowControl w:val="0"/>
        <w:autoSpaceDE w:val="0"/>
        <w:autoSpaceDN w:val="0"/>
        <w:adjustRightInd w:val="0"/>
        <w:jc w:val="both"/>
        <w:rPr>
          <w:b/>
        </w:rPr>
      </w:pPr>
      <w:r w:rsidRPr="00C464F2">
        <w:rPr>
          <w:b/>
        </w:rPr>
        <w:t xml:space="preserve">                                                                    OPĆINSKO VIJEĆE OPĆINE MARČANA</w:t>
      </w:r>
    </w:p>
    <w:p w14:paraId="3BED877C" w14:textId="77777777" w:rsidR="00C464F2" w:rsidRPr="00C464F2" w:rsidRDefault="00C464F2" w:rsidP="00C464F2">
      <w:pPr>
        <w:widowControl w:val="0"/>
        <w:autoSpaceDE w:val="0"/>
        <w:autoSpaceDN w:val="0"/>
        <w:adjustRightInd w:val="0"/>
        <w:jc w:val="both"/>
        <w:rPr>
          <w:b/>
        </w:rPr>
      </w:pPr>
    </w:p>
    <w:p w14:paraId="22737072" w14:textId="77777777" w:rsidR="00C464F2" w:rsidRPr="00C464F2" w:rsidRDefault="00C464F2" w:rsidP="00C464F2">
      <w:pPr>
        <w:widowControl w:val="0"/>
        <w:autoSpaceDE w:val="0"/>
        <w:autoSpaceDN w:val="0"/>
        <w:adjustRightInd w:val="0"/>
        <w:jc w:val="both"/>
        <w:rPr>
          <w:b/>
        </w:rPr>
      </w:pPr>
      <w:r w:rsidRPr="00C464F2">
        <w:rPr>
          <w:b/>
        </w:rPr>
        <w:t xml:space="preserve">                                                                                               PREDSJEDNIK</w:t>
      </w:r>
    </w:p>
    <w:p w14:paraId="41AD9B6F" w14:textId="0409C650" w:rsidR="00C464F2" w:rsidRDefault="00C464F2" w:rsidP="00C464F2">
      <w:pPr>
        <w:widowControl w:val="0"/>
        <w:autoSpaceDE w:val="0"/>
        <w:autoSpaceDN w:val="0"/>
        <w:adjustRightInd w:val="0"/>
        <w:jc w:val="both"/>
        <w:rPr>
          <w:b/>
        </w:rPr>
      </w:pPr>
      <w:r w:rsidRPr="00C464F2">
        <w:rPr>
          <w:b/>
        </w:rPr>
        <w:t xml:space="preserve">                                                                                            </w:t>
      </w:r>
      <w:r>
        <w:rPr>
          <w:b/>
        </w:rPr>
        <w:t xml:space="preserve"> </w:t>
      </w:r>
      <w:r w:rsidRPr="00C464F2">
        <w:rPr>
          <w:b/>
        </w:rPr>
        <w:t xml:space="preserve"> Denis </w:t>
      </w:r>
      <w:proofErr w:type="spellStart"/>
      <w:r w:rsidRPr="00C464F2">
        <w:rPr>
          <w:b/>
        </w:rPr>
        <w:t>Diković</w:t>
      </w:r>
      <w:proofErr w:type="spellEnd"/>
      <w:r>
        <w:rPr>
          <w:b/>
        </w:rPr>
        <w:t>, v.r.</w:t>
      </w:r>
    </w:p>
    <w:p w14:paraId="318DC031" w14:textId="77777777" w:rsidR="007E4F97" w:rsidRDefault="007E4F97" w:rsidP="00C464F2">
      <w:pPr>
        <w:widowControl w:val="0"/>
        <w:autoSpaceDE w:val="0"/>
        <w:autoSpaceDN w:val="0"/>
        <w:adjustRightInd w:val="0"/>
        <w:jc w:val="both"/>
        <w:rPr>
          <w:b/>
        </w:rPr>
      </w:pPr>
    </w:p>
    <w:p w14:paraId="3F87F55B" w14:textId="6473856C" w:rsidR="007E4F97" w:rsidRDefault="007E4F97" w:rsidP="00C464F2">
      <w:pPr>
        <w:widowControl w:val="0"/>
        <w:autoSpaceDE w:val="0"/>
        <w:autoSpaceDN w:val="0"/>
        <w:adjustRightInd w:val="0"/>
        <w:jc w:val="both"/>
        <w:rPr>
          <w:b/>
        </w:rPr>
      </w:pPr>
      <w:r>
        <w:rPr>
          <w:b/>
        </w:rPr>
        <w:t>___________________________________________________________________________</w:t>
      </w:r>
    </w:p>
    <w:p w14:paraId="29E9F924" w14:textId="77777777" w:rsidR="007E4F97" w:rsidRDefault="007E4F97" w:rsidP="00C464F2">
      <w:pPr>
        <w:widowControl w:val="0"/>
        <w:autoSpaceDE w:val="0"/>
        <w:autoSpaceDN w:val="0"/>
        <w:adjustRightInd w:val="0"/>
        <w:jc w:val="both"/>
        <w:rPr>
          <w:b/>
        </w:rPr>
      </w:pPr>
    </w:p>
    <w:p w14:paraId="4784C64C" w14:textId="77777777" w:rsidR="007E4F97" w:rsidRPr="007E4F97" w:rsidRDefault="007E4F97" w:rsidP="007E4F97">
      <w:pPr>
        <w:autoSpaceDE w:val="0"/>
        <w:autoSpaceDN w:val="0"/>
        <w:adjustRightInd w:val="0"/>
        <w:ind w:firstLine="708"/>
        <w:jc w:val="both"/>
        <w:rPr>
          <w:rFonts w:eastAsia="Calibri"/>
          <w:color w:val="000000"/>
          <w:sz w:val="22"/>
          <w:szCs w:val="22"/>
          <w:lang w:eastAsia="en-US"/>
        </w:rPr>
      </w:pPr>
      <w:r w:rsidRPr="007E4F97">
        <w:rPr>
          <w:rFonts w:eastAsia="Calibri"/>
          <w:color w:val="000000"/>
          <w:sz w:val="22"/>
          <w:szCs w:val="22"/>
          <w:lang w:eastAsia="en-US"/>
        </w:rPr>
        <w:t xml:space="preserve">Na temelju članka 71. stavka 3. Zakona o pomorskom dobru i morskim lukama (Narodne novine, br. 83/23), članka 20. Plana upravljanja pomorskim dobrom na području Općine Marčana za razdoblje od 2024. – 2028. godine („Službene novine Općine Marčana“, br. 1/24.) te članka 36. stavka 2. Statuta Općine Marčana („Službene novine Općine Marčana“, br. 7/09, 2/13, 4/13. – pročišćeni tekst, 3/21. i 14/22.) Općinsko Vijeće Općine Marčana na svojoj 6. sjednici održanoj dana 28. svibnja 2026.                godine donijelo je </w:t>
      </w:r>
    </w:p>
    <w:p w14:paraId="4BB824A1" w14:textId="77777777" w:rsidR="007E4F97" w:rsidRPr="007E4F97" w:rsidRDefault="007E4F97" w:rsidP="007E4F97">
      <w:pPr>
        <w:autoSpaceDE w:val="0"/>
        <w:autoSpaceDN w:val="0"/>
        <w:adjustRightInd w:val="0"/>
        <w:ind w:firstLine="708"/>
        <w:jc w:val="both"/>
        <w:rPr>
          <w:rFonts w:eastAsia="Calibri"/>
          <w:color w:val="000000"/>
          <w:sz w:val="22"/>
          <w:szCs w:val="22"/>
          <w:lang w:eastAsia="en-US"/>
        </w:rPr>
      </w:pPr>
    </w:p>
    <w:p w14:paraId="72621837" w14:textId="77777777" w:rsidR="007E4F97" w:rsidRPr="007E4F97" w:rsidRDefault="007E4F97" w:rsidP="007E4F97">
      <w:pPr>
        <w:autoSpaceDE w:val="0"/>
        <w:autoSpaceDN w:val="0"/>
        <w:adjustRightInd w:val="0"/>
        <w:jc w:val="both"/>
        <w:rPr>
          <w:rFonts w:eastAsia="Calibri"/>
          <w:b/>
          <w:bCs/>
          <w:color w:val="000000"/>
          <w:sz w:val="22"/>
          <w:szCs w:val="22"/>
          <w:lang w:eastAsia="en-US"/>
        </w:rPr>
      </w:pPr>
    </w:p>
    <w:p w14:paraId="3847ED1E" w14:textId="77777777" w:rsidR="007E4F97" w:rsidRPr="007E4F97" w:rsidRDefault="007E4F97" w:rsidP="007E4F97">
      <w:pPr>
        <w:autoSpaceDE w:val="0"/>
        <w:autoSpaceDN w:val="0"/>
        <w:adjustRightInd w:val="0"/>
        <w:jc w:val="center"/>
        <w:rPr>
          <w:rFonts w:eastAsia="Calibri"/>
          <w:color w:val="000000"/>
          <w:lang w:eastAsia="en-US"/>
        </w:rPr>
      </w:pPr>
      <w:r w:rsidRPr="007E4F97">
        <w:rPr>
          <w:rFonts w:eastAsia="Calibri"/>
          <w:b/>
          <w:bCs/>
          <w:color w:val="000000"/>
          <w:lang w:eastAsia="en-US"/>
        </w:rPr>
        <w:t>ODLUKU</w:t>
      </w:r>
    </w:p>
    <w:p w14:paraId="3A606A8C" w14:textId="77777777" w:rsidR="007E4F97" w:rsidRPr="007E4F97" w:rsidRDefault="007E4F97" w:rsidP="007E4F97">
      <w:pPr>
        <w:autoSpaceDE w:val="0"/>
        <w:autoSpaceDN w:val="0"/>
        <w:adjustRightInd w:val="0"/>
        <w:jc w:val="center"/>
        <w:rPr>
          <w:rFonts w:eastAsia="Calibri"/>
          <w:color w:val="000000"/>
          <w:lang w:eastAsia="en-US"/>
        </w:rPr>
      </w:pPr>
      <w:r w:rsidRPr="007E4F97">
        <w:rPr>
          <w:rFonts w:eastAsia="Calibri"/>
          <w:b/>
          <w:bCs/>
          <w:color w:val="000000"/>
          <w:lang w:eastAsia="en-US"/>
        </w:rPr>
        <w:t>o odabiru najpovoljnijih ponuditelja za dodjelu dozvola za obavljanje djelatnosti</w:t>
      </w:r>
    </w:p>
    <w:p w14:paraId="1FE43DC0" w14:textId="77777777" w:rsidR="007E4F97" w:rsidRPr="007E4F97" w:rsidRDefault="007E4F97" w:rsidP="007E4F97">
      <w:pPr>
        <w:autoSpaceDE w:val="0"/>
        <w:autoSpaceDN w:val="0"/>
        <w:adjustRightInd w:val="0"/>
        <w:jc w:val="center"/>
        <w:rPr>
          <w:rFonts w:eastAsia="Calibri"/>
          <w:b/>
          <w:bCs/>
          <w:color w:val="000000"/>
          <w:lang w:eastAsia="en-US"/>
        </w:rPr>
      </w:pPr>
      <w:r w:rsidRPr="007E4F97">
        <w:rPr>
          <w:rFonts w:eastAsia="Calibri"/>
          <w:b/>
          <w:bCs/>
          <w:color w:val="000000"/>
          <w:lang w:eastAsia="en-US"/>
        </w:rPr>
        <w:t>na pomorskom dobru na području Općine Marčana</w:t>
      </w:r>
    </w:p>
    <w:p w14:paraId="1221ADC5" w14:textId="77777777" w:rsidR="007E4F97" w:rsidRPr="007E4F97" w:rsidRDefault="007E4F97" w:rsidP="007E4F97">
      <w:pPr>
        <w:autoSpaceDE w:val="0"/>
        <w:autoSpaceDN w:val="0"/>
        <w:adjustRightInd w:val="0"/>
        <w:jc w:val="center"/>
        <w:rPr>
          <w:rFonts w:eastAsia="Calibri"/>
          <w:b/>
          <w:bCs/>
          <w:color w:val="000000"/>
          <w:sz w:val="22"/>
          <w:szCs w:val="22"/>
          <w:lang w:eastAsia="en-US"/>
        </w:rPr>
      </w:pPr>
    </w:p>
    <w:p w14:paraId="311408D4" w14:textId="77777777" w:rsidR="007E4F97" w:rsidRPr="007E4F97" w:rsidRDefault="007E4F97" w:rsidP="007E4F97">
      <w:pPr>
        <w:autoSpaceDE w:val="0"/>
        <w:autoSpaceDN w:val="0"/>
        <w:adjustRightInd w:val="0"/>
        <w:rPr>
          <w:rFonts w:eastAsia="Calibri"/>
          <w:color w:val="000000"/>
          <w:sz w:val="22"/>
          <w:szCs w:val="22"/>
          <w:lang w:eastAsia="en-US"/>
        </w:rPr>
      </w:pPr>
    </w:p>
    <w:p w14:paraId="68A37193" w14:textId="77777777" w:rsidR="007E4F97" w:rsidRPr="007E4F97" w:rsidRDefault="007E4F97" w:rsidP="007E4F97">
      <w:pPr>
        <w:autoSpaceDE w:val="0"/>
        <w:autoSpaceDN w:val="0"/>
        <w:adjustRightInd w:val="0"/>
        <w:jc w:val="center"/>
        <w:rPr>
          <w:rFonts w:eastAsia="Calibri"/>
          <w:color w:val="000000"/>
          <w:sz w:val="22"/>
          <w:szCs w:val="22"/>
          <w:lang w:eastAsia="en-US"/>
        </w:rPr>
      </w:pPr>
      <w:r w:rsidRPr="007E4F97">
        <w:rPr>
          <w:rFonts w:eastAsia="Calibri"/>
          <w:b/>
          <w:bCs/>
          <w:color w:val="000000"/>
          <w:sz w:val="22"/>
          <w:szCs w:val="22"/>
          <w:lang w:eastAsia="en-US"/>
        </w:rPr>
        <w:t>Članak 1.</w:t>
      </w:r>
    </w:p>
    <w:p w14:paraId="6148F5F5" w14:textId="77777777" w:rsidR="007E4F97" w:rsidRPr="007E4F97" w:rsidRDefault="007E4F97" w:rsidP="007E4F97">
      <w:pPr>
        <w:autoSpaceDE w:val="0"/>
        <w:autoSpaceDN w:val="0"/>
        <w:adjustRightInd w:val="0"/>
        <w:ind w:firstLine="708"/>
        <w:jc w:val="both"/>
        <w:rPr>
          <w:rFonts w:eastAsia="Calibri"/>
          <w:color w:val="000000"/>
          <w:sz w:val="22"/>
          <w:szCs w:val="22"/>
          <w:lang w:eastAsia="en-US"/>
        </w:rPr>
      </w:pPr>
      <w:r w:rsidRPr="007E4F97">
        <w:rPr>
          <w:rFonts w:eastAsia="Calibri"/>
          <w:color w:val="000000"/>
          <w:sz w:val="22"/>
          <w:szCs w:val="22"/>
          <w:lang w:eastAsia="en-US"/>
        </w:rPr>
        <w:t xml:space="preserve">Na temelju provedenog 2. Javnog natječaja za dodjelu dozvola na pomorskom dobru na području Općine Marčana za 2026. godinu, KLASA: 342-01/26-01/20, URBROJ: 2163-26-02-26-1 od 03. travnja 2026. godine (u daljnjem tekstu: Javni natječaj), odabiru se najpovoljniji ponuditelji za dodjelu dozvola za obavljanje djelatnosti na pomorskom dobru na području Općine Marčana na vremensko razdoblje od 3 (tri) godine, kako slijedi: </w:t>
      </w:r>
    </w:p>
    <w:p w14:paraId="4710A4E0" w14:textId="77777777" w:rsidR="007E4F97" w:rsidRPr="007E4F97" w:rsidRDefault="007E4F97" w:rsidP="007E4F97">
      <w:pPr>
        <w:autoSpaceDE w:val="0"/>
        <w:autoSpaceDN w:val="0"/>
        <w:adjustRightInd w:val="0"/>
        <w:jc w:val="both"/>
        <w:rPr>
          <w:rFonts w:eastAsia="Calibri"/>
          <w:color w:val="000000"/>
          <w:sz w:val="22"/>
          <w:szCs w:val="22"/>
          <w:lang w:eastAsia="en-US"/>
        </w:rPr>
      </w:pPr>
    </w:p>
    <w:p w14:paraId="6491FC4A" w14:textId="77777777" w:rsidR="007E4F97" w:rsidRPr="007E4F97" w:rsidRDefault="007E4F97" w:rsidP="007E4F97">
      <w:pPr>
        <w:autoSpaceDE w:val="0"/>
        <w:autoSpaceDN w:val="0"/>
        <w:adjustRightInd w:val="0"/>
        <w:spacing w:after="30"/>
        <w:jc w:val="both"/>
        <w:rPr>
          <w:rFonts w:eastAsia="Calibri"/>
          <w:color w:val="000000"/>
          <w:sz w:val="22"/>
          <w:szCs w:val="22"/>
          <w:lang w:eastAsia="en-US"/>
        </w:rPr>
      </w:pPr>
      <w:r w:rsidRPr="007E4F97">
        <w:rPr>
          <w:rFonts w:eastAsia="Calibri"/>
          <w:color w:val="000000"/>
          <w:sz w:val="22"/>
          <w:szCs w:val="22"/>
          <w:lang w:eastAsia="en-US"/>
        </w:rPr>
        <w:t>1. Dozvola za obavljanje djelatnosti iznajmljivanja sredstava – brodica na motorni pogon 2 komada i to:</w:t>
      </w:r>
      <w:r w:rsidRPr="007E4F97">
        <w:rPr>
          <w:rFonts w:ascii="Arial" w:eastAsia="Calibri" w:hAnsi="Arial" w:cs="Arial"/>
          <w:color w:val="000000"/>
          <w:lang w:eastAsia="en-US"/>
        </w:rPr>
        <w:t xml:space="preserve"> </w:t>
      </w:r>
      <w:r w:rsidRPr="007E4F97">
        <w:rPr>
          <w:rFonts w:eastAsia="Calibri"/>
          <w:color w:val="000000"/>
          <w:sz w:val="22"/>
          <w:szCs w:val="22"/>
          <w:lang w:eastAsia="en-US"/>
        </w:rPr>
        <w:t xml:space="preserve"> -brodica na motorni pogon- </w:t>
      </w:r>
      <w:proofErr w:type="spellStart"/>
      <w:r w:rsidRPr="007E4F97">
        <w:rPr>
          <w:rFonts w:eastAsia="Calibri"/>
          <w:color w:val="000000"/>
          <w:sz w:val="22"/>
          <w:szCs w:val="22"/>
          <w:lang w:eastAsia="en-US"/>
        </w:rPr>
        <w:t>pasara</w:t>
      </w:r>
      <w:proofErr w:type="spellEnd"/>
      <w:r w:rsidRPr="007E4F97">
        <w:rPr>
          <w:rFonts w:eastAsia="Calibri"/>
          <w:color w:val="000000"/>
          <w:sz w:val="22"/>
          <w:szCs w:val="22"/>
          <w:lang w:eastAsia="en-US"/>
        </w:rPr>
        <w:t>, dužine 4,10 m, oznaka PU 2842 i</w:t>
      </w:r>
    </w:p>
    <w:p w14:paraId="4F8897B2" w14:textId="77777777" w:rsidR="007E4F97" w:rsidRPr="007E4F97" w:rsidRDefault="007E4F97" w:rsidP="007E4F97">
      <w:pPr>
        <w:autoSpaceDE w:val="0"/>
        <w:autoSpaceDN w:val="0"/>
        <w:adjustRightInd w:val="0"/>
        <w:spacing w:after="30"/>
        <w:jc w:val="both"/>
        <w:rPr>
          <w:rFonts w:eastAsia="Calibri"/>
          <w:color w:val="000000"/>
          <w:sz w:val="22"/>
          <w:szCs w:val="22"/>
          <w:lang w:eastAsia="en-US"/>
        </w:rPr>
      </w:pPr>
      <w:r w:rsidRPr="007E4F97">
        <w:rPr>
          <w:rFonts w:eastAsia="Calibri"/>
          <w:color w:val="000000"/>
          <w:sz w:val="22"/>
          <w:szCs w:val="22"/>
          <w:lang w:eastAsia="en-US"/>
        </w:rPr>
        <w:t xml:space="preserve">-brodica na motorni pogon, Luka 17 </w:t>
      </w:r>
      <w:proofErr w:type="spellStart"/>
      <w:r w:rsidRPr="007E4F97">
        <w:rPr>
          <w:rFonts w:eastAsia="Calibri"/>
          <w:color w:val="000000"/>
          <w:sz w:val="22"/>
          <w:szCs w:val="22"/>
          <w:lang w:eastAsia="en-US"/>
        </w:rPr>
        <w:t>open</w:t>
      </w:r>
      <w:proofErr w:type="spellEnd"/>
      <w:r w:rsidRPr="007E4F97">
        <w:rPr>
          <w:rFonts w:eastAsia="Calibri"/>
          <w:color w:val="000000"/>
          <w:sz w:val="22"/>
          <w:szCs w:val="22"/>
          <w:lang w:eastAsia="en-US"/>
        </w:rPr>
        <w:t xml:space="preserve">, dužine 5,09 m, oznaka 236191 RŠ, na mikrolokaciji i r.br. 8. Sveti </w:t>
      </w:r>
      <w:proofErr w:type="spellStart"/>
      <w:r w:rsidRPr="007E4F97">
        <w:rPr>
          <w:rFonts w:eastAsia="Calibri"/>
          <w:color w:val="000000"/>
          <w:sz w:val="22"/>
          <w:szCs w:val="22"/>
          <w:lang w:eastAsia="en-US"/>
        </w:rPr>
        <w:t>Mikula</w:t>
      </w:r>
      <w:proofErr w:type="spellEnd"/>
      <w:r w:rsidRPr="007E4F97">
        <w:rPr>
          <w:rFonts w:eastAsia="Calibri"/>
          <w:color w:val="000000"/>
          <w:sz w:val="22"/>
          <w:szCs w:val="22"/>
          <w:lang w:eastAsia="en-US"/>
        </w:rPr>
        <w:t xml:space="preserve">, </w:t>
      </w:r>
      <w:proofErr w:type="spellStart"/>
      <w:r w:rsidRPr="007E4F97">
        <w:rPr>
          <w:rFonts w:eastAsia="Calibri"/>
          <w:color w:val="000000"/>
          <w:sz w:val="22"/>
          <w:szCs w:val="22"/>
          <w:lang w:eastAsia="en-US"/>
        </w:rPr>
        <w:t>Rakalj</w:t>
      </w:r>
      <w:proofErr w:type="spellEnd"/>
      <w:r w:rsidRPr="007E4F97">
        <w:rPr>
          <w:rFonts w:eastAsia="Calibri"/>
          <w:color w:val="000000"/>
          <w:sz w:val="22"/>
          <w:szCs w:val="22"/>
          <w:lang w:eastAsia="en-US"/>
        </w:rPr>
        <w:t xml:space="preserve">, dio k.č.br. 2069/14 k.o. </w:t>
      </w:r>
      <w:proofErr w:type="spellStart"/>
      <w:r w:rsidRPr="007E4F97">
        <w:rPr>
          <w:rFonts w:eastAsia="Calibri"/>
          <w:color w:val="000000"/>
          <w:sz w:val="22"/>
          <w:szCs w:val="22"/>
          <w:lang w:eastAsia="en-US"/>
        </w:rPr>
        <w:t>Rakalj</w:t>
      </w:r>
      <w:proofErr w:type="spellEnd"/>
      <w:r w:rsidRPr="007E4F97">
        <w:rPr>
          <w:rFonts w:eastAsia="Calibri"/>
          <w:color w:val="000000"/>
          <w:sz w:val="22"/>
          <w:szCs w:val="22"/>
          <w:lang w:eastAsia="en-US"/>
        </w:rPr>
        <w:t xml:space="preserve">, središnji dio čestice, južnije od  mikrolokacije 3, za koju je ponuđena sveukupna godišnja naknada u iznosu od 1.600,00 EUR, dodjeljuje se najpovoljnijem ponuditelju: </w:t>
      </w:r>
    </w:p>
    <w:p w14:paraId="46306852" w14:textId="77777777" w:rsidR="007E4F97" w:rsidRPr="007E4F97" w:rsidRDefault="007E4F97" w:rsidP="007E4F97">
      <w:pPr>
        <w:autoSpaceDE w:val="0"/>
        <w:autoSpaceDN w:val="0"/>
        <w:adjustRightInd w:val="0"/>
        <w:jc w:val="both"/>
        <w:rPr>
          <w:rFonts w:eastAsia="Calibri"/>
          <w:color w:val="000000"/>
          <w:sz w:val="22"/>
          <w:szCs w:val="22"/>
          <w:lang w:eastAsia="en-US"/>
        </w:rPr>
      </w:pPr>
      <w:r w:rsidRPr="007E4F97">
        <w:rPr>
          <w:rFonts w:eastAsia="Calibri"/>
          <w:color w:val="000000"/>
          <w:sz w:val="22"/>
          <w:szCs w:val="22"/>
          <w:lang w:eastAsia="en-US"/>
        </w:rPr>
        <w:lastRenderedPageBreak/>
        <w:t xml:space="preserve">- </w:t>
      </w:r>
      <w:r w:rsidRPr="007E4F97">
        <w:rPr>
          <w:rFonts w:eastAsia="Calibri"/>
          <w:b/>
          <w:bCs/>
          <w:color w:val="000000"/>
          <w:sz w:val="22"/>
          <w:szCs w:val="22"/>
          <w:lang w:eastAsia="en-US"/>
        </w:rPr>
        <w:t>Obrt „NIKOLINA“</w:t>
      </w:r>
      <w:r w:rsidRPr="007E4F97">
        <w:rPr>
          <w:rFonts w:eastAsia="Calibri"/>
          <w:color w:val="000000"/>
          <w:sz w:val="22"/>
          <w:szCs w:val="22"/>
          <w:lang w:eastAsia="en-US"/>
        </w:rPr>
        <w:t xml:space="preserve">, </w:t>
      </w:r>
      <w:proofErr w:type="spellStart"/>
      <w:r w:rsidRPr="007E4F97">
        <w:rPr>
          <w:rFonts w:eastAsia="Calibri"/>
          <w:color w:val="000000"/>
          <w:sz w:val="22"/>
          <w:szCs w:val="22"/>
          <w:lang w:eastAsia="en-US"/>
        </w:rPr>
        <w:t>vl</w:t>
      </w:r>
      <w:proofErr w:type="spellEnd"/>
      <w:r w:rsidRPr="007E4F97">
        <w:rPr>
          <w:rFonts w:eastAsia="Calibri"/>
          <w:color w:val="000000"/>
          <w:sz w:val="22"/>
          <w:szCs w:val="22"/>
          <w:lang w:eastAsia="en-US"/>
        </w:rPr>
        <w:t xml:space="preserve"> Alen </w:t>
      </w:r>
      <w:proofErr w:type="spellStart"/>
      <w:r w:rsidRPr="007E4F97">
        <w:rPr>
          <w:rFonts w:eastAsia="Calibri"/>
          <w:color w:val="000000"/>
          <w:sz w:val="22"/>
          <w:szCs w:val="22"/>
          <w:lang w:eastAsia="en-US"/>
        </w:rPr>
        <w:t>Buršić</w:t>
      </w:r>
      <w:proofErr w:type="spellEnd"/>
      <w:r w:rsidRPr="007E4F97">
        <w:rPr>
          <w:rFonts w:eastAsia="Calibri"/>
          <w:color w:val="000000"/>
          <w:sz w:val="22"/>
          <w:szCs w:val="22"/>
          <w:lang w:eastAsia="en-US"/>
        </w:rPr>
        <w:t xml:space="preserve"> iz </w:t>
      </w:r>
      <w:proofErr w:type="spellStart"/>
      <w:r w:rsidRPr="007E4F97">
        <w:rPr>
          <w:rFonts w:eastAsia="Calibri"/>
          <w:color w:val="000000"/>
          <w:sz w:val="22"/>
          <w:szCs w:val="22"/>
          <w:lang w:eastAsia="en-US"/>
        </w:rPr>
        <w:t>Krnice</w:t>
      </w:r>
      <w:proofErr w:type="spellEnd"/>
      <w:r w:rsidRPr="007E4F97">
        <w:rPr>
          <w:rFonts w:eastAsia="Calibri"/>
          <w:color w:val="000000"/>
          <w:sz w:val="22"/>
          <w:szCs w:val="22"/>
          <w:lang w:eastAsia="en-US"/>
        </w:rPr>
        <w:t xml:space="preserve">, </w:t>
      </w:r>
      <w:proofErr w:type="spellStart"/>
      <w:r w:rsidRPr="007E4F97">
        <w:rPr>
          <w:rFonts w:eastAsia="Calibri"/>
          <w:color w:val="000000"/>
          <w:sz w:val="22"/>
          <w:szCs w:val="22"/>
          <w:lang w:eastAsia="en-US"/>
        </w:rPr>
        <w:t>Krnica</w:t>
      </w:r>
      <w:proofErr w:type="spellEnd"/>
      <w:r w:rsidRPr="007E4F97">
        <w:rPr>
          <w:rFonts w:eastAsia="Calibri"/>
          <w:color w:val="000000"/>
          <w:sz w:val="22"/>
          <w:szCs w:val="22"/>
          <w:lang w:eastAsia="en-US"/>
        </w:rPr>
        <w:t xml:space="preserve"> 34A, OIB: 47481356907, (sveukupno 55 bodova); </w:t>
      </w:r>
    </w:p>
    <w:p w14:paraId="4A1EF7C4" w14:textId="77777777" w:rsidR="007E4F97" w:rsidRPr="007E4F97" w:rsidRDefault="007E4F97" w:rsidP="007E4F97">
      <w:pPr>
        <w:autoSpaceDE w:val="0"/>
        <w:autoSpaceDN w:val="0"/>
        <w:adjustRightInd w:val="0"/>
        <w:jc w:val="both"/>
        <w:rPr>
          <w:rFonts w:eastAsia="Calibri"/>
          <w:color w:val="000000"/>
          <w:sz w:val="22"/>
          <w:szCs w:val="22"/>
          <w:lang w:eastAsia="en-US"/>
        </w:rPr>
      </w:pPr>
    </w:p>
    <w:p w14:paraId="2113FC36" w14:textId="77777777" w:rsidR="007E4F97" w:rsidRPr="007E4F97" w:rsidRDefault="007E4F97" w:rsidP="007E4F97">
      <w:pPr>
        <w:autoSpaceDE w:val="0"/>
        <w:autoSpaceDN w:val="0"/>
        <w:adjustRightInd w:val="0"/>
        <w:spacing w:after="30"/>
        <w:jc w:val="both"/>
        <w:rPr>
          <w:rFonts w:eastAsia="Calibri"/>
          <w:color w:val="000000"/>
          <w:sz w:val="22"/>
          <w:szCs w:val="22"/>
          <w:lang w:eastAsia="en-US"/>
        </w:rPr>
      </w:pPr>
      <w:r w:rsidRPr="007E4F97">
        <w:rPr>
          <w:rFonts w:eastAsia="Calibri"/>
          <w:color w:val="000000"/>
          <w:sz w:val="22"/>
          <w:szCs w:val="22"/>
          <w:lang w:eastAsia="en-US"/>
        </w:rPr>
        <w:t xml:space="preserve">2.   Dozvola za obavljanje djelatnosti iznajmljivanja sredstava / opreme za rekreaciju i sport i to: brodica na motorni pogon – Vega, dužine 4,5 m, oznake 2316 PU te dvije </w:t>
      </w:r>
      <w:proofErr w:type="spellStart"/>
      <w:r w:rsidRPr="007E4F97">
        <w:rPr>
          <w:rFonts w:eastAsia="Calibri"/>
          <w:color w:val="000000"/>
          <w:sz w:val="22"/>
          <w:szCs w:val="22"/>
          <w:lang w:eastAsia="en-US"/>
        </w:rPr>
        <w:t>pedaline</w:t>
      </w:r>
      <w:proofErr w:type="spellEnd"/>
      <w:r w:rsidRPr="007E4F97">
        <w:rPr>
          <w:rFonts w:eastAsia="Calibri"/>
          <w:color w:val="000000"/>
          <w:sz w:val="22"/>
          <w:szCs w:val="22"/>
          <w:lang w:eastAsia="en-US"/>
        </w:rPr>
        <w:t xml:space="preserve">, na mikrolokaciji r.br. 25.,  Uvala </w:t>
      </w:r>
      <w:proofErr w:type="spellStart"/>
      <w:r w:rsidRPr="007E4F97">
        <w:rPr>
          <w:rFonts w:eastAsia="Calibri"/>
          <w:color w:val="000000"/>
          <w:sz w:val="22"/>
          <w:szCs w:val="22"/>
          <w:lang w:eastAsia="en-US"/>
        </w:rPr>
        <w:t>Santameža</w:t>
      </w:r>
      <w:proofErr w:type="spellEnd"/>
      <w:r w:rsidRPr="007E4F97">
        <w:rPr>
          <w:rFonts w:eastAsia="Calibri"/>
          <w:color w:val="000000"/>
          <w:sz w:val="22"/>
          <w:szCs w:val="22"/>
          <w:lang w:eastAsia="en-US"/>
        </w:rPr>
        <w:t xml:space="preserve">, </w:t>
      </w:r>
      <w:proofErr w:type="spellStart"/>
      <w:r w:rsidRPr="007E4F97">
        <w:rPr>
          <w:rFonts w:eastAsia="Calibri"/>
          <w:color w:val="000000"/>
          <w:sz w:val="22"/>
          <w:szCs w:val="22"/>
          <w:lang w:eastAsia="en-US"/>
        </w:rPr>
        <w:t>Krnica</w:t>
      </w:r>
      <w:proofErr w:type="spellEnd"/>
      <w:r w:rsidRPr="007E4F97">
        <w:rPr>
          <w:rFonts w:eastAsia="Calibri"/>
          <w:color w:val="000000"/>
          <w:sz w:val="22"/>
          <w:szCs w:val="22"/>
          <w:lang w:eastAsia="en-US"/>
        </w:rPr>
        <w:t xml:space="preserve"> 2388/4, plaža južno od k.č.br. 2388/82, za koju je ponuđena sveukupna godišnja naknada u iznosu od 1.000,00 EUR, dodjeljuje se najpovoljnijem ponuditelju:</w:t>
      </w:r>
    </w:p>
    <w:p w14:paraId="16BF6D93" w14:textId="77777777" w:rsidR="007E4F97" w:rsidRPr="007E4F97" w:rsidRDefault="007E4F97" w:rsidP="007E4F97">
      <w:pPr>
        <w:autoSpaceDE w:val="0"/>
        <w:autoSpaceDN w:val="0"/>
        <w:adjustRightInd w:val="0"/>
        <w:spacing w:after="30"/>
        <w:jc w:val="both"/>
        <w:rPr>
          <w:rFonts w:eastAsia="Calibri"/>
          <w:color w:val="000000"/>
          <w:sz w:val="22"/>
          <w:szCs w:val="22"/>
          <w:lang w:eastAsia="en-US"/>
        </w:rPr>
      </w:pPr>
      <w:r w:rsidRPr="007E4F97">
        <w:rPr>
          <w:rFonts w:eastAsia="Calibri"/>
          <w:color w:val="000000"/>
          <w:sz w:val="22"/>
          <w:szCs w:val="22"/>
          <w:lang w:eastAsia="en-US"/>
        </w:rPr>
        <w:t xml:space="preserve">- </w:t>
      </w:r>
      <w:r w:rsidRPr="007E4F97">
        <w:rPr>
          <w:rFonts w:eastAsia="Calibri"/>
          <w:b/>
          <w:bCs/>
          <w:color w:val="000000"/>
          <w:sz w:val="22"/>
          <w:szCs w:val="22"/>
          <w:lang w:eastAsia="en-US"/>
        </w:rPr>
        <w:t>Obrt „ŠKRAPA“</w:t>
      </w:r>
      <w:r w:rsidRPr="007E4F97">
        <w:rPr>
          <w:rFonts w:eastAsia="Calibri"/>
          <w:color w:val="000000"/>
          <w:sz w:val="22"/>
          <w:szCs w:val="22"/>
          <w:lang w:eastAsia="en-US"/>
        </w:rPr>
        <w:t xml:space="preserve">, </w:t>
      </w:r>
      <w:proofErr w:type="spellStart"/>
      <w:r w:rsidRPr="007E4F97">
        <w:rPr>
          <w:rFonts w:eastAsia="Calibri"/>
          <w:color w:val="000000"/>
          <w:sz w:val="22"/>
          <w:szCs w:val="22"/>
          <w:lang w:eastAsia="en-US"/>
        </w:rPr>
        <w:t>vl</w:t>
      </w:r>
      <w:proofErr w:type="spellEnd"/>
      <w:r w:rsidRPr="007E4F97">
        <w:rPr>
          <w:rFonts w:eastAsia="Calibri"/>
          <w:color w:val="000000"/>
          <w:sz w:val="22"/>
          <w:szCs w:val="22"/>
          <w:lang w:eastAsia="en-US"/>
        </w:rPr>
        <w:t xml:space="preserve"> Milan </w:t>
      </w:r>
      <w:proofErr w:type="spellStart"/>
      <w:r w:rsidRPr="007E4F97">
        <w:rPr>
          <w:rFonts w:eastAsia="Calibri"/>
          <w:color w:val="000000"/>
          <w:sz w:val="22"/>
          <w:szCs w:val="22"/>
          <w:lang w:eastAsia="en-US"/>
        </w:rPr>
        <w:t>Vareško</w:t>
      </w:r>
      <w:proofErr w:type="spellEnd"/>
      <w:r w:rsidRPr="007E4F97">
        <w:rPr>
          <w:rFonts w:eastAsia="Calibri"/>
          <w:color w:val="000000"/>
          <w:sz w:val="22"/>
          <w:szCs w:val="22"/>
          <w:lang w:eastAsia="en-US"/>
        </w:rPr>
        <w:t xml:space="preserve"> iz Velikih </w:t>
      </w:r>
      <w:proofErr w:type="spellStart"/>
      <w:r w:rsidRPr="007E4F97">
        <w:rPr>
          <w:rFonts w:eastAsia="Calibri"/>
          <w:color w:val="000000"/>
          <w:sz w:val="22"/>
          <w:szCs w:val="22"/>
          <w:lang w:eastAsia="en-US"/>
        </w:rPr>
        <w:t>Vareški</w:t>
      </w:r>
      <w:proofErr w:type="spellEnd"/>
      <w:r w:rsidRPr="007E4F97">
        <w:rPr>
          <w:rFonts w:eastAsia="Calibri"/>
          <w:color w:val="000000"/>
          <w:sz w:val="22"/>
          <w:szCs w:val="22"/>
          <w:lang w:eastAsia="en-US"/>
        </w:rPr>
        <w:t xml:space="preserve">, Veliki </w:t>
      </w:r>
      <w:proofErr w:type="spellStart"/>
      <w:r w:rsidRPr="007E4F97">
        <w:rPr>
          <w:rFonts w:eastAsia="Calibri"/>
          <w:color w:val="000000"/>
          <w:sz w:val="22"/>
          <w:szCs w:val="22"/>
          <w:lang w:eastAsia="en-US"/>
        </w:rPr>
        <w:t>Vareški</w:t>
      </w:r>
      <w:proofErr w:type="spellEnd"/>
      <w:r w:rsidRPr="007E4F97">
        <w:rPr>
          <w:rFonts w:eastAsia="Calibri"/>
          <w:color w:val="000000"/>
          <w:sz w:val="22"/>
          <w:szCs w:val="22"/>
          <w:lang w:eastAsia="en-US"/>
        </w:rPr>
        <w:t xml:space="preserve"> 11, OIB: 64098463269, (sveukupno 55 bodova).</w:t>
      </w:r>
    </w:p>
    <w:p w14:paraId="48DB5E98" w14:textId="77777777" w:rsidR="007E4F97" w:rsidRPr="007E4F97" w:rsidRDefault="007E4F97" w:rsidP="007E4F97">
      <w:pPr>
        <w:autoSpaceDE w:val="0"/>
        <w:autoSpaceDN w:val="0"/>
        <w:adjustRightInd w:val="0"/>
        <w:jc w:val="both"/>
        <w:rPr>
          <w:color w:val="00000A"/>
          <w:sz w:val="22"/>
          <w:szCs w:val="22"/>
        </w:rPr>
      </w:pPr>
    </w:p>
    <w:p w14:paraId="22C8BDEB" w14:textId="77777777" w:rsidR="007E4F97" w:rsidRPr="007E4F97" w:rsidRDefault="007E4F97" w:rsidP="007E4F97">
      <w:pPr>
        <w:autoSpaceDE w:val="0"/>
        <w:autoSpaceDN w:val="0"/>
        <w:adjustRightInd w:val="0"/>
        <w:jc w:val="center"/>
        <w:rPr>
          <w:rFonts w:eastAsia="Calibri"/>
          <w:color w:val="000000"/>
          <w:sz w:val="22"/>
          <w:szCs w:val="22"/>
          <w:lang w:eastAsia="en-US"/>
        </w:rPr>
      </w:pPr>
      <w:r w:rsidRPr="007E4F97">
        <w:rPr>
          <w:rFonts w:eastAsia="Calibri"/>
          <w:b/>
          <w:bCs/>
          <w:color w:val="000000"/>
          <w:sz w:val="22"/>
          <w:szCs w:val="22"/>
          <w:lang w:eastAsia="en-US"/>
        </w:rPr>
        <w:t>Članak 2.</w:t>
      </w:r>
    </w:p>
    <w:p w14:paraId="0A2AABE7" w14:textId="77777777" w:rsidR="007E4F97" w:rsidRPr="007E4F97" w:rsidRDefault="007E4F97" w:rsidP="007E4F97">
      <w:pPr>
        <w:autoSpaceDE w:val="0"/>
        <w:autoSpaceDN w:val="0"/>
        <w:adjustRightInd w:val="0"/>
        <w:ind w:firstLine="708"/>
        <w:jc w:val="both"/>
        <w:rPr>
          <w:rFonts w:eastAsia="Calibri"/>
          <w:color w:val="000000"/>
          <w:sz w:val="22"/>
          <w:szCs w:val="22"/>
          <w:lang w:eastAsia="en-US"/>
        </w:rPr>
      </w:pPr>
      <w:r w:rsidRPr="007E4F97">
        <w:rPr>
          <w:rFonts w:eastAsia="Calibri"/>
          <w:color w:val="000000"/>
          <w:sz w:val="22"/>
          <w:szCs w:val="22"/>
          <w:lang w:eastAsia="en-US"/>
        </w:rPr>
        <w:t>Na temelju ove Odluke, Načelnik Općine Marčana donijeti će pojedinačna rješenja o davanju dozvola na pomorskom dobru.</w:t>
      </w:r>
    </w:p>
    <w:p w14:paraId="221173FE" w14:textId="77777777" w:rsidR="007E4F97" w:rsidRPr="007E4F97" w:rsidRDefault="007E4F97" w:rsidP="007E4F97">
      <w:pPr>
        <w:autoSpaceDE w:val="0"/>
        <w:autoSpaceDN w:val="0"/>
        <w:adjustRightInd w:val="0"/>
        <w:ind w:firstLine="708"/>
        <w:jc w:val="both"/>
        <w:rPr>
          <w:rFonts w:eastAsia="Calibri"/>
          <w:color w:val="000000"/>
          <w:sz w:val="22"/>
          <w:szCs w:val="22"/>
          <w:lang w:eastAsia="en-US"/>
        </w:rPr>
      </w:pPr>
    </w:p>
    <w:p w14:paraId="129B9E29" w14:textId="77777777" w:rsidR="007E4F97" w:rsidRPr="007E4F97" w:rsidRDefault="007E4F97" w:rsidP="007E4F97">
      <w:pPr>
        <w:autoSpaceDE w:val="0"/>
        <w:autoSpaceDN w:val="0"/>
        <w:adjustRightInd w:val="0"/>
        <w:jc w:val="center"/>
        <w:rPr>
          <w:rFonts w:eastAsia="Calibri"/>
          <w:color w:val="000000"/>
          <w:sz w:val="22"/>
          <w:szCs w:val="22"/>
          <w:lang w:eastAsia="en-US"/>
        </w:rPr>
      </w:pPr>
      <w:r w:rsidRPr="007E4F97">
        <w:rPr>
          <w:rFonts w:eastAsia="Calibri"/>
          <w:b/>
          <w:bCs/>
          <w:color w:val="000000"/>
          <w:sz w:val="22"/>
          <w:szCs w:val="22"/>
          <w:lang w:eastAsia="en-US"/>
        </w:rPr>
        <w:t>Članak 3.</w:t>
      </w:r>
    </w:p>
    <w:p w14:paraId="770F37EC" w14:textId="77777777" w:rsidR="007E4F97" w:rsidRPr="007E4F97" w:rsidRDefault="007E4F97" w:rsidP="007E4F97">
      <w:pPr>
        <w:autoSpaceDE w:val="0"/>
        <w:autoSpaceDN w:val="0"/>
        <w:adjustRightInd w:val="0"/>
        <w:ind w:firstLine="708"/>
        <w:jc w:val="both"/>
        <w:rPr>
          <w:rFonts w:eastAsia="Calibri"/>
          <w:color w:val="000000"/>
          <w:sz w:val="22"/>
          <w:szCs w:val="22"/>
          <w:lang w:eastAsia="en-US"/>
        </w:rPr>
      </w:pPr>
      <w:r w:rsidRPr="007E4F97">
        <w:rPr>
          <w:rFonts w:eastAsia="Calibri"/>
          <w:color w:val="000000"/>
          <w:sz w:val="22"/>
          <w:szCs w:val="22"/>
          <w:lang w:eastAsia="en-US"/>
        </w:rPr>
        <w:t>Protiv ove Odluke nije dopuštena žalba, već se može pokrenuti upravni spor u roku od 30 dana od dana stupanja na snagu ove Odluke.</w:t>
      </w:r>
    </w:p>
    <w:p w14:paraId="1DE15F4F" w14:textId="77777777" w:rsidR="007E4F97" w:rsidRPr="007E4F97" w:rsidRDefault="007E4F97" w:rsidP="007E4F97">
      <w:pPr>
        <w:autoSpaceDE w:val="0"/>
        <w:autoSpaceDN w:val="0"/>
        <w:adjustRightInd w:val="0"/>
        <w:jc w:val="both"/>
        <w:rPr>
          <w:rFonts w:eastAsia="Calibri"/>
          <w:color w:val="000000"/>
          <w:sz w:val="22"/>
          <w:szCs w:val="22"/>
          <w:lang w:eastAsia="en-US"/>
        </w:rPr>
      </w:pPr>
      <w:r w:rsidRPr="007E4F97">
        <w:rPr>
          <w:rFonts w:eastAsia="Calibri"/>
          <w:color w:val="000000"/>
          <w:sz w:val="22"/>
          <w:szCs w:val="22"/>
          <w:lang w:eastAsia="en-US"/>
        </w:rPr>
        <w:t xml:space="preserve"> </w:t>
      </w:r>
    </w:p>
    <w:p w14:paraId="6A1215DD" w14:textId="77777777" w:rsidR="007E4F97" w:rsidRPr="007E4F97" w:rsidRDefault="007E4F97" w:rsidP="007E4F97">
      <w:pPr>
        <w:autoSpaceDE w:val="0"/>
        <w:autoSpaceDN w:val="0"/>
        <w:adjustRightInd w:val="0"/>
        <w:jc w:val="center"/>
        <w:rPr>
          <w:rFonts w:eastAsia="Calibri"/>
          <w:color w:val="000000"/>
          <w:sz w:val="22"/>
          <w:szCs w:val="22"/>
          <w:lang w:eastAsia="en-US"/>
        </w:rPr>
      </w:pPr>
      <w:r w:rsidRPr="007E4F97">
        <w:rPr>
          <w:rFonts w:eastAsia="Calibri"/>
          <w:b/>
          <w:bCs/>
          <w:color w:val="000000"/>
          <w:sz w:val="22"/>
          <w:szCs w:val="22"/>
          <w:lang w:eastAsia="en-US"/>
        </w:rPr>
        <w:t>Članak 4.</w:t>
      </w:r>
    </w:p>
    <w:p w14:paraId="52DDBA04" w14:textId="77777777" w:rsidR="007E4F97" w:rsidRPr="007E4F97" w:rsidRDefault="007E4F97" w:rsidP="007E4F97">
      <w:pPr>
        <w:autoSpaceDE w:val="0"/>
        <w:autoSpaceDN w:val="0"/>
        <w:adjustRightInd w:val="0"/>
        <w:ind w:firstLine="708"/>
        <w:jc w:val="both"/>
        <w:rPr>
          <w:rFonts w:eastAsia="Calibri"/>
          <w:color w:val="000000"/>
          <w:sz w:val="22"/>
          <w:szCs w:val="22"/>
          <w:lang w:eastAsia="en-US"/>
        </w:rPr>
      </w:pPr>
      <w:r w:rsidRPr="007E4F97">
        <w:rPr>
          <w:rFonts w:eastAsia="Calibri"/>
          <w:color w:val="000000"/>
          <w:sz w:val="22"/>
          <w:szCs w:val="22"/>
          <w:lang w:eastAsia="en-US"/>
        </w:rPr>
        <w:t>Ova Odluka stupa na snagu osmi dan od dana objave u „Službenim novinama Općine Marčana“.</w:t>
      </w:r>
    </w:p>
    <w:p w14:paraId="1F361986" w14:textId="77777777" w:rsidR="007E4F97" w:rsidRPr="007E4F97" w:rsidRDefault="007E4F97" w:rsidP="007E4F97">
      <w:pPr>
        <w:autoSpaceDE w:val="0"/>
        <w:autoSpaceDN w:val="0"/>
        <w:adjustRightInd w:val="0"/>
        <w:jc w:val="both"/>
        <w:rPr>
          <w:color w:val="000000"/>
          <w:sz w:val="22"/>
          <w:szCs w:val="22"/>
        </w:rPr>
      </w:pPr>
    </w:p>
    <w:p w14:paraId="797DFCFF" w14:textId="77777777" w:rsidR="007E4F97" w:rsidRPr="007E4F97" w:rsidRDefault="007E4F97" w:rsidP="007E4F97">
      <w:pPr>
        <w:jc w:val="both"/>
        <w:rPr>
          <w:color w:val="000000"/>
          <w:sz w:val="22"/>
          <w:szCs w:val="22"/>
        </w:rPr>
      </w:pPr>
      <w:r w:rsidRPr="007E4F97">
        <w:rPr>
          <w:color w:val="000000"/>
          <w:sz w:val="22"/>
          <w:szCs w:val="22"/>
        </w:rPr>
        <w:t>KLASA: 342-01/26-01/20</w:t>
      </w:r>
    </w:p>
    <w:p w14:paraId="715FC23D" w14:textId="77777777" w:rsidR="007E4F97" w:rsidRPr="007E4F97" w:rsidRDefault="007E4F97" w:rsidP="007E4F97">
      <w:pPr>
        <w:jc w:val="both"/>
        <w:rPr>
          <w:color w:val="000000"/>
          <w:sz w:val="22"/>
          <w:szCs w:val="22"/>
        </w:rPr>
      </w:pPr>
      <w:r w:rsidRPr="007E4F97">
        <w:rPr>
          <w:color w:val="000000"/>
          <w:sz w:val="22"/>
          <w:szCs w:val="22"/>
        </w:rPr>
        <w:t>URBROJ: 2163-26-01-26-5</w:t>
      </w:r>
    </w:p>
    <w:p w14:paraId="01AB84E4" w14:textId="77777777" w:rsidR="007E4F97" w:rsidRPr="007E4F97" w:rsidRDefault="007E4F97" w:rsidP="007E4F97">
      <w:pPr>
        <w:jc w:val="both"/>
        <w:rPr>
          <w:color w:val="000000"/>
          <w:sz w:val="22"/>
          <w:szCs w:val="22"/>
        </w:rPr>
      </w:pPr>
      <w:r w:rsidRPr="007E4F97">
        <w:rPr>
          <w:color w:val="000000"/>
          <w:sz w:val="22"/>
          <w:szCs w:val="22"/>
        </w:rPr>
        <w:t xml:space="preserve">Marčana, 28. svibnja 2026. </w:t>
      </w:r>
    </w:p>
    <w:p w14:paraId="2C15D381" w14:textId="77777777" w:rsidR="007E4F97" w:rsidRPr="007E4F97" w:rsidRDefault="007E4F97" w:rsidP="007E4F97">
      <w:pPr>
        <w:jc w:val="both"/>
        <w:rPr>
          <w:color w:val="000000"/>
          <w:sz w:val="22"/>
          <w:szCs w:val="22"/>
        </w:rPr>
      </w:pPr>
    </w:p>
    <w:p w14:paraId="5C5FC9F1" w14:textId="77777777" w:rsidR="007E4F97" w:rsidRPr="007E4F97" w:rsidRDefault="007E4F97" w:rsidP="007E4F97">
      <w:pPr>
        <w:jc w:val="both"/>
        <w:rPr>
          <w:b/>
          <w:bCs/>
          <w:color w:val="000000"/>
          <w:sz w:val="22"/>
          <w:szCs w:val="22"/>
        </w:rPr>
      </w:pPr>
      <w:r w:rsidRPr="007E4F97">
        <w:rPr>
          <w:b/>
          <w:bCs/>
          <w:color w:val="000000"/>
          <w:sz w:val="22"/>
          <w:szCs w:val="22"/>
        </w:rPr>
        <w:t xml:space="preserve">                                                                                  OPĆINSKO VIJEĆE OPĆINE MARČANA</w:t>
      </w:r>
    </w:p>
    <w:p w14:paraId="61D2F75E" w14:textId="77777777" w:rsidR="007E4F97" w:rsidRPr="007E4F97" w:rsidRDefault="007E4F97" w:rsidP="007E4F97">
      <w:pPr>
        <w:jc w:val="both"/>
        <w:rPr>
          <w:b/>
          <w:bCs/>
          <w:color w:val="000000"/>
          <w:sz w:val="22"/>
          <w:szCs w:val="22"/>
        </w:rPr>
      </w:pPr>
      <w:r w:rsidRPr="007E4F97">
        <w:rPr>
          <w:b/>
          <w:bCs/>
          <w:color w:val="000000"/>
          <w:sz w:val="22"/>
          <w:szCs w:val="22"/>
        </w:rPr>
        <w:t xml:space="preserve">                                                                                                            PREDSJEDNIK</w:t>
      </w:r>
    </w:p>
    <w:p w14:paraId="7568C2A9" w14:textId="413370E3" w:rsidR="007E4F97" w:rsidRPr="007E4F97" w:rsidRDefault="007E4F97" w:rsidP="007E4F97">
      <w:pPr>
        <w:jc w:val="both"/>
        <w:rPr>
          <w:b/>
          <w:bCs/>
          <w:color w:val="000000"/>
          <w:sz w:val="22"/>
          <w:szCs w:val="22"/>
        </w:rPr>
      </w:pPr>
      <w:r w:rsidRPr="007E4F97">
        <w:rPr>
          <w:b/>
          <w:bCs/>
          <w:color w:val="000000"/>
          <w:sz w:val="22"/>
          <w:szCs w:val="22"/>
        </w:rPr>
        <w:t xml:space="preserve">                                                                                                          Denis </w:t>
      </w:r>
      <w:proofErr w:type="spellStart"/>
      <w:r w:rsidRPr="007E4F97">
        <w:rPr>
          <w:b/>
          <w:bCs/>
          <w:color w:val="000000"/>
          <w:sz w:val="22"/>
          <w:szCs w:val="22"/>
        </w:rPr>
        <w:t>Diković</w:t>
      </w:r>
      <w:proofErr w:type="spellEnd"/>
      <w:r>
        <w:rPr>
          <w:b/>
          <w:bCs/>
          <w:color w:val="000000"/>
          <w:sz w:val="22"/>
          <w:szCs w:val="22"/>
        </w:rPr>
        <w:t>, v.r.</w:t>
      </w:r>
      <w:r w:rsidRPr="007E4F97">
        <w:rPr>
          <w:b/>
          <w:bCs/>
          <w:color w:val="000000"/>
          <w:sz w:val="22"/>
          <w:szCs w:val="22"/>
        </w:rPr>
        <w:t xml:space="preserve"> </w:t>
      </w:r>
    </w:p>
    <w:p w14:paraId="49A17237" w14:textId="77777777" w:rsidR="007E4F97" w:rsidRPr="00C464F2" w:rsidRDefault="007E4F97" w:rsidP="00C464F2">
      <w:pPr>
        <w:widowControl w:val="0"/>
        <w:autoSpaceDE w:val="0"/>
        <w:autoSpaceDN w:val="0"/>
        <w:adjustRightInd w:val="0"/>
        <w:jc w:val="both"/>
        <w:rPr>
          <w:b/>
        </w:rPr>
      </w:pPr>
    </w:p>
    <w:p w14:paraId="3C30B8E2" w14:textId="77777777" w:rsidR="00C464F2" w:rsidRPr="00C464F2" w:rsidRDefault="00C464F2" w:rsidP="00C464F2">
      <w:pPr>
        <w:widowControl w:val="0"/>
        <w:autoSpaceDE w:val="0"/>
        <w:autoSpaceDN w:val="0"/>
        <w:adjustRightInd w:val="0"/>
        <w:spacing w:after="120"/>
        <w:jc w:val="both"/>
      </w:pPr>
      <w:r w:rsidRPr="00C464F2">
        <w:t xml:space="preserve"> </w:t>
      </w:r>
    </w:p>
    <w:p w14:paraId="34317B7C" w14:textId="77777777" w:rsidR="00C464F2" w:rsidRPr="00C464F2" w:rsidRDefault="00C464F2" w:rsidP="00C464F2">
      <w:pPr>
        <w:suppressAutoHyphens/>
        <w:jc w:val="both"/>
      </w:pPr>
    </w:p>
    <w:p w14:paraId="695B2587" w14:textId="77777777" w:rsidR="00C464F2" w:rsidRPr="00C464F2" w:rsidRDefault="00C464F2" w:rsidP="00C464F2">
      <w:pPr>
        <w:suppressAutoHyphens/>
        <w:jc w:val="both"/>
      </w:pPr>
    </w:p>
    <w:p w14:paraId="68BB91F1" w14:textId="77777777" w:rsidR="00C464F2" w:rsidRPr="00C464F2" w:rsidRDefault="00C464F2" w:rsidP="00C464F2">
      <w:pPr>
        <w:suppressAutoHyphens/>
        <w:jc w:val="both"/>
      </w:pPr>
    </w:p>
    <w:p w14:paraId="7EDACBF3" w14:textId="77777777" w:rsidR="00C464F2" w:rsidRPr="00C464F2" w:rsidRDefault="00C464F2" w:rsidP="00C464F2">
      <w:pPr>
        <w:suppressAutoHyphens/>
        <w:jc w:val="both"/>
      </w:pPr>
    </w:p>
    <w:p w14:paraId="2ACF1DB8" w14:textId="77777777" w:rsidR="00C464F2" w:rsidRPr="00C464F2" w:rsidRDefault="00C464F2" w:rsidP="00C464F2">
      <w:pPr>
        <w:suppressAutoHyphens/>
        <w:jc w:val="both"/>
      </w:pPr>
    </w:p>
    <w:p w14:paraId="66B3D9CF" w14:textId="77777777" w:rsidR="00C464F2" w:rsidRPr="00C464F2" w:rsidRDefault="00C464F2" w:rsidP="00C464F2">
      <w:pPr>
        <w:suppressAutoHyphens/>
        <w:jc w:val="both"/>
      </w:pPr>
    </w:p>
    <w:p w14:paraId="1CB7BC5C" w14:textId="77777777" w:rsidR="00C464F2" w:rsidRPr="00C464F2" w:rsidRDefault="00C464F2" w:rsidP="00C464F2">
      <w:pPr>
        <w:suppressAutoHyphens/>
        <w:jc w:val="both"/>
      </w:pPr>
    </w:p>
    <w:p w14:paraId="4FC1C6F3" w14:textId="77777777" w:rsidR="00C464F2" w:rsidRPr="00C464F2" w:rsidRDefault="00C464F2" w:rsidP="00C464F2">
      <w:pPr>
        <w:suppressAutoHyphens/>
        <w:jc w:val="both"/>
      </w:pPr>
    </w:p>
    <w:p w14:paraId="639CDC6F" w14:textId="77777777" w:rsidR="00D643E4" w:rsidRDefault="00D643E4" w:rsidP="00D643E4">
      <w:pPr>
        <w:spacing w:after="160" w:line="259" w:lineRule="auto"/>
        <w:rPr>
          <w:rFonts w:asciiTheme="minorHAnsi" w:eastAsiaTheme="minorHAnsi" w:hAnsiTheme="minorHAnsi" w:cstheme="minorBidi"/>
          <w:kern w:val="2"/>
          <w:sz w:val="22"/>
          <w:szCs w:val="22"/>
          <w:lang w:eastAsia="en-US"/>
          <w14:ligatures w14:val="standardContextual"/>
        </w:rPr>
      </w:pPr>
    </w:p>
    <w:p w14:paraId="5BDF6932" w14:textId="77777777" w:rsidR="00D643E4" w:rsidRPr="00D643E4" w:rsidRDefault="00D643E4" w:rsidP="00D643E4">
      <w:pPr>
        <w:spacing w:after="160" w:line="259" w:lineRule="auto"/>
        <w:rPr>
          <w:rFonts w:asciiTheme="minorHAnsi" w:eastAsiaTheme="minorHAnsi" w:hAnsiTheme="minorHAnsi" w:cstheme="minorBidi"/>
          <w:kern w:val="2"/>
          <w:sz w:val="22"/>
          <w:szCs w:val="22"/>
          <w:lang w:eastAsia="en-US"/>
          <w14:ligatures w14:val="standardContextual"/>
        </w:rPr>
      </w:pPr>
    </w:p>
    <w:p w14:paraId="063783B7" w14:textId="77777777" w:rsidR="00AC05DE" w:rsidRPr="00AC05DE" w:rsidRDefault="00AC05DE" w:rsidP="00AC05DE">
      <w:pPr>
        <w:rPr>
          <w:rFonts w:eastAsia="Calibri"/>
          <w:lang w:eastAsia="en-US"/>
        </w:rPr>
      </w:pPr>
    </w:p>
    <w:p w14:paraId="1AC4AC2B" w14:textId="77777777" w:rsidR="00AC05DE" w:rsidRPr="00AC05DE" w:rsidRDefault="00AC05DE" w:rsidP="00AC05DE">
      <w:pPr>
        <w:rPr>
          <w:rFonts w:eastAsia="Calibri"/>
          <w:lang w:eastAsia="en-US"/>
        </w:rPr>
      </w:pPr>
    </w:p>
    <w:p w14:paraId="23151A0E" w14:textId="77777777" w:rsidR="00AC05DE" w:rsidRDefault="00AC05DE" w:rsidP="007B3E41">
      <w:pPr>
        <w:jc w:val="both"/>
      </w:pPr>
    </w:p>
    <w:p w14:paraId="24D82542" w14:textId="77777777" w:rsidR="00A41313" w:rsidRPr="007B3E41" w:rsidRDefault="00A41313" w:rsidP="007B3E41">
      <w:pPr>
        <w:jc w:val="both"/>
      </w:pPr>
    </w:p>
    <w:p w14:paraId="0B0103C5" w14:textId="77777777" w:rsidR="007B3E41" w:rsidRPr="007B3E41" w:rsidRDefault="007B3E41" w:rsidP="007B3E41">
      <w:pPr>
        <w:jc w:val="both"/>
      </w:pPr>
    </w:p>
    <w:p w14:paraId="40FA50F1" w14:textId="77777777" w:rsidR="007B3E41" w:rsidRPr="007B3E41" w:rsidRDefault="007B3E41" w:rsidP="007B3E41">
      <w:pPr>
        <w:jc w:val="both"/>
      </w:pPr>
    </w:p>
    <w:bookmarkEnd w:id="2"/>
    <w:p w14:paraId="5E00061D" w14:textId="77777777" w:rsidR="007B3E41" w:rsidRPr="007B3E41" w:rsidRDefault="007B3E41" w:rsidP="007B3E41">
      <w:pPr>
        <w:jc w:val="both"/>
      </w:pPr>
    </w:p>
    <w:p w14:paraId="41F77B33" w14:textId="77777777" w:rsidR="007B3E41" w:rsidRPr="007B3E41" w:rsidRDefault="007B3E41" w:rsidP="007B3E41">
      <w:pPr>
        <w:jc w:val="both"/>
      </w:pPr>
    </w:p>
    <w:p w14:paraId="4E3E263F" w14:textId="77777777" w:rsidR="007B3E41" w:rsidRPr="007B3E41" w:rsidRDefault="007B3E41" w:rsidP="007B3E41">
      <w:pPr>
        <w:jc w:val="both"/>
      </w:pPr>
    </w:p>
    <w:p w14:paraId="4EA3D3B1" w14:textId="77777777" w:rsidR="00A41313" w:rsidRDefault="00A41313" w:rsidP="007B3E41">
      <w:pPr>
        <w:ind w:firstLine="720"/>
        <w:jc w:val="both"/>
      </w:pPr>
    </w:p>
    <w:p w14:paraId="6EA60625" w14:textId="77777777" w:rsidR="00A41313" w:rsidRDefault="00A41313" w:rsidP="007B3E41">
      <w:pPr>
        <w:ind w:firstLine="720"/>
        <w:jc w:val="both"/>
      </w:pPr>
    </w:p>
    <w:p w14:paraId="5BA30AAA" w14:textId="77777777" w:rsidR="00AB6657" w:rsidRDefault="00AB6657" w:rsidP="00F97745">
      <w:pPr>
        <w:rPr>
          <w:b/>
          <w:szCs w:val="20"/>
        </w:rPr>
        <w:sectPr w:rsidR="00AB6657" w:rsidSect="00CF2FA2">
          <w:pgSz w:w="11906" w:h="16838"/>
          <w:pgMar w:top="1417" w:right="1417" w:bottom="1417" w:left="1417" w:header="708" w:footer="708" w:gutter="0"/>
          <w:cols w:space="708"/>
          <w:docGrid w:linePitch="360"/>
        </w:sectPr>
      </w:pPr>
    </w:p>
    <w:p w14:paraId="7980FE67" w14:textId="77777777" w:rsidR="000F0BEE" w:rsidRPr="00F97745" w:rsidRDefault="000F0BEE" w:rsidP="00F97745">
      <w:pPr>
        <w:rPr>
          <w:b/>
          <w:szCs w:val="20"/>
        </w:rPr>
      </w:pPr>
    </w:p>
    <w:p w14:paraId="3C415522" w14:textId="77777777" w:rsidR="00F97745" w:rsidRDefault="00F97745" w:rsidP="00F97745">
      <w:pPr>
        <w:rPr>
          <w:b/>
          <w:szCs w:val="20"/>
        </w:rPr>
      </w:pPr>
    </w:p>
    <w:p w14:paraId="664D6FF2" w14:textId="77777777" w:rsidR="00AB6657" w:rsidRPr="00F97745" w:rsidRDefault="00AB6657" w:rsidP="00F97745">
      <w:pPr>
        <w:rPr>
          <w:b/>
          <w:szCs w:val="20"/>
        </w:rPr>
      </w:pPr>
    </w:p>
    <w:p w14:paraId="352256E6" w14:textId="77777777" w:rsidR="00F97745" w:rsidRPr="00F97745" w:rsidRDefault="00F97745" w:rsidP="00F97745">
      <w:pPr>
        <w:ind w:firstLine="720"/>
        <w:jc w:val="both"/>
        <w:rPr>
          <w:szCs w:val="20"/>
        </w:rPr>
      </w:pPr>
    </w:p>
    <w:p w14:paraId="6D806530" w14:textId="3EDD96C0" w:rsidR="008F31BC" w:rsidRPr="00C94AFD" w:rsidRDefault="008F31BC" w:rsidP="008F31BC">
      <w:pPr>
        <w:keepNext/>
        <w:numPr>
          <w:ilvl w:val="2"/>
          <w:numId w:val="1"/>
        </w:numPr>
        <w:jc w:val="center"/>
        <w:outlineLvl w:val="2"/>
        <w:rPr>
          <w:b/>
          <w:sz w:val="32"/>
          <w:szCs w:val="32"/>
        </w:rPr>
      </w:pPr>
      <w:r w:rsidRPr="00C94AFD">
        <w:rPr>
          <w:b/>
          <w:sz w:val="32"/>
          <w:szCs w:val="32"/>
        </w:rPr>
        <w:t>SADRŽAJ</w:t>
      </w:r>
    </w:p>
    <w:p w14:paraId="71B6D9F2" w14:textId="77777777" w:rsidR="008F31BC" w:rsidRDefault="008F31BC" w:rsidP="008F31BC">
      <w:pPr>
        <w:ind w:firstLine="720"/>
      </w:pPr>
    </w:p>
    <w:p w14:paraId="0ED40E54" w14:textId="77777777" w:rsidR="008F31BC" w:rsidRPr="00C94AFD" w:rsidRDefault="008F31BC" w:rsidP="008F31BC">
      <w:pPr>
        <w:ind w:firstLine="720"/>
      </w:pPr>
    </w:p>
    <w:tbl>
      <w:tblPr>
        <w:tblStyle w:val="Reetkatablice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
        <w:gridCol w:w="7982"/>
        <w:gridCol w:w="576"/>
      </w:tblGrid>
      <w:tr w:rsidR="00E73503" w:rsidRPr="00C94AFD" w14:paraId="34354668" w14:textId="77777777" w:rsidTr="004C3462">
        <w:tc>
          <w:tcPr>
            <w:tcW w:w="514" w:type="dxa"/>
          </w:tcPr>
          <w:p w14:paraId="78367844" w14:textId="77777777" w:rsidR="008F31BC" w:rsidRPr="00C94AFD" w:rsidRDefault="008F31BC" w:rsidP="0034653D">
            <w:r w:rsidRPr="00C94AFD">
              <w:t>1.</w:t>
            </w:r>
          </w:p>
        </w:tc>
        <w:tc>
          <w:tcPr>
            <w:tcW w:w="7982" w:type="dxa"/>
          </w:tcPr>
          <w:p w14:paraId="2BC6E57B" w14:textId="79932327" w:rsidR="00A52F5C" w:rsidRDefault="004C3462" w:rsidP="003B4769">
            <w:pPr>
              <w:spacing w:after="60"/>
              <w:jc w:val="both"/>
            </w:pPr>
            <w:r w:rsidRPr="004C3462">
              <w:t>Zaključak o prihvaćanju Izvješća o radu Načelnika Općine Marčana u drugom polugodištu  2025. godine</w:t>
            </w:r>
            <w:r>
              <w:t xml:space="preserve"> ………………………………………………………...</w:t>
            </w:r>
          </w:p>
          <w:p w14:paraId="03047608" w14:textId="51983D66" w:rsidR="003B4769" w:rsidRPr="00C94AFD" w:rsidRDefault="003B4769" w:rsidP="003B4769">
            <w:pPr>
              <w:spacing w:after="60"/>
              <w:jc w:val="both"/>
            </w:pPr>
          </w:p>
        </w:tc>
        <w:tc>
          <w:tcPr>
            <w:tcW w:w="576" w:type="dxa"/>
          </w:tcPr>
          <w:p w14:paraId="5AA24786" w14:textId="77777777" w:rsidR="00A52F5C" w:rsidRDefault="00A52F5C" w:rsidP="004C3462">
            <w:pPr>
              <w:jc w:val="right"/>
            </w:pPr>
          </w:p>
          <w:p w14:paraId="5D30CCFF" w14:textId="5F35DF0E" w:rsidR="008F31BC" w:rsidRPr="00C94AFD" w:rsidRDefault="00EE147F" w:rsidP="004C3462">
            <w:pPr>
              <w:jc w:val="right"/>
            </w:pPr>
            <w:r>
              <w:t>9</w:t>
            </w:r>
            <w:r w:rsidR="004C3462">
              <w:t>5</w:t>
            </w:r>
          </w:p>
        </w:tc>
      </w:tr>
      <w:tr w:rsidR="00E73503" w:rsidRPr="00C94AFD" w14:paraId="4ACFB7F6" w14:textId="77777777" w:rsidTr="004C3462">
        <w:tc>
          <w:tcPr>
            <w:tcW w:w="514" w:type="dxa"/>
          </w:tcPr>
          <w:p w14:paraId="7ADAC03F" w14:textId="77777777" w:rsidR="008F31BC" w:rsidRPr="00C94AFD" w:rsidRDefault="008F31BC" w:rsidP="0034653D">
            <w:r w:rsidRPr="00C94AFD">
              <w:t>2.</w:t>
            </w:r>
          </w:p>
        </w:tc>
        <w:tc>
          <w:tcPr>
            <w:tcW w:w="7982" w:type="dxa"/>
          </w:tcPr>
          <w:p w14:paraId="350E2121" w14:textId="198254E0" w:rsidR="008F31BC" w:rsidRPr="00C94AFD" w:rsidRDefault="004C3462" w:rsidP="0034653D">
            <w:r w:rsidRPr="004C3462">
              <w:t>Godišnji izvještaj o izvršenju Proračuna Općine Marčana za 2025. godinu</w:t>
            </w:r>
            <w:r>
              <w:t xml:space="preserve"> ……..</w:t>
            </w:r>
          </w:p>
        </w:tc>
        <w:tc>
          <w:tcPr>
            <w:tcW w:w="576" w:type="dxa"/>
          </w:tcPr>
          <w:p w14:paraId="7A19CCB8" w14:textId="1ADCCC90" w:rsidR="008F31BC" w:rsidRPr="00C94AFD" w:rsidRDefault="004C3462" w:rsidP="004C3462">
            <w:pPr>
              <w:jc w:val="right"/>
            </w:pPr>
            <w:r>
              <w:t>1</w:t>
            </w:r>
            <w:r w:rsidR="00EE147F">
              <w:t>0</w:t>
            </w:r>
            <w:r>
              <w:t>8</w:t>
            </w:r>
          </w:p>
        </w:tc>
      </w:tr>
      <w:tr w:rsidR="00E73503" w:rsidRPr="00C94AFD" w14:paraId="662CC8E2" w14:textId="77777777" w:rsidTr="004C3462">
        <w:tc>
          <w:tcPr>
            <w:tcW w:w="514" w:type="dxa"/>
          </w:tcPr>
          <w:p w14:paraId="1DD141CB" w14:textId="77777777" w:rsidR="008F31BC" w:rsidRPr="00C94AFD" w:rsidRDefault="008F31BC" w:rsidP="0034653D"/>
        </w:tc>
        <w:tc>
          <w:tcPr>
            <w:tcW w:w="7982" w:type="dxa"/>
          </w:tcPr>
          <w:p w14:paraId="7FD5D206" w14:textId="77777777" w:rsidR="008F31BC" w:rsidRPr="00C94AFD" w:rsidRDefault="008F31BC" w:rsidP="0034653D"/>
        </w:tc>
        <w:tc>
          <w:tcPr>
            <w:tcW w:w="576" w:type="dxa"/>
          </w:tcPr>
          <w:p w14:paraId="48E722BF" w14:textId="77777777" w:rsidR="008F31BC" w:rsidRPr="00C94AFD" w:rsidRDefault="008F31BC" w:rsidP="0034653D"/>
        </w:tc>
      </w:tr>
      <w:tr w:rsidR="00EE147F" w:rsidRPr="00C94AFD" w14:paraId="244BC85B" w14:textId="77777777" w:rsidTr="004C3462">
        <w:tc>
          <w:tcPr>
            <w:tcW w:w="514" w:type="dxa"/>
          </w:tcPr>
          <w:p w14:paraId="5F237B96" w14:textId="77777777" w:rsidR="00EE147F" w:rsidRPr="00C94AFD" w:rsidRDefault="00EE147F" w:rsidP="00EE147F">
            <w:r w:rsidRPr="00C94AFD">
              <w:t>3.</w:t>
            </w:r>
          </w:p>
        </w:tc>
        <w:tc>
          <w:tcPr>
            <w:tcW w:w="7982" w:type="dxa"/>
          </w:tcPr>
          <w:p w14:paraId="6F492280" w14:textId="6E740A81" w:rsidR="00EE147F" w:rsidRPr="00C94AFD" w:rsidRDefault="004C3462" w:rsidP="004C3462">
            <w:pPr>
              <w:spacing w:after="60"/>
            </w:pPr>
            <w:r>
              <w:t>Odluka o raspodjeli rezultata utvrđenog za proračunsku 2025. godinu ………….</w:t>
            </w:r>
          </w:p>
        </w:tc>
        <w:tc>
          <w:tcPr>
            <w:tcW w:w="576" w:type="dxa"/>
          </w:tcPr>
          <w:p w14:paraId="7574FE46" w14:textId="3860DE67" w:rsidR="00EE147F" w:rsidRPr="00C94AFD" w:rsidRDefault="004C3462" w:rsidP="004C3462">
            <w:r>
              <w:t>190</w:t>
            </w:r>
          </w:p>
        </w:tc>
      </w:tr>
      <w:tr w:rsidR="00EE147F" w:rsidRPr="00C94AFD" w14:paraId="5B52D49B" w14:textId="77777777" w:rsidTr="004C3462">
        <w:tc>
          <w:tcPr>
            <w:tcW w:w="514" w:type="dxa"/>
          </w:tcPr>
          <w:p w14:paraId="0A520788" w14:textId="77777777" w:rsidR="00EE147F" w:rsidRPr="00C94AFD" w:rsidRDefault="00EE147F" w:rsidP="00EE147F"/>
        </w:tc>
        <w:tc>
          <w:tcPr>
            <w:tcW w:w="7982" w:type="dxa"/>
          </w:tcPr>
          <w:p w14:paraId="07F78FED" w14:textId="77777777" w:rsidR="00EE147F" w:rsidRPr="00C94AFD" w:rsidRDefault="00EE147F" w:rsidP="00EE147F"/>
        </w:tc>
        <w:tc>
          <w:tcPr>
            <w:tcW w:w="576" w:type="dxa"/>
          </w:tcPr>
          <w:p w14:paraId="3F592E52" w14:textId="77777777" w:rsidR="00EE147F" w:rsidRPr="00C94AFD" w:rsidRDefault="00EE147F" w:rsidP="00EE147F"/>
        </w:tc>
      </w:tr>
      <w:tr w:rsidR="00EE147F" w:rsidRPr="00C94AFD" w14:paraId="1A8C2854" w14:textId="77777777" w:rsidTr="004C3462">
        <w:tc>
          <w:tcPr>
            <w:tcW w:w="514" w:type="dxa"/>
          </w:tcPr>
          <w:p w14:paraId="13B32FD4" w14:textId="77777777" w:rsidR="00EE147F" w:rsidRPr="00C94AFD" w:rsidRDefault="00EE147F" w:rsidP="00EE147F">
            <w:r w:rsidRPr="00C94AFD">
              <w:t>4.</w:t>
            </w:r>
          </w:p>
        </w:tc>
        <w:tc>
          <w:tcPr>
            <w:tcW w:w="7982" w:type="dxa"/>
          </w:tcPr>
          <w:p w14:paraId="5C3E929C" w14:textId="076A6CAC" w:rsidR="00EE147F" w:rsidRPr="00C94AFD" w:rsidRDefault="000C145F" w:rsidP="00EE147F">
            <w:pPr>
              <w:spacing w:after="60"/>
              <w:jc w:val="both"/>
            </w:pPr>
            <w:r w:rsidRPr="000C145F">
              <w:t>Odluka o donošenju Procjene rizika od velikih nesreća za područje Općine Marčana</w:t>
            </w:r>
            <w:r>
              <w:t xml:space="preserve"> …………………………………………………………………………..</w:t>
            </w:r>
          </w:p>
        </w:tc>
        <w:tc>
          <w:tcPr>
            <w:tcW w:w="576" w:type="dxa"/>
          </w:tcPr>
          <w:p w14:paraId="678B4628" w14:textId="77777777" w:rsidR="00EE147F" w:rsidRDefault="00EE147F" w:rsidP="00EE147F"/>
          <w:p w14:paraId="650F646A" w14:textId="5453F3F0" w:rsidR="00EE147F" w:rsidRPr="00C94AFD" w:rsidRDefault="000C145F" w:rsidP="00EE147F">
            <w:r>
              <w:t>192</w:t>
            </w:r>
            <w:r w:rsidR="00EE147F">
              <w:t xml:space="preserve">  </w:t>
            </w:r>
          </w:p>
        </w:tc>
      </w:tr>
      <w:tr w:rsidR="00EE147F" w:rsidRPr="00C94AFD" w14:paraId="7FEEAC6F" w14:textId="77777777" w:rsidTr="004C3462">
        <w:tc>
          <w:tcPr>
            <w:tcW w:w="514" w:type="dxa"/>
          </w:tcPr>
          <w:p w14:paraId="0DF3CE9F" w14:textId="77777777" w:rsidR="00EE147F" w:rsidRPr="00C94AFD" w:rsidRDefault="00EE147F" w:rsidP="00EE147F"/>
        </w:tc>
        <w:tc>
          <w:tcPr>
            <w:tcW w:w="7982" w:type="dxa"/>
          </w:tcPr>
          <w:p w14:paraId="5D4A74C3" w14:textId="77777777" w:rsidR="00EE147F" w:rsidRPr="00C94AFD" w:rsidRDefault="00EE147F" w:rsidP="00EE147F"/>
        </w:tc>
        <w:tc>
          <w:tcPr>
            <w:tcW w:w="576" w:type="dxa"/>
          </w:tcPr>
          <w:p w14:paraId="0C6E563A" w14:textId="77777777" w:rsidR="00EE147F" w:rsidRPr="00C94AFD" w:rsidRDefault="00EE147F" w:rsidP="00EE147F"/>
        </w:tc>
      </w:tr>
      <w:tr w:rsidR="00EE147F" w:rsidRPr="00C94AFD" w14:paraId="14894E7D" w14:textId="77777777" w:rsidTr="004C3462">
        <w:tc>
          <w:tcPr>
            <w:tcW w:w="514" w:type="dxa"/>
          </w:tcPr>
          <w:p w14:paraId="025A1577" w14:textId="77777777" w:rsidR="00EE147F" w:rsidRPr="00C94AFD" w:rsidRDefault="00EE147F" w:rsidP="00EE147F">
            <w:r w:rsidRPr="00C94AFD">
              <w:t>5.</w:t>
            </w:r>
          </w:p>
        </w:tc>
        <w:tc>
          <w:tcPr>
            <w:tcW w:w="7982" w:type="dxa"/>
          </w:tcPr>
          <w:p w14:paraId="54F62283" w14:textId="2171FCE0" w:rsidR="00EE147F" w:rsidRPr="00C94AFD" w:rsidRDefault="000C145F" w:rsidP="00EE147F">
            <w:r w:rsidRPr="000C145F">
              <w:t>Odluka o izmjenama Odluke o koeficijentima za obračun plaće službenika i namještenika u upravnim tijelima Općine Marčana</w:t>
            </w:r>
            <w:r>
              <w:t xml:space="preserve"> ……………………………...</w:t>
            </w:r>
          </w:p>
        </w:tc>
        <w:tc>
          <w:tcPr>
            <w:tcW w:w="576" w:type="dxa"/>
          </w:tcPr>
          <w:p w14:paraId="6A1A241F" w14:textId="77777777" w:rsidR="00EE147F" w:rsidRDefault="00EE147F" w:rsidP="00EE147F"/>
          <w:p w14:paraId="0196E2D9" w14:textId="5DA205DE" w:rsidR="00EE147F" w:rsidRPr="00C94AFD" w:rsidRDefault="000C145F" w:rsidP="000C145F">
            <w:r>
              <w:t>193</w:t>
            </w:r>
          </w:p>
        </w:tc>
      </w:tr>
      <w:tr w:rsidR="00EE147F" w:rsidRPr="00C94AFD" w14:paraId="4B1D5087" w14:textId="77777777" w:rsidTr="004C3462">
        <w:tc>
          <w:tcPr>
            <w:tcW w:w="514" w:type="dxa"/>
          </w:tcPr>
          <w:p w14:paraId="7294D8F7" w14:textId="77777777" w:rsidR="00EE147F" w:rsidRPr="00C94AFD" w:rsidRDefault="00EE147F" w:rsidP="00EE147F"/>
        </w:tc>
        <w:tc>
          <w:tcPr>
            <w:tcW w:w="7982" w:type="dxa"/>
          </w:tcPr>
          <w:p w14:paraId="535472FA" w14:textId="77777777" w:rsidR="00EE147F" w:rsidRPr="00C94AFD" w:rsidRDefault="00EE147F" w:rsidP="00EE147F"/>
        </w:tc>
        <w:tc>
          <w:tcPr>
            <w:tcW w:w="576" w:type="dxa"/>
          </w:tcPr>
          <w:p w14:paraId="69CBD0FC" w14:textId="77777777" w:rsidR="00EE147F" w:rsidRPr="00C94AFD" w:rsidRDefault="00EE147F" w:rsidP="00EE147F"/>
        </w:tc>
      </w:tr>
      <w:tr w:rsidR="00EE147F" w:rsidRPr="00C94AFD" w14:paraId="7AF3C194" w14:textId="77777777" w:rsidTr="004C3462">
        <w:tc>
          <w:tcPr>
            <w:tcW w:w="514" w:type="dxa"/>
          </w:tcPr>
          <w:p w14:paraId="3EA723FC" w14:textId="77777777" w:rsidR="00EE147F" w:rsidRPr="00C94AFD" w:rsidRDefault="00EE147F" w:rsidP="00EE147F">
            <w:r w:rsidRPr="00C94AFD">
              <w:t>6.</w:t>
            </w:r>
          </w:p>
        </w:tc>
        <w:tc>
          <w:tcPr>
            <w:tcW w:w="7982" w:type="dxa"/>
          </w:tcPr>
          <w:p w14:paraId="2D1C4554" w14:textId="3679D2C4" w:rsidR="00EE147F" w:rsidRPr="00C94AFD" w:rsidRDefault="000C145F" w:rsidP="000C145F">
            <w:r>
              <w:t>Odluka o odabiru najpovoljnijih ponuditelja za dodjelu dozvola za obavljanje djelatnosti na pomorskom dobru na području Općine Marčana ………………….</w:t>
            </w:r>
          </w:p>
        </w:tc>
        <w:tc>
          <w:tcPr>
            <w:tcW w:w="576" w:type="dxa"/>
          </w:tcPr>
          <w:p w14:paraId="04278C63" w14:textId="77777777" w:rsidR="00EE147F" w:rsidRDefault="00EE147F" w:rsidP="00EE147F"/>
          <w:p w14:paraId="309C65A2" w14:textId="7DA96DCE" w:rsidR="00EE147F" w:rsidRPr="00C94AFD" w:rsidRDefault="000C145F" w:rsidP="00EE147F">
            <w:r>
              <w:t>195</w:t>
            </w:r>
          </w:p>
        </w:tc>
      </w:tr>
      <w:tr w:rsidR="00EE147F" w:rsidRPr="00C94AFD" w14:paraId="1E9520A2" w14:textId="77777777" w:rsidTr="004C3462">
        <w:tc>
          <w:tcPr>
            <w:tcW w:w="514" w:type="dxa"/>
          </w:tcPr>
          <w:p w14:paraId="745640C6" w14:textId="77777777" w:rsidR="00EE147F" w:rsidRPr="00C94AFD" w:rsidRDefault="00EE147F" w:rsidP="00EE147F"/>
        </w:tc>
        <w:tc>
          <w:tcPr>
            <w:tcW w:w="7982" w:type="dxa"/>
          </w:tcPr>
          <w:p w14:paraId="2BFFEF6E" w14:textId="77777777" w:rsidR="00EE147F" w:rsidRPr="00C94AFD" w:rsidRDefault="00EE147F" w:rsidP="00EE147F"/>
        </w:tc>
        <w:tc>
          <w:tcPr>
            <w:tcW w:w="576" w:type="dxa"/>
          </w:tcPr>
          <w:p w14:paraId="14912069" w14:textId="77777777" w:rsidR="00EE147F" w:rsidRPr="00C94AFD" w:rsidRDefault="00EE147F" w:rsidP="00EE147F"/>
        </w:tc>
      </w:tr>
    </w:tbl>
    <w:p w14:paraId="0AB2E51C" w14:textId="77777777" w:rsidR="00631F4E" w:rsidRDefault="00631F4E" w:rsidP="00A17525">
      <w:pPr>
        <w:spacing w:after="200" w:line="276" w:lineRule="auto"/>
        <w:jc w:val="both"/>
        <w:rPr>
          <w:rFonts w:ascii="Cambria" w:eastAsia="Symbol" w:hAnsi="Cambria"/>
        </w:rPr>
      </w:pPr>
    </w:p>
    <w:tbl>
      <w:tblPr>
        <w:tblStyle w:val="Reetkatablice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7929"/>
        <w:gridCol w:w="627"/>
      </w:tblGrid>
      <w:tr w:rsidR="001C3A13" w:rsidRPr="00C94AFD" w14:paraId="27C8D569" w14:textId="77777777" w:rsidTr="007D4532">
        <w:tc>
          <w:tcPr>
            <w:tcW w:w="516" w:type="dxa"/>
          </w:tcPr>
          <w:p w14:paraId="32898E41" w14:textId="77777777" w:rsidR="00DB5335" w:rsidRPr="00C94AFD" w:rsidRDefault="00DB5335" w:rsidP="008F31BC">
            <w:pPr>
              <w:spacing w:after="160" w:line="259" w:lineRule="auto"/>
            </w:pPr>
          </w:p>
        </w:tc>
        <w:tc>
          <w:tcPr>
            <w:tcW w:w="7929" w:type="dxa"/>
          </w:tcPr>
          <w:p w14:paraId="3CC3644A" w14:textId="4D5C6948" w:rsidR="00BB5ADC" w:rsidRPr="00BB5ADC" w:rsidRDefault="00BB5ADC" w:rsidP="00BB5ADC">
            <w:pPr>
              <w:rPr>
                <w:bCs/>
              </w:rPr>
            </w:pPr>
            <w:r w:rsidRPr="00BB5ADC">
              <w:rPr>
                <w:bCs/>
              </w:rPr>
              <w:t xml:space="preserve"> </w:t>
            </w:r>
          </w:p>
          <w:p w14:paraId="622311BA" w14:textId="77777777" w:rsidR="00E73503" w:rsidRPr="00E73503" w:rsidRDefault="00E73503" w:rsidP="00DB5335">
            <w:pPr>
              <w:rPr>
                <w:bCs/>
              </w:rPr>
            </w:pPr>
          </w:p>
        </w:tc>
        <w:tc>
          <w:tcPr>
            <w:tcW w:w="627" w:type="dxa"/>
          </w:tcPr>
          <w:p w14:paraId="766BFCA9" w14:textId="77777777" w:rsidR="00DB5335" w:rsidRPr="00C94AFD" w:rsidRDefault="00DB5335" w:rsidP="00DB5335"/>
        </w:tc>
      </w:tr>
      <w:tr w:rsidR="001C3A13" w:rsidRPr="00C94AFD" w14:paraId="02C34FA2" w14:textId="77777777" w:rsidTr="007D4532">
        <w:tc>
          <w:tcPr>
            <w:tcW w:w="516" w:type="dxa"/>
          </w:tcPr>
          <w:p w14:paraId="5EAFD3EA" w14:textId="77777777" w:rsidR="007E0CC9" w:rsidRPr="00E73503" w:rsidRDefault="007E0CC9" w:rsidP="00DB5335"/>
        </w:tc>
        <w:tc>
          <w:tcPr>
            <w:tcW w:w="7929" w:type="dxa"/>
          </w:tcPr>
          <w:p w14:paraId="1445B420" w14:textId="77777777" w:rsidR="00DB5335" w:rsidRDefault="00DB5335" w:rsidP="00DB5335">
            <w:pPr>
              <w:jc w:val="center"/>
            </w:pPr>
          </w:p>
          <w:p w14:paraId="34DBBA04" w14:textId="77777777" w:rsidR="00E73503" w:rsidRDefault="00E73503" w:rsidP="00DB5335">
            <w:pPr>
              <w:jc w:val="center"/>
            </w:pPr>
          </w:p>
          <w:p w14:paraId="5130E10E" w14:textId="77777777" w:rsidR="00E73503" w:rsidRDefault="00E73503" w:rsidP="00DB5335">
            <w:pPr>
              <w:jc w:val="center"/>
            </w:pPr>
          </w:p>
          <w:p w14:paraId="5F498343" w14:textId="77777777" w:rsidR="00E73503" w:rsidRDefault="00E73503" w:rsidP="00DB5335">
            <w:pPr>
              <w:jc w:val="center"/>
            </w:pPr>
          </w:p>
          <w:p w14:paraId="3079AE08" w14:textId="77777777" w:rsidR="00E73503" w:rsidRDefault="00E73503" w:rsidP="00DB5335">
            <w:pPr>
              <w:jc w:val="center"/>
            </w:pPr>
          </w:p>
          <w:p w14:paraId="1019437D" w14:textId="77777777" w:rsidR="000C145F" w:rsidRDefault="000C145F" w:rsidP="00DB5335">
            <w:pPr>
              <w:jc w:val="center"/>
            </w:pPr>
          </w:p>
          <w:p w14:paraId="681D7CEB" w14:textId="77777777" w:rsidR="000C145F" w:rsidRDefault="000C145F" w:rsidP="00DB5335">
            <w:pPr>
              <w:jc w:val="center"/>
            </w:pPr>
          </w:p>
          <w:p w14:paraId="28A6310E" w14:textId="77777777" w:rsidR="000C145F" w:rsidRDefault="000C145F" w:rsidP="00DB5335">
            <w:pPr>
              <w:jc w:val="center"/>
            </w:pPr>
          </w:p>
          <w:p w14:paraId="4FA481C4" w14:textId="77777777" w:rsidR="000C145F" w:rsidRDefault="000C145F" w:rsidP="00DB5335">
            <w:pPr>
              <w:jc w:val="center"/>
            </w:pPr>
          </w:p>
          <w:p w14:paraId="787DD2F3" w14:textId="77777777" w:rsidR="000C145F" w:rsidRDefault="000C145F" w:rsidP="00DB5335">
            <w:pPr>
              <w:jc w:val="center"/>
            </w:pPr>
          </w:p>
          <w:p w14:paraId="7D1BB604" w14:textId="77777777" w:rsidR="000C145F" w:rsidRDefault="000C145F" w:rsidP="00DB5335">
            <w:pPr>
              <w:jc w:val="center"/>
            </w:pPr>
          </w:p>
          <w:p w14:paraId="6CA7A877" w14:textId="77777777" w:rsidR="000C145F" w:rsidRDefault="000C145F" w:rsidP="00DB5335">
            <w:pPr>
              <w:jc w:val="center"/>
            </w:pPr>
          </w:p>
          <w:p w14:paraId="74AB7EE6" w14:textId="77777777" w:rsidR="000C145F" w:rsidRDefault="000C145F" w:rsidP="00DB5335">
            <w:pPr>
              <w:jc w:val="center"/>
            </w:pPr>
          </w:p>
          <w:p w14:paraId="3C3D3593" w14:textId="77777777" w:rsidR="000C145F" w:rsidRDefault="000C145F" w:rsidP="00DB5335">
            <w:pPr>
              <w:jc w:val="center"/>
            </w:pPr>
          </w:p>
          <w:p w14:paraId="298B8AE4" w14:textId="77777777" w:rsidR="000C145F" w:rsidRDefault="000C145F" w:rsidP="00DB5335">
            <w:pPr>
              <w:jc w:val="center"/>
            </w:pPr>
          </w:p>
          <w:p w14:paraId="0A87365F" w14:textId="77777777" w:rsidR="000C145F" w:rsidRDefault="000C145F" w:rsidP="00DB5335">
            <w:pPr>
              <w:jc w:val="center"/>
            </w:pPr>
          </w:p>
          <w:p w14:paraId="3C1CAA48" w14:textId="77777777" w:rsidR="00E73503" w:rsidRDefault="00E73503" w:rsidP="00DB5335">
            <w:pPr>
              <w:jc w:val="center"/>
            </w:pPr>
          </w:p>
          <w:p w14:paraId="1A61AFBF" w14:textId="77777777" w:rsidR="00E73503" w:rsidRPr="00C94AFD" w:rsidRDefault="00E73503" w:rsidP="00DB5335">
            <w:pPr>
              <w:jc w:val="center"/>
            </w:pPr>
          </w:p>
        </w:tc>
        <w:tc>
          <w:tcPr>
            <w:tcW w:w="627" w:type="dxa"/>
          </w:tcPr>
          <w:p w14:paraId="309FEFE7" w14:textId="77777777" w:rsidR="00DB5335" w:rsidRPr="00C94AFD" w:rsidRDefault="00DB5335" w:rsidP="00DB5335"/>
        </w:tc>
      </w:tr>
    </w:tbl>
    <w:p w14:paraId="1EE88DF9" w14:textId="5E88B1AC" w:rsidR="00C94AFD" w:rsidRPr="00AB6657" w:rsidRDefault="00C94AFD" w:rsidP="00AB6657">
      <w:pPr>
        <w:pBdr>
          <w:top w:val="single" w:sz="12" w:space="1" w:color="000000"/>
          <w:bottom w:val="single" w:sz="12" w:space="1" w:color="000000"/>
        </w:pBdr>
        <w:jc w:val="both"/>
        <w:rPr>
          <w:sz w:val="20"/>
          <w:szCs w:val="20"/>
        </w:rPr>
      </w:pPr>
      <w:r w:rsidRPr="00C94AFD">
        <w:t xml:space="preserve">Službene novine Općine Marčana” izdaje i umnožava Općina Marčana sa sjedištem u </w:t>
      </w:r>
      <w:proofErr w:type="spellStart"/>
      <w:r w:rsidRPr="00C94AFD">
        <w:t>Marčani</w:t>
      </w:r>
      <w:proofErr w:type="spellEnd"/>
      <w:r w:rsidRPr="00C94AFD">
        <w:t xml:space="preserve">, Marčana  158, 52207 Barban,OIB:34665962557 kao svoje službeno javno glasilo. Glavni urednik je Aleks Bilić. Godišnja pretplata iznosi 26,54 EUR. Narudžba se podnosi  Općini Marčana na adresu sjedišta, na e-mail: </w:t>
      </w:r>
      <w:hyperlink r:id="rId17" w:history="1">
        <w:r w:rsidRPr="00C94AFD">
          <w:rPr>
            <w:color w:val="0000FF"/>
            <w:u w:val="single"/>
          </w:rPr>
          <w:t>marcana@marcana.hr</w:t>
        </w:r>
      </w:hyperlink>
      <w:r w:rsidRPr="00C94AFD">
        <w:t xml:space="preserve"> ili na fax.571-075</w:t>
      </w:r>
    </w:p>
    <w:sectPr w:rsidR="00C94AFD" w:rsidRPr="00AB6657" w:rsidSect="00CF2FA2">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0E816" w14:textId="77777777" w:rsidR="00EE3A1C" w:rsidRDefault="00EE3A1C" w:rsidP="00263FD8">
      <w:r>
        <w:separator/>
      </w:r>
    </w:p>
  </w:endnote>
  <w:endnote w:type="continuationSeparator" w:id="0">
    <w:p w14:paraId="056E2E92" w14:textId="77777777" w:rsidR="00EE3A1C" w:rsidRDefault="00EE3A1C" w:rsidP="00263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mo">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Plain">
    <w:altName w:val="Times New Roman"/>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inion Pro">
    <w:altName w:val="Times New Roman"/>
    <w:panose1 w:val="02040503050306020203"/>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8CC1" w14:textId="77777777" w:rsidR="006411F9" w:rsidRDefault="006411F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E7B5" w14:textId="77777777" w:rsidR="006411F9" w:rsidRDefault="006411F9">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BC8F" w14:textId="77777777" w:rsidR="006411F9" w:rsidRDefault="006411F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11C0D" w14:textId="77777777" w:rsidR="00EE3A1C" w:rsidRDefault="00EE3A1C" w:rsidP="00263FD8">
      <w:r>
        <w:separator/>
      </w:r>
    </w:p>
  </w:footnote>
  <w:footnote w:type="continuationSeparator" w:id="0">
    <w:p w14:paraId="1AAF1048" w14:textId="77777777" w:rsidR="00EE3A1C" w:rsidRDefault="00EE3A1C" w:rsidP="00263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A089" w14:textId="77777777" w:rsidR="006411F9" w:rsidRDefault="006411F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8D146" w14:textId="43AB93E6" w:rsidR="00F52613" w:rsidRDefault="00F52613">
    <w:pPr>
      <w:pStyle w:val="Zaglavlje"/>
    </w:pPr>
  </w:p>
  <w:tbl>
    <w:tblPr>
      <w:tblW w:w="90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F52613" w:rsidRPr="00F52613" w14:paraId="7C264A09" w14:textId="77777777" w:rsidTr="007D4532">
      <w:trPr>
        <w:trHeight w:val="255"/>
      </w:trPr>
      <w:tc>
        <w:tcPr>
          <w:tcW w:w="9000" w:type="dxa"/>
          <w:tcBorders>
            <w:left w:val="nil"/>
            <w:right w:val="nil"/>
          </w:tcBorders>
        </w:tcPr>
        <w:p w14:paraId="2F2D691D" w14:textId="6A550B4D" w:rsidR="00F52613" w:rsidRPr="00F52613" w:rsidRDefault="0066193D" w:rsidP="00F52613">
          <w:pPr>
            <w:tabs>
              <w:tab w:val="center" w:pos="4536"/>
              <w:tab w:val="right" w:pos="9072"/>
            </w:tabs>
            <w:jc w:val="center"/>
            <w:rPr>
              <w:sz w:val="22"/>
              <w:szCs w:val="22"/>
            </w:rPr>
          </w:pPr>
          <w:r>
            <w:rPr>
              <w:sz w:val="22"/>
              <w:szCs w:val="22"/>
            </w:rPr>
            <w:t>Petak</w:t>
          </w:r>
          <w:r w:rsidR="00F52613" w:rsidRPr="00F52613">
            <w:rPr>
              <w:sz w:val="22"/>
              <w:szCs w:val="22"/>
            </w:rPr>
            <w:t xml:space="preserve">, </w:t>
          </w:r>
          <w:r w:rsidR="00353787">
            <w:rPr>
              <w:sz w:val="22"/>
              <w:szCs w:val="22"/>
            </w:rPr>
            <w:t>2</w:t>
          </w:r>
          <w:r w:rsidR="0054567E">
            <w:rPr>
              <w:sz w:val="22"/>
              <w:szCs w:val="22"/>
            </w:rPr>
            <w:t>9</w:t>
          </w:r>
          <w:r w:rsidR="00F52613" w:rsidRPr="00F52613">
            <w:rPr>
              <w:sz w:val="22"/>
              <w:szCs w:val="22"/>
            </w:rPr>
            <w:t xml:space="preserve">. </w:t>
          </w:r>
          <w:r w:rsidR="0054567E">
            <w:rPr>
              <w:sz w:val="22"/>
              <w:szCs w:val="22"/>
            </w:rPr>
            <w:t>svibnja</w:t>
          </w:r>
          <w:r w:rsidR="00F52613" w:rsidRPr="00F52613">
            <w:rPr>
              <w:sz w:val="22"/>
              <w:szCs w:val="22"/>
            </w:rPr>
            <w:t xml:space="preserve"> 202</w:t>
          </w:r>
          <w:r>
            <w:rPr>
              <w:sz w:val="22"/>
              <w:szCs w:val="22"/>
            </w:rPr>
            <w:t>6</w:t>
          </w:r>
          <w:r w:rsidR="00F52613" w:rsidRPr="00F52613">
            <w:rPr>
              <w:sz w:val="22"/>
              <w:szCs w:val="22"/>
            </w:rPr>
            <w:t>.</w:t>
          </w:r>
          <w:r w:rsidR="00F52613" w:rsidRPr="00F52613">
            <w:t xml:space="preserve"> </w:t>
          </w:r>
          <w:r w:rsidR="00F52613" w:rsidRPr="00F52613">
            <w:rPr>
              <w:sz w:val="22"/>
              <w:szCs w:val="22"/>
            </w:rPr>
            <w:t xml:space="preserve"> SLUŽBENE NOVINE OPĆINE MARČANA</w:t>
          </w:r>
          <w:r w:rsidR="00F52613" w:rsidRPr="00F52613">
            <w:t xml:space="preserve">  </w:t>
          </w:r>
          <w:r w:rsidR="00F52613" w:rsidRPr="00F52613">
            <w:rPr>
              <w:sz w:val="22"/>
              <w:szCs w:val="22"/>
            </w:rPr>
            <w:t xml:space="preserve">Stranica </w:t>
          </w:r>
          <w:r w:rsidR="00F52613" w:rsidRPr="00F52613">
            <w:rPr>
              <w:sz w:val="22"/>
              <w:szCs w:val="22"/>
            </w:rPr>
            <w:fldChar w:fldCharType="begin"/>
          </w:r>
          <w:r w:rsidR="00F52613" w:rsidRPr="00F52613">
            <w:rPr>
              <w:sz w:val="22"/>
              <w:szCs w:val="22"/>
            </w:rPr>
            <w:instrText>PAGE   \* MERGEFORMAT</w:instrText>
          </w:r>
          <w:r w:rsidR="00F52613" w:rsidRPr="00F52613">
            <w:rPr>
              <w:sz w:val="22"/>
              <w:szCs w:val="22"/>
            </w:rPr>
            <w:fldChar w:fldCharType="separate"/>
          </w:r>
          <w:r w:rsidR="00F52613" w:rsidRPr="00F52613">
            <w:rPr>
              <w:sz w:val="22"/>
              <w:szCs w:val="22"/>
            </w:rPr>
            <w:t>512</w:t>
          </w:r>
          <w:r w:rsidR="00F52613" w:rsidRPr="00F52613">
            <w:rPr>
              <w:sz w:val="22"/>
              <w:szCs w:val="22"/>
            </w:rPr>
            <w:fldChar w:fldCharType="end"/>
          </w:r>
          <w:r w:rsidR="000363A1">
            <w:rPr>
              <w:sz w:val="22"/>
              <w:szCs w:val="22"/>
            </w:rPr>
            <w:t xml:space="preserve"> </w:t>
          </w:r>
          <w:r w:rsidR="00F52613" w:rsidRPr="00F52613">
            <w:rPr>
              <w:sz w:val="22"/>
              <w:szCs w:val="22"/>
            </w:rPr>
            <w:t xml:space="preserve">– Broj </w:t>
          </w:r>
          <w:r w:rsidR="0054567E">
            <w:rPr>
              <w:sz w:val="22"/>
              <w:szCs w:val="22"/>
            </w:rPr>
            <w:t>8</w:t>
          </w:r>
          <w:r w:rsidR="00F52613" w:rsidRPr="00F52613">
            <w:rPr>
              <w:sz w:val="22"/>
              <w:szCs w:val="22"/>
            </w:rPr>
            <w:t xml:space="preserve"> </w:t>
          </w:r>
        </w:p>
      </w:tc>
    </w:tr>
  </w:tbl>
  <w:p w14:paraId="6C73EA8A" w14:textId="77777777" w:rsidR="00F52613" w:rsidRDefault="00F52613">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BAC53" w14:textId="77777777" w:rsidR="00A41313" w:rsidRPr="00A41313" w:rsidRDefault="00A41313" w:rsidP="00A41313">
    <w:pPr>
      <w:pStyle w:val="Zaglavlj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76D7" w14:textId="77777777" w:rsidR="00AB6657" w:rsidRDefault="00AB6657">
    <w:pPr>
      <w:pStyle w:val="Zaglavlje"/>
    </w:pPr>
  </w:p>
  <w:p w14:paraId="3439DABA" w14:textId="77777777" w:rsidR="00AB6657" w:rsidRDefault="00AB665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3F4443C"/>
    <w:lvl w:ilvl="0">
      <w:start w:val="1"/>
      <w:numFmt w:val="bullet"/>
      <w:pStyle w:val="Grafikeoznake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4590287C"/>
    <w:lvl w:ilvl="0">
      <w:start w:val="1"/>
      <w:numFmt w:val="none"/>
      <w:pStyle w:val="Naslov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16"/>
    <w:lvl w:ilvl="0">
      <w:numFmt w:val="bullet"/>
      <w:lvlText w:val="-"/>
      <w:lvlJc w:val="left"/>
      <w:pPr>
        <w:tabs>
          <w:tab w:val="num" w:pos="360"/>
        </w:tabs>
        <w:ind w:left="360" w:hanging="360"/>
      </w:pPr>
      <w:rPr>
        <w:rFonts w:ascii="Liberation Serif" w:hAnsi="Liberation Serif" w:hint="default"/>
        <w:sz w:val="24"/>
        <w:lang w:val="hr-HR"/>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Liberation Serif" w:hAnsi="Liberation Serif" w:hint="default"/>
        <w:sz w:val="24"/>
      </w:rPr>
    </w:lvl>
  </w:abstractNum>
  <w:abstractNum w:abstractNumId="4" w15:restartNumberingAfterBreak="0">
    <w:nsid w:val="00000004"/>
    <w:multiLevelType w:val="singleLevel"/>
    <w:tmpl w:val="00000004"/>
    <w:name w:val="WW8Num33"/>
    <w:lvl w:ilvl="0">
      <w:start w:val="1"/>
      <w:numFmt w:val="upperRoman"/>
      <w:lvlText w:val="%1."/>
      <w:lvlJc w:val="left"/>
      <w:pPr>
        <w:tabs>
          <w:tab w:val="num" w:pos="0"/>
        </w:tabs>
        <w:ind w:left="1665" w:hanging="900"/>
      </w:pPr>
      <w:rPr>
        <w:rFonts w:hint="default"/>
        <w:sz w:val="24"/>
        <w:szCs w:val="24"/>
        <w:lang w:val="hr-HR"/>
      </w:rPr>
    </w:lvl>
  </w:abstractNum>
  <w:abstractNum w:abstractNumId="5" w15:restartNumberingAfterBreak="0">
    <w:nsid w:val="01892631"/>
    <w:multiLevelType w:val="hybridMultilevel"/>
    <w:tmpl w:val="2DF459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24212E"/>
    <w:multiLevelType w:val="hybridMultilevel"/>
    <w:tmpl w:val="12385226"/>
    <w:lvl w:ilvl="0" w:tplc="0A1892B8">
      <w:start w:val="1"/>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128C2EFD"/>
    <w:multiLevelType w:val="hybridMultilevel"/>
    <w:tmpl w:val="A324210A"/>
    <w:lvl w:ilvl="0" w:tplc="F7A63E2C">
      <w:start w:val="4"/>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8" w15:restartNumberingAfterBreak="0">
    <w:nsid w:val="1432033D"/>
    <w:multiLevelType w:val="hybridMultilevel"/>
    <w:tmpl w:val="DBB8CE82"/>
    <w:lvl w:ilvl="0" w:tplc="4850B0D2">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1CF35432"/>
    <w:multiLevelType w:val="hybridMultilevel"/>
    <w:tmpl w:val="F336107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110772E"/>
    <w:multiLevelType w:val="hybridMultilevel"/>
    <w:tmpl w:val="DC5E9418"/>
    <w:lvl w:ilvl="0" w:tplc="BF1E67F0">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34207447"/>
    <w:multiLevelType w:val="multilevel"/>
    <w:tmpl w:val="CB2AC106"/>
    <w:lvl w:ilvl="0">
      <w:start w:val="1"/>
      <w:numFmt w:val="ordinalText"/>
      <w:pStyle w:val="T7"/>
      <w:suff w:val="space"/>
      <w:lvlText w:val="DIO %1"/>
      <w:lvlJc w:val="center"/>
      <w:pPr>
        <w:ind w:left="567" w:firstLine="0"/>
      </w:pPr>
    </w:lvl>
    <w:lvl w:ilvl="1">
      <w:start w:val="1"/>
      <w:numFmt w:val="upperRoman"/>
      <w:pStyle w:val="T8"/>
      <w:suff w:val="space"/>
      <w:lvlText w:val="GLAVA %2."/>
      <w:lvlJc w:val="center"/>
      <w:pPr>
        <w:ind w:left="567" w:firstLine="0"/>
      </w:pPr>
    </w:lvl>
    <w:lvl w:ilvl="2">
      <w:start w:val="1"/>
      <w:numFmt w:val="upperRoman"/>
      <w:pStyle w:val="T9"/>
      <w:suff w:val="space"/>
      <w:lvlText w:val="%3."/>
      <w:lvlJc w:val="center"/>
      <w:pPr>
        <w:ind w:left="567" w:firstLine="0"/>
      </w:pPr>
    </w:lvl>
    <w:lvl w:ilvl="3">
      <w:start w:val="1"/>
      <w:numFmt w:val="decimal"/>
      <w:pStyle w:val="TI1"/>
      <w:suff w:val="space"/>
      <w:lvlText w:val="%4."/>
      <w:lvlJc w:val="center"/>
      <w:pPr>
        <w:ind w:left="567" w:firstLine="0"/>
      </w:pPr>
    </w:lvl>
    <w:lvl w:ilvl="4">
      <w:start w:val="1"/>
      <w:numFmt w:val="upperLetter"/>
      <w:pStyle w:val="TI2"/>
      <w:suff w:val="space"/>
      <w:lvlText w:val="%5)"/>
      <w:lvlJc w:val="center"/>
      <w:pPr>
        <w:ind w:left="567" w:firstLine="0"/>
      </w:pPr>
    </w:lvl>
    <w:lvl w:ilvl="5">
      <w:start w:val="1"/>
      <w:numFmt w:val="decimal"/>
      <w:pStyle w:val="TI3"/>
      <w:suff w:val="space"/>
      <w:lvlText w:val="ODJELJAK %6."/>
      <w:lvlJc w:val="center"/>
      <w:pPr>
        <w:ind w:left="567" w:firstLine="0"/>
      </w:pPr>
    </w:lvl>
    <w:lvl w:ilvl="6">
      <w:start w:val="1"/>
      <w:numFmt w:val="decimal"/>
      <w:pStyle w:val="TI4"/>
      <w:suff w:val="space"/>
      <w:lvlText w:val="PODODJELJAK %7."/>
      <w:lvlJc w:val="center"/>
      <w:pPr>
        <w:ind w:left="567" w:firstLine="0"/>
      </w:pPr>
    </w:lvl>
    <w:lvl w:ilvl="7">
      <w:start w:val="1"/>
      <w:numFmt w:val="decimal"/>
      <w:pStyle w:val="TI5"/>
      <w:suff w:val="space"/>
      <w:lvlText w:val="%8. Odsjek:"/>
      <w:lvlJc w:val="center"/>
      <w:pPr>
        <w:ind w:left="567" w:firstLine="0"/>
      </w:pPr>
    </w:lvl>
    <w:lvl w:ilvl="8">
      <w:start w:val="1"/>
      <w:numFmt w:val="none"/>
      <w:pStyle w:val="TI6"/>
      <w:suff w:val="space"/>
      <w:lvlText w:val=""/>
      <w:lvlJc w:val="center"/>
      <w:pPr>
        <w:ind w:left="567" w:firstLine="0"/>
      </w:pPr>
    </w:lvl>
  </w:abstractNum>
  <w:abstractNum w:abstractNumId="12" w15:restartNumberingAfterBreak="0">
    <w:nsid w:val="385A216E"/>
    <w:multiLevelType w:val="hybridMultilevel"/>
    <w:tmpl w:val="36408F80"/>
    <w:lvl w:ilvl="0" w:tplc="041A0015">
      <w:start w:val="1"/>
      <w:numFmt w:val="upperLetter"/>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13" w15:restartNumberingAfterBreak="0">
    <w:nsid w:val="586B3A27"/>
    <w:multiLevelType w:val="hybridMultilevel"/>
    <w:tmpl w:val="5E4E29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0BE1467"/>
    <w:multiLevelType w:val="hybridMultilevel"/>
    <w:tmpl w:val="1FA46070"/>
    <w:lvl w:ilvl="0" w:tplc="06901E26">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B07430B"/>
    <w:multiLevelType w:val="hybridMultilevel"/>
    <w:tmpl w:val="56EE43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CA30039"/>
    <w:multiLevelType w:val="hybridMultilevel"/>
    <w:tmpl w:val="977841F0"/>
    <w:lvl w:ilvl="0" w:tplc="EF368EBE">
      <w:start w:val="1"/>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CD164F6"/>
    <w:multiLevelType w:val="hybridMultilevel"/>
    <w:tmpl w:val="355C7BB2"/>
    <w:lvl w:ilvl="0" w:tplc="B1BE7BBA">
      <w:start w:val="363"/>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D3F4B20"/>
    <w:multiLevelType w:val="singleLevel"/>
    <w:tmpl w:val="A294ACCA"/>
    <w:lvl w:ilvl="0">
      <w:numFmt w:val="bullet"/>
      <w:lvlText w:val="-"/>
      <w:lvlJc w:val="left"/>
      <w:pPr>
        <w:tabs>
          <w:tab w:val="num" w:pos="360"/>
        </w:tabs>
        <w:ind w:left="360" w:hanging="360"/>
      </w:pPr>
      <w:rPr>
        <w:rFonts w:hint="default"/>
      </w:rPr>
    </w:lvl>
  </w:abstractNum>
  <w:abstractNum w:abstractNumId="19" w15:restartNumberingAfterBreak="0">
    <w:nsid w:val="7C3F4D4E"/>
    <w:multiLevelType w:val="hybridMultilevel"/>
    <w:tmpl w:val="D7068886"/>
    <w:lvl w:ilvl="0" w:tplc="315E3DF8">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0" w15:restartNumberingAfterBreak="0">
    <w:nsid w:val="7D41732F"/>
    <w:multiLevelType w:val="hybridMultilevel"/>
    <w:tmpl w:val="8B8E35D8"/>
    <w:lvl w:ilvl="0" w:tplc="44AC050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D851E0D"/>
    <w:multiLevelType w:val="hybridMultilevel"/>
    <w:tmpl w:val="190400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75954301">
    <w:abstractNumId w:val="1"/>
  </w:num>
  <w:num w:numId="2" w16cid:durableId="7236060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7324362">
    <w:abstractNumId w:val="15"/>
  </w:num>
  <w:num w:numId="4" w16cid:durableId="143786801">
    <w:abstractNumId w:val="21"/>
  </w:num>
  <w:num w:numId="5" w16cid:durableId="832984937">
    <w:abstractNumId w:val="13"/>
  </w:num>
  <w:num w:numId="6" w16cid:durableId="1829713300">
    <w:abstractNumId w:val="8"/>
  </w:num>
  <w:num w:numId="7" w16cid:durableId="179856077">
    <w:abstractNumId w:val="19"/>
  </w:num>
  <w:num w:numId="8" w16cid:durableId="784155052">
    <w:abstractNumId w:val="5"/>
  </w:num>
  <w:num w:numId="9" w16cid:durableId="772286708">
    <w:abstractNumId w:val="17"/>
  </w:num>
  <w:num w:numId="10" w16cid:durableId="1917738036">
    <w:abstractNumId w:val="9"/>
  </w:num>
  <w:num w:numId="11" w16cid:durableId="158738863">
    <w:abstractNumId w:val="18"/>
  </w:num>
  <w:num w:numId="12" w16cid:durableId="1940677854">
    <w:abstractNumId w:val="12"/>
  </w:num>
  <w:num w:numId="13" w16cid:durableId="2025743485">
    <w:abstractNumId w:val="0"/>
  </w:num>
  <w:num w:numId="14" w16cid:durableId="321543118">
    <w:abstractNumId w:val="11"/>
  </w:num>
  <w:num w:numId="15" w16cid:durableId="18118265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7592148">
    <w:abstractNumId w:val="7"/>
  </w:num>
  <w:num w:numId="17" w16cid:durableId="1153834928">
    <w:abstractNumId w:val="16"/>
  </w:num>
  <w:num w:numId="18" w16cid:durableId="1572538115">
    <w:abstractNumId w:val="10"/>
  </w:num>
  <w:num w:numId="19" w16cid:durableId="578755755">
    <w:abstractNumId w:val="20"/>
  </w:num>
  <w:num w:numId="20" w16cid:durableId="62533739">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E17"/>
    <w:rsid w:val="00013C0F"/>
    <w:rsid w:val="00017636"/>
    <w:rsid w:val="000363A1"/>
    <w:rsid w:val="00093557"/>
    <w:rsid w:val="000C145F"/>
    <w:rsid w:val="000C7B1B"/>
    <w:rsid w:val="000F0BEE"/>
    <w:rsid w:val="00166B00"/>
    <w:rsid w:val="0018179A"/>
    <w:rsid w:val="001A02E7"/>
    <w:rsid w:val="001B308E"/>
    <w:rsid w:val="001C3A13"/>
    <w:rsid w:val="001D54F0"/>
    <w:rsid w:val="001F2EC6"/>
    <w:rsid w:val="002125AA"/>
    <w:rsid w:val="00263FD8"/>
    <w:rsid w:val="002658F4"/>
    <w:rsid w:val="002A15CE"/>
    <w:rsid w:val="002B5415"/>
    <w:rsid w:val="002B7D16"/>
    <w:rsid w:val="002D7FA2"/>
    <w:rsid w:val="00353787"/>
    <w:rsid w:val="00365E3D"/>
    <w:rsid w:val="003A64A8"/>
    <w:rsid w:val="003B1308"/>
    <w:rsid w:val="003B4769"/>
    <w:rsid w:val="003D265D"/>
    <w:rsid w:val="00416D67"/>
    <w:rsid w:val="004358BE"/>
    <w:rsid w:val="004468B2"/>
    <w:rsid w:val="004744FD"/>
    <w:rsid w:val="004944E7"/>
    <w:rsid w:val="004A5F7B"/>
    <w:rsid w:val="004C3462"/>
    <w:rsid w:val="004E0F71"/>
    <w:rsid w:val="00524E17"/>
    <w:rsid w:val="005376D9"/>
    <w:rsid w:val="00544C40"/>
    <w:rsid w:val="0054567E"/>
    <w:rsid w:val="00631F4E"/>
    <w:rsid w:val="006411F9"/>
    <w:rsid w:val="0065121B"/>
    <w:rsid w:val="00660C07"/>
    <w:rsid w:val="0066193D"/>
    <w:rsid w:val="006867C7"/>
    <w:rsid w:val="006914BA"/>
    <w:rsid w:val="006B02B8"/>
    <w:rsid w:val="00704C6F"/>
    <w:rsid w:val="00737BFE"/>
    <w:rsid w:val="007515E6"/>
    <w:rsid w:val="00782FE8"/>
    <w:rsid w:val="00797D76"/>
    <w:rsid w:val="007B3E41"/>
    <w:rsid w:val="007C7544"/>
    <w:rsid w:val="007D3EDC"/>
    <w:rsid w:val="007E0CC9"/>
    <w:rsid w:val="007E1680"/>
    <w:rsid w:val="007E4F97"/>
    <w:rsid w:val="008B17B9"/>
    <w:rsid w:val="008B5860"/>
    <w:rsid w:val="008E309A"/>
    <w:rsid w:val="008F31BC"/>
    <w:rsid w:val="008F59DA"/>
    <w:rsid w:val="00913BE5"/>
    <w:rsid w:val="009B1D99"/>
    <w:rsid w:val="009B7C1C"/>
    <w:rsid w:val="009C2DCE"/>
    <w:rsid w:val="009E69F2"/>
    <w:rsid w:val="00A026E7"/>
    <w:rsid w:val="00A17525"/>
    <w:rsid w:val="00A41313"/>
    <w:rsid w:val="00A52F5C"/>
    <w:rsid w:val="00AB6657"/>
    <w:rsid w:val="00AC05DE"/>
    <w:rsid w:val="00B14E59"/>
    <w:rsid w:val="00B3757E"/>
    <w:rsid w:val="00B428E1"/>
    <w:rsid w:val="00B51672"/>
    <w:rsid w:val="00BA6E94"/>
    <w:rsid w:val="00BB5ADC"/>
    <w:rsid w:val="00C05397"/>
    <w:rsid w:val="00C464F2"/>
    <w:rsid w:val="00C67083"/>
    <w:rsid w:val="00C71699"/>
    <w:rsid w:val="00C94AFD"/>
    <w:rsid w:val="00CB1195"/>
    <w:rsid w:val="00CE3FF9"/>
    <w:rsid w:val="00CE6C67"/>
    <w:rsid w:val="00CF2FA2"/>
    <w:rsid w:val="00D61496"/>
    <w:rsid w:val="00D643E4"/>
    <w:rsid w:val="00D64C87"/>
    <w:rsid w:val="00D8313D"/>
    <w:rsid w:val="00D8563B"/>
    <w:rsid w:val="00DB5335"/>
    <w:rsid w:val="00E279A5"/>
    <w:rsid w:val="00E35185"/>
    <w:rsid w:val="00E447B2"/>
    <w:rsid w:val="00E73503"/>
    <w:rsid w:val="00E800B5"/>
    <w:rsid w:val="00ED42AE"/>
    <w:rsid w:val="00EE147F"/>
    <w:rsid w:val="00EE2C52"/>
    <w:rsid w:val="00EE3A1C"/>
    <w:rsid w:val="00EE6ED0"/>
    <w:rsid w:val="00F068C5"/>
    <w:rsid w:val="00F24482"/>
    <w:rsid w:val="00F52613"/>
    <w:rsid w:val="00F65055"/>
    <w:rsid w:val="00F97745"/>
    <w:rsid w:val="00FB29B9"/>
    <w:rsid w:val="00FC1722"/>
    <w:rsid w:val="00FC47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F83CF"/>
  <w15:chartTrackingRefBased/>
  <w15:docId w15:val="{55FF13AE-26DE-4DCB-8388-160B213C2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E17"/>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qFormat/>
    <w:rsid w:val="00524E17"/>
    <w:pPr>
      <w:keepNext/>
      <w:numPr>
        <w:numId w:val="2"/>
      </w:numPr>
      <w:jc w:val="both"/>
      <w:outlineLvl w:val="0"/>
    </w:pPr>
    <w:rPr>
      <w:u w:val="single"/>
    </w:rPr>
  </w:style>
  <w:style w:type="paragraph" w:styleId="Naslov2">
    <w:name w:val="heading 2"/>
    <w:basedOn w:val="Normal"/>
    <w:next w:val="Normal"/>
    <w:link w:val="Naslov2Char"/>
    <w:qFormat/>
    <w:rsid w:val="007E1680"/>
    <w:pPr>
      <w:keepNext/>
      <w:tabs>
        <w:tab w:val="center" w:pos="4536"/>
        <w:tab w:val="center" w:pos="7088"/>
      </w:tabs>
      <w:outlineLvl w:val="1"/>
    </w:pPr>
    <w:rPr>
      <w:sz w:val="22"/>
      <w:szCs w:val="20"/>
      <w:u w:val="single"/>
    </w:rPr>
  </w:style>
  <w:style w:type="paragraph" w:styleId="Naslov3">
    <w:name w:val="heading 3"/>
    <w:basedOn w:val="Normal"/>
    <w:next w:val="Normal"/>
    <w:link w:val="Naslov3Char"/>
    <w:unhideWhenUsed/>
    <w:qFormat/>
    <w:rsid w:val="00263FD8"/>
    <w:pPr>
      <w:keepNext/>
      <w:keepLines/>
      <w:spacing w:before="40"/>
      <w:outlineLvl w:val="2"/>
    </w:pPr>
    <w:rPr>
      <w:rFonts w:ascii="Cambria" w:hAnsi="Cambria"/>
      <w:b/>
      <w:bCs/>
      <w:color w:val="4F81BD"/>
      <w:kern w:val="2"/>
      <w:sz w:val="22"/>
      <w:szCs w:val="22"/>
      <w:lang w:eastAsia="en-US"/>
      <w14:ligatures w14:val="standardContextual"/>
    </w:rPr>
  </w:style>
  <w:style w:type="paragraph" w:styleId="Naslov4">
    <w:name w:val="heading 4"/>
    <w:basedOn w:val="Normal"/>
    <w:next w:val="Normal"/>
    <w:link w:val="Naslov4Char"/>
    <w:unhideWhenUsed/>
    <w:qFormat/>
    <w:rsid w:val="007E1680"/>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nhideWhenUsed/>
    <w:qFormat/>
    <w:rsid w:val="007E1680"/>
    <w:pPr>
      <w:keepNext/>
      <w:keepLines/>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qFormat/>
    <w:rsid w:val="007E1680"/>
    <w:pPr>
      <w:keepNext/>
      <w:jc w:val="center"/>
      <w:outlineLvl w:val="5"/>
    </w:pPr>
    <w:rPr>
      <w:b/>
      <w:sz w:val="32"/>
      <w:szCs w:val="20"/>
      <w:lang w:val="en-GB"/>
    </w:rPr>
  </w:style>
  <w:style w:type="paragraph" w:styleId="Naslov7">
    <w:name w:val="heading 7"/>
    <w:basedOn w:val="Normal"/>
    <w:next w:val="Normal"/>
    <w:link w:val="Naslov7Char"/>
    <w:qFormat/>
    <w:rsid w:val="007E1680"/>
    <w:pPr>
      <w:keepNext/>
      <w:tabs>
        <w:tab w:val="center" w:pos="4536"/>
        <w:tab w:val="center" w:pos="7088"/>
      </w:tabs>
      <w:outlineLvl w:val="6"/>
    </w:pPr>
    <w:rPr>
      <w:szCs w:val="20"/>
      <w:u w:val="single"/>
    </w:rPr>
  </w:style>
  <w:style w:type="paragraph" w:styleId="Naslov8">
    <w:name w:val="heading 8"/>
    <w:basedOn w:val="Normal"/>
    <w:next w:val="Normal"/>
    <w:link w:val="Naslov8Char"/>
    <w:qFormat/>
    <w:rsid w:val="007E1680"/>
    <w:pPr>
      <w:keepNext/>
      <w:jc w:val="center"/>
      <w:outlineLvl w:val="7"/>
    </w:pPr>
    <w:rPr>
      <w:b/>
      <w:szCs w:val="20"/>
      <w:lang w:val="en-AU"/>
    </w:rPr>
  </w:style>
  <w:style w:type="paragraph" w:styleId="Naslov9">
    <w:name w:val="heading 9"/>
    <w:basedOn w:val="Normal"/>
    <w:next w:val="Normal"/>
    <w:link w:val="Naslov9Char"/>
    <w:qFormat/>
    <w:rsid w:val="007E1680"/>
    <w:pPr>
      <w:keepNext/>
      <w:ind w:firstLine="720"/>
      <w:jc w:val="both"/>
      <w:outlineLvl w:val="8"/>
    </w:pPr>
    <w:rPr>
      <w:b/>
      <w:i/>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qFormat/>
    <w:rsid w:val="00524E17"/>
    <w:rPr>
      <w:rFonts w:ascii="Times New Roman" w:eastAsia="Times New Roman" w:hAnsi="Times New Roman" w:cs="Times New Roman"/>
      <w:kern w:val="0"/>
      <w:sz w:val="24"/>
      <w:szCs w:val="24"/>
      <w:u w:val="single"/>
      <w:lang w:eastAsia="hr-HR"/>
      <w14:ligatures w14:val="none"/>
    </w:rPr>
  </w:style>
  <w:style w:type="character" w:customStyle="1" w:styleId="Naslov4Char">
    <w:name w:val="Naslov 4 Char"/>
    <w:basedOn w:val="Zadanifontodlomka"/>
    <w:link w:val="Naslov4"/>
    <w:qFormat/>
    <w:rsid w:val="007E1680"/>
    <w:rPr>
      <w:rFonts w:asciiTheme="majorHAnsi" w:eastAsiaTheme="majorEastAsia" w:hAnsiTheme="majorHAnsi" w:cstheme="majorBidi"/>
      <w:i/>
      <w:iCs/>
      <w:color w:val="2F5496" w:themeColor="accent1" w:themeShade="BF"/>
      <w:kern w:val="0"/>
      <w:sz w:val="24"/>
      <w:szCs w:val="24"/>
      <w:lang w:eastAsia="hr-HR"/>
      <w14:ligatures w14:val="none"/>
    </w:rPr>
  </w:style>
  <w:style w:type="character" w:customStyle="1" w:styleId="Naslov5Char">
    <w:name w:val="Naslov 5 Char"/>
    <w:basedOn w:val="Zadanifontodlomka"/>
    <w:link w:val="Naslov5"/>
    <w:qFormat/>
    <w:rsid w:val="007E1680"/>
    <w:rPr>
      <w:rFonts w:asciiTheme="majorHAnsi" w:eastAsiaTheme="majorEastAsia" w:hAnsiTheme="majorHAnsi" w:cstheme="majorBidi"/>
      <w:color w:val="2F5496" w:themeColor="accent1" w:themeShade="BF"/>
      <w:kern w:val="0"/>
      <w:sz w:val="24"/>
      <w:szCs w:val="24"/>
      <w:lang w:eastAsia="hr-HR"/>
      <w14:ligatures w14:val="none"/>
    </w:rPr>
  </w:style>
  <w:style w:type="character" w:customStyle="1" w:styleId="Naslov2Char">
    <w:name w:val="Naslov 2 Char"/>
    <w:basedOn w:val="Zadanifontodlomka"/>
    <w:link w:val="Naslov2"/>
    <w:qFormat/>
    <w:rsid w:val="007E1680"/>
    <w:rPr>
      <w:rFonts w:ascii="Times New Roman" w:eastAsia="Times New Roman" w:hAnsi="Times New Roman" w:cs="Times New Roman"/>
      <w:kern w:val="0"/>
      <w:szCs w:val="20"/>
      <w:u w:val="single"/>
      <w:lang w:eastAsia="hr-HR"/>
      <w14:ligatures w14:val="none"/>
    </w:rPr>
  </w:style>
  <w:style w:type="character" w:customStyle="1" w:styleId="Naslov6Char">
    <w:name w:val="Naslov 6 Char"/>
    <w:basedOn w:val="Zadanifontodlomka"/>
    <w:link w:val="Naslov6"/>
    <w:qFormat/>
    <w:rsid w:val="007E1680"/>
    <w:rPr>
      <w:rFonts w:ascii="Times New Roman" w:eastAsia="Times New Roman" w:hAnsi="Times New Roman" w:cs="Times New Roman"/>
      <w:b/>
      <w:kern w:val="0"/>
      <w:sz w:val="32"/>
      <w:szCs w:val="20"/>
      <w:lang w:val="en-GB" w:eastAsia="hr-HR"/>
      <w14:ligatures w14:val="none"/>
    </w:rPr>
  </w:style>
  <w:style w:type="character" w:customStyle="1" w:styleId="Naslov7Char">
    <w:name w:val="Naslov 7 Char"/>
    <w:basedOn w:val="Zadanifontodlomka"/>
    <w:link w:val="Naslov7"/>
    <w:qFormat/>
    <w:rsid w:val="007E1680"/>
    <w:rPr>
      <w:rFonts w:ascii="Times New Roman" w:eastAsia="Times New Roman" w:hAnsi="Times New Roman" w:cs="Times New Roman"/>
      <w:kern w:val="0"/>
      <w:sz w:val="24"/>
      <w:szCs w:val="20"/>
      <w:u w:val="single"/>
      <w:lang w:eastAsia="hr-HR"/>
      <w14:ligatures w14:val="none"/>
    </w:rPr>
  </w:style>
  <w:style w:type="character" w:customStyle="1" w:styleId="Naslov8Char">
    <w:name w:val="Naslov 8 Char"/>
    <w:basedOn w:val="Zadanifontodlomka"/>
    <w:link w:val="Naslov8"/>
    <w:uiPriority w:val="99"/>
    <w:qFormat/>
    <w:rsid w:val="007E1680"/>
    <w:rPr>
      <w:rFonts w:ascii="Times New Roman" w:eastAsia="Times New Roman" w:hAnsi="Times New Roman" w:cs="Times New Roman"/>
      <w:b/>
      <w:kern w:val="0"/>
      <w:sz w:val="24"/>
      <w:szCs w:val="20"/>
      <w:lang w:val="en-AU" w:eastAsia="hr-HR"/>
      <w14:ligatures w14:val="none"/>
    </w:rPr>
  </w:style>
  <w:style w:type="character" w:customStyle="1" w:styleId="Naslov9Char">
    <w:name w:val="Naslov 9 Char"/>
    <w:basedOn w:val="Zadanifontodlomka"/>
    <w:link w:val="Naslov9"/>
    <w:qFormat/>
    <w:rsid w:val="007E1680"/>
    <w:rPr>
      <w:rFonts w:ascii="Times New Roman" w:eastAsia="Times New Roman" w:hAnsi="Times New Roman" w:cs="Times New Roman"/>
      <w:b/>
      <w:i/>
      <w:kern w:val="0"/>
      <w:sz w:val="24"/>
      <w:szCs w:val="20"/>
      <w:lang w:val="en-AU" w:eastAsia="hr-HR"/>
      <w14:ligatures w14:val="none"/>
    </w:rPr>
  </w:style>
  <w:style w:type="numbering" w:customStyle="1" w:styleId="Bezpopisa1">
    <w:name w:val="Bez popisa1"/>
    <w:next w:val="Bezpopisa"/>
    <w:uiPriority w:val="99"/>
    <w:semiHidden/>
    <w:unhideWhenUsed/>
    <w:rsid w:val="007E1680"/>
  </w:style>
  <w:style w:type="character" w:customStyle="1" w:styleId="BodyTextChar">
    <w:name w:val="Body Text Char"/>
    <w:uiPriority w:val="99"/>
    <w:semiHidden/>
    <w:qFormat/>
    <w:locked/>
    <w:rsid w:val="007E1680"/>
  </w:style>
  <w:style w:type="character" w:customStyle="1" w:styleId="BodyTextChar1">
    <w:name w:val="Body Text Char1"/>
    <w:basedOn w:val="Zadanifontodlomka"/>
    <w:uiPriority w:val="99"/>
    <w:semiHidden/>
    <w:qFormat/>
    <w:locked/>
    <w:rsid w:val="007E1680"/>
    <w:rPr>
      <w:rFonts w:eastAsia="Times New Roman" w:cs="Times New Roman"/>
      <w:sz w:val="20"/>
      <w:szCs w:val="20"/>
      <w:lang w:val="en-GB"/>
    </w:rPr>
  </w:style>
  <w:style w:type="character" w:customStyle="1" w:styleId="TijelotekstaChar">
    <w:name w:val="Tijelo teksta Char"/>
    <w:aliases w:val=" uvlaka 3 Char,  uvlaka 2 Char"/>
    <w:basedOn w:val="Zadanifontodlomka"/>
    <w:link w:val="Tijeloteksta"/>
    <w:uiPriority w:val="99"/>
    <w:qFormat/>
    <w:locked/>
    <w:rsid w:val="007E1680"/>
    <w:rPr>
      <w:rFonts w:eastAsia="Times New Roman" w:cs="Times New Roman"/>
      <w:sz w:val="20"/>
      <w:szCs w:val="20"/>
      <w:lang w:val="en-GB" w:eastAsia="hr-HR"/>
    </w:rPr>
  </w:style>
  <w:style w:type="character" w:customStyle="1" w:styleId="Tijeloteksta2Char">
    <w:name w:val="Tijelo teksta 2 Char"/>
    <w:basedOn w:val="Zadanifontodlomka"/>
    <w:link w:val="Tijeloteksta2"/>
    <w:qFormat/>
    <w:locked/>
    <w:rsid w:val="007E1680"/>
    <w:rPr>
      <w:rFonts w:eastAsia="Times New Roman" w:cs="Times New Roman"/>
      <w:b/>
      <w:sz w:val="20"/>
      <w:szCs w:val="20"/>
      <w:lang w:val="en-GB" w:eastAsia="hr-HR"/>
    </w:rPr>
  </w:style>
  <w:style w:type="character" w:customStyle="1" w:styleId="Tijeloteksta-uvlaka2Char">
    <w:name w:val="Tijelo teksta - uvlaka 2 Char"/>
    <w:basedOn w:val="Zadanifontodlomka"/>
    <w:uiPriority w:val="99"/>
    <w:semiHidden/>
    <w:qFormat/>
    <w:locked/>
    <w:rsid w:val="007E1680"/>
    <w:rPr>
      <w:rFonts w:eastAsia="Times New Roman" w:cs="Times New Roman"/>
      <w:sz w:val="20"/>
      <w:szCs w:val="20"/>
      <w:lang w:eastAsia="hr-HR"/>
    </w:rPr>
  </w:style>
  <w:style w:type="character" w:customStyle="1" w:styleId="BodyTextIndent3Char">
    <w:name w:val="Body Text Indent 3 Char"/>
    <w:uiPriority w:val="99"/>
    <w:semiHidden/>
    <w:qFormat/>
    <w:locked/>
    <w:rsid w:val="007E1680"/>
    <w:rPr>
      <w:b/>
      <w:i/>
      <w:lang w:val="en-AU"/>
    </w:rPr>
  </w:style>
  <w:style w:type="character" w:customStyle="1" w:styleId="BodyTextIndent3Char1">
    <w:name w:val="Body Text Indent 3 Char1"/>
    <w:basedOn w:val="Zadanifontodlomka"/>
    <w:uiPriority w:val="99"/>
    <w:semiHidden/>
    <w:qFormat/>
    <w:locked/>
    <w:rsid w:val="007E1680"/>
    <w:rPr>
      <w:rFonts w:eastAsia="Times New Roman" w:cs="Times New Roman"/>
      <w:sz w:val="16"/>
      <w:szCs w:val="16"/>
      <w:lang w:val="en-GB"/>
    </w:rPr>
  </w:style>
  <w:style w:type="character" w:customStyle="1" w:styleId="Tijeloteksta-uvlaka3Char">
    <w:name w:val="Tijelo teksta - uvlaka 3 Char"/>
    <w:basedOn w:val="Zadanifontodlomka"/>
    <w:uiPriority w:val="99"/>
    <w:semiHidden/>
    <w:qFormat/>
    <w:locked/>
    <w:rsid w:val="007E1680"/>
    <w:rPr>
      <w:rFonts w:eastAsia="Times New Roman" w:cs="Times New Roman"/>
      <w:sz w:val="16"/>
      <w:szCs w:val="16"/>
      <w:lang w:val="en-GB" w:eastAsia="hr-HR"/>
    </w:rPr>
  </w:style>
  <w:style w:type="character" w:customStyle="1" w:styleId="ListLabel1">
    <w:name w:val="ListLabel 1"/>
    <w:qFormat/>
    <w:rsid w:val="007E1680"/>
    <w:rPr>
      <w:rFonts w:cs="Times New Roman"/>
      <w:sz w:val="24"/>
    </w:rPr>
  </w:style>
  <w:style w:type="character" w:customStyle="1" w:styleId="ListLabel2">
    <w:name w:val="ListLabel 2"/>
    <w:qFormat/>
    <w:rsid w:val="007E1680"/>
    <w:rPr>
      <w:rFonts w:eastAsia="Times New Roman"/>
    </w:rPr>
  </w:style>
  <w:style w:type="character" w:customStyle="1" w:styleId="ListLabel3">
    <w:name w:val="ListLabel 3"/>
    <w:qFormat/>
    <w:rsid w:val="007E1680"/>
    <w:rPr>
      <w:rFonts w:cs="Times New Roman"/>
    </w:rPr>
  </w:style>
  <w:style w:type="character" w:customStyle="1" w:styleId="ListLabel4">
    <w:name w:val="ListLabel 4"/>
    <w:qFormat/>
    <w:rsid w:val="007E1680"/>
    <w:rPr>
      <w:rFonts w:cs="Times New Roman"/>
    </w:rPr>
  </w:style>
  <w:style w:type="character" w:customStyle="1" w:styleId="ListLabel5">
    <w:name w:val="ListLabel 5"/>
    <w:qFormat/>
    <w:rsid w:val="007E1680"/>
    <w:rPr>
      <w:rFonts w:cs="Times New Roman"/>
    </w:rPr>
  </w:style>
  <w:style w:type="character" w:customStyle="1" w:styleId="ListLabel6">
    <w:name w:val="ListLabel 6"/>
    <w:qFormat/>
    <w:rsid w:val="007E1680"/>
    <w:rPr>
      <w:rFonts w:cs="Times New Roman"/>
    </w:rPr>
  </w:style>
  <w:style w:type="character" w:customStyle="1" w:styleId="ListLabel7">
    <w:name w:val="ListLabel 7"/>
    <w:qFormat/>
    <w:rsid w:val="007E1680"/>
    <w:rPr>
      <w:rFonts w:cs="Times New Roman"/>
    </w:rPr>
  </w:style>
  <w:style w:type="character" w:customStyle="1" w:styleId="ListLabel8">
    <w:name w:val="ListLabel 8"/>
    <w:qFormat/>
    <w:rsid w:val="007E1680"/>
    <w:rPr>
      <w:rFonts w:cs="Times New Roman"/>
    </w:rPr>
  </w:style>
  <w:style w:type="character" w:customStyle="1" w:styleId="ListLabel9">
    <w:name w:val="ListLabel 9"/>
    <w:qFormat/>
    <w:rsid w:val="007E1680"/>
    <w:rPr>
      <w:rFonts w:cs="Times New Roman"/>
    </w:rPr>
  </w:style>
  <w:style w:type="character" w:customStyle="1" w:styleId="ListLabel10">
    <w:name w:val="ListLabel 10"/>
    <w:qFormat/>
    <w:rsid w:val="007E1680"/>
    <w:rPr>
      <w:rFonts w:cs="Times New Roman"/>
    </w:rPr>
  </w:style>
  <w:style w:type="character" w:customStyle="1" w:styleId="ListLabel11">
    <w:name w:val="ListLabel 11"/>
    <w:qFormat/>
    <w:rsid w:val="007E1680"/>
    <w:rPr>
      <w:rFonts w:cs="Times New Roman"/>
    </w:rPr>
  </w:style>
  <w:style w:type="character" w:customStyle="1" w:styleId="ListLabel12">
    <w:name w:val="ListLabel 12"/>
    <w:qFormat/>
    <w:rsid w:val="007E1680"/>
    <w:rPr>
      <w:rFonts w:eastAsia="Calibri" w:cs="Times New Roman"/>
    </w:rPr>
  </w:style>
  <w:style w:type="character" w:customStyle="1" w:styleId="ListLabel13">
    <w:name w:val="ListLabel 13"/>
    <w:qFormat/>
    <w:rsid w:val="007E1680"/>
    <w:rPr>
      <w:rFonts w:cs="Courier New"/>
    </w:rPr>
  </w:style>
  <w:style w:type="character" w:customStyle="1" w:styleId="ListLabel14">
    <w:name w:val="ListLabel 14"/>
    <w:qFormat/>
    <w:rsid w:val="007E1680"/>
    <w:rPr>
      <w:rFonts w:cs="Courier New"/>
    </w:rPr>
  </w:style>
  <w:style w:type="character" w:customStyle="1" w:styleId="ListLabel15">
    <w:name w:val="ListLabel 15"/>
    <w:qFormat/>
    <w:rsid w:val="007E1680"/>
    <w:rPr>
      <w:rFonts w:cs="Courier New"/>
    </w:rPr>
  </w:style>
  <w:style w:type="character" w:customStyle="1" w:styleId="ListLabel16">
    <w:name w:val="ListLabel 16"/>
    <w:qFormat/>
    <w:rsid w:val="007E1680"/>
    <w:rPr>
      <w:rFonts w:cs="Times New Roman"/>
    </w:rPr>
  </w:style>
  <w:style w:type="character" w:customStyle="1" w:styleId="ListLabel17">
    <w:name w:val="ListLabel 17"/>
    <w:qFormat/>
    <w:rsid w:val="007E1680"/>
    <w:rPr>
      <w:rFonts w:eastAsia="Times New Roman"/>
      <w:sz w:val="24"/>
    </w:rPr>
  </w:style>
  <w:style w:type="character" w:customStyle="1" w:styleId="ListLabel18">
    <w:name w:val="ListLabel 18"/>
    <w:qFormat/>
    <w:rsid w:val="007E1680"/>
    <w:rPr>
      <w:rFonts w:cs="Times New Roman"/>
    </w:rPr>
  </w:style>
  <w:style w:type="character" w:customStyle="1" w:styleId="ListLabel19">
    <w:name w:val="ListLabel 19"/>
    <w:qFormat/>
    <w:rsid w:val="007E1680"/>
    <w:rPr>
      <w:rFonts w:cs="Times New Roman"/>
    </w:rPr>
  </w:style>
  <w:style w:type="character" w:customStyle="1" w:styleId="ListLabel20">
    <w:name w:val="ListLabel 20"/>
    <w:qFormat/>
    <w:rsid w:val="007E1680"/>
    <w:rPr>
      <w:rFonts w:cs="Times New Roman"/>
    </w:rPr>
  </w:style>
  <w:style w:type="character" w:customStyle="1" w:styleId="ListLabel21">
    <w:name w:val="ListLabel 21"/>
    <w:qFormat/>
    <w:rsid w:val="007E1680"/>
    <w:rPr>
      <w:rFonts w:cs="Times New Roman"/>
    </w:rPr>
  </w:style>
  <w:style w:type="character" w:customStyle="1" w:styleId="ListLabel22">
    <w:name w:val="ListLabel 22"/>
    <w:qFormat/>
    <w:rsid w:val="007E1680"/>
    <w:rPr>
      <w:rFonts w:cs="Times New Roman"/>
    </w:rPr>
  </w:style>
  <w:style w:type="character" w:customStyle="1" w:styleId="ListLabel23">
    <w:name w:val="ListLabel 23"/>
    <w:qFormat/>
    <w:rsid w:val="007E1680"/>
    <w:rPr>
      <w:rFonts w:cs="Times New Roman"/>
    </w:rPr>
  </w:style>
  <w:style w:type="character" w:customStyle="1" w:styleId="ListLabel24">
    <w:name w:val="ListLabel 24"/>
    <w:qFormat/>
    <w:rsid w:val="007E1680"/>
    <w:rPr>
      <w:rFonts w:cs="Times New Roman"/>
    </w:rPr>
  </w:style>
  <w:style w:type="character" w:customStyle="1" w:styleId="ListLabel25">
    <w:name w:val="ListLabel 25"/>
    <w:qFormat/>
    <w:rsid w:val="007E1680"/>
    <w:rPr>
      <w:rFonts w:cs="Times New Roman"/>
    </w:rPr>
  </w:style>
  <w:style w:type="character" w:customStyle="1" w:styleId="ListLabel26">
    <w:name w:val="ListLabel 26"/>
    <w:qFormat/>
    <w:rsid w:val="007E1680"/>
    <w:rPr>
      <w:rFonts w:cs="Times New Roman"/>
    </w:rPr>
  </w:style>
  <w:style w:type="character" w:customStyle="1" w:styleId="ListLabel27">
    <w:name w:val="ListLabel 27"/>
    <w:qFormat/>
    <w:rsid w:val="007E1680"/>
    <w:rPr>
      <w:rFonts w:eastAsia="Calibri" w:cs="Times New Roman"/>
    </w:rPr>
  </w:style>
  <w:style w:type="character" w:customStyle="1" w:styleId="ListLabel28">
    <w:name w:val="ListLabel 28"/>
    <w:qFormat/>
    <w:rsid w:val="007E1680"/>
    <w:rPr>
      <w:rFonts w:cs="Courier New"/>
    </w:rPr>
  </w:style>
  <w:style w:type="character" w:customStyle="1" w:styleId="ListLabel29">
    <w:name w:val="ListLabel 29"/>
    <w:qFormat/>
    <w:rsid w:val="007E1680"/>
    <w:rPr>
      <w:rFonts w:cs="Courier New"/>
    </w:rPr>
  </w:style>
  <w:style w:type="character" w:customStyle="1" w:styleId="ListLabel30">
    <w:name w:val="ListLabel 30"/>
    <w:qFormat/>
    <w:rsid w:val="007E1680"/>
    <w:rPr>
      <w:rFonts w:cs="Courier New"/>
    </w:rPr>
  </w:style>
  <w:style w:type="character" w:customStyle="1" w:styleId="ListLabel31">
    <w:name w:val="ListLabel 31"/>
    <w:qFormat/>
    <w:rsid w:val="007E1680"/>
    <w:rPr>
      <w:rFonts w:eastAsia="Times New Roman" w:cs="Times New Roman"/>
      <w:b/>
      <w:sz w:val="24"/>
    </w:rPr>
  </w:style>
  <w:style w:type="character" w:customStyle="1" w:styleId="ListLabel32">
    <w:name w:val="ListLabel 32"/>
    <w:qFormat/>
    <w:rsid w:val="007E1680"/>
    <w:rPr>
      <w:rFonts w:cs="Courier New"/>
    </w:rPr>
  </w:style>
  <w:style w:type="character" w:customStyle="1" w:styleId="ListLabel33">
    <w:name w:val="ListLabel 33"/>
    <w:qFormat/>
    <w:rsid w:val="007E1680"/>
    <w:rPr>
      <w:rFonts w:cs="Courier New"/>
    </w:rPr>
  </w:style>
  <w:style w:type="character" w:customStyle="1" w:styleId="ListLabel34">
    <w:name w:val="ListLabel 34"/>
    <w:qFormat/>
    <w:rsid w:val="007E1680"/>
    <w:rPr>
      <w:rFonts w:cs="Courier New"/>
    </w:rPr>
  </w:style>
  <w:style w:type="paragraph" w:customStyle="1" w:styleId="Stilnaslova">
    <w:name w:val="Stil naslova"/>
    <w:basedOn w:val="Normal"/>
    <w:next w:val="Tijeloteksta"/>
    <w:qFormat/>
    <w:rsid w:val="007E1680"/>
    <w:pPr>
      <w:keepNext/>
      <w:spacing w:before="240" w:after="120"/>
    </w:pPr>
    <w:rPr>
      <w:rFonts w:ascii="Liberation Sans" w:eastAsia="Microsoft YaHei" w:hAnsi="Liberation Sans" w:cs="Lucida Sans"/>
      <w:sz w:val="28"/>
      <w:szCs w:val="28"/>
      <w:lang w:val="en-GB"/>
    </w:rPr>
  </w:style>
  <w:style w:type="paragraph" w:styleId="Tijeloteksta">
    <w:name w:val="Body Text"/>
    <w:aliases w:val=" uvlaka 3,  uvlaka 2"/>
    <w:basedOn w:val="Normal"/>
    <w:link w:val="TijelotekstaChar"/>
    <w:uiPriority w:val="99"/>
    <w:qFormat/>
    <w:rsid w:val="007E1680"/>
    <w:rPr>
      <w:rFonts w:asciiTheme="minorHAnsi" w:hAnsiTheme="minorHAnsi"/>
      <w:kern w:val="2"/>
      <w:sz w:val="20"/>
      <w:szCs w:val="20"/>
      <w:lang w:val="en-GB"/>
      <w14:ligatures w14:val="standardContextual"/>
    </w:rPr>
  </w:style>
  <w:style w:type="character" w:customStyle="1" w:styleId="TijelotekstaChar1">
    <w:name w:val="Tijelo teksta Char1"/>
    <w:basedOn w:val="Zadanifontodlomka"/>
    <w:uiPriority w:val="99"/>
    <w:semiHidden/>
    <w:rsid w:val="007E1680"/>
    <w:rPr>
      <w:rFonts w:ascii="Times New Roman" w:eastAsia="Times New Roman" w:hAnsi="Times New Roman" w:cs="Times New Roman"/>
      <w:kern w:val="0"/>
      <w:sz w:val="24"/>
      <w:szCs w:val="24"/>
      <w:lang w:eastAsia="hr-HR"/>
      <w14:ligatures w14:val="none"/>
    </w:rPr>
  </w:style>
  <w:style w:type="paragraph" w:styleId="Popis">
    <w:name w:val="List"/>
    <w:basedOn w:val="Tijeloteksta"/>
    <w:rsid w:val="007E1680"/>
    <w:rPr>
      <w:rFonts w:cs="Lucida Sans"/>
    </w:rPr>
  </w:style>
  <w:style w:type="paragraph" w:styleId="Opisslike">
    <w:name w:val="caption"/>
    <w:aliases w:val="Opis tablice"/>
    <w:basedOn w:val="Normal"/>
    <w:link w:val="OpisslikeChar"/>
    <w:uiPriority w:val="99"/>
    <w:qFormat/>
    <w:rsid w:val="007E1680"/>
    <w:pPr>
      <w:suppressLineNumbers/>
      <w:spacing w:before="120" w:after="120"/>
    </w:pPr>
    <w:rPr>
      <w:rFonts w:cs="Lucida Sans"/>
      <w:i/>
      <w:iCs/>
      <w:lang w:val="en-GB"/>
    </w:rPr>
  </w:style>
  <w:style w:type="paragraph" w:customStyle="1" w:styleId="Indeks">
    <w:name w:val="Indeks"/>
    <w:basedOn w:val="Normal"/>
    <w:qFormat/>
    <w:rsid w:val="007E1680"/>
    <w:pPr>
      <w:suppressLineNumbers/>
    </w:pPr>
    <w:rPr>
      <w:rFonts w:cs="Lucida Sans"/>
      <w:sz w:val="20"/>
      <w:szCs w:val="20"/>
      <w:lang w:val="en-GB"/>
    </w:rPr>
  </w:style>
  <w:style w:type="paragraph" w:styleId="Tijeloteksta2">
    <w:name w:val="Body Text 2"/>
    <w:basedOn w:val="Normal"/>
    <w:link w:val="Tijeloteksta2Char"/>
    <w:semiHidden/>
    <w:qFormat/>
    <w:rsid w:val="007E1680"/>
    <w:rPr>
      <w:rFonts w:asciiTheme="minorHAnsi" w:hAnsiTheme="minorHAnsi"/>
      <w:b/>
      <w:kern w:val="2"/>
      <w:sz w:val="20"/>
      <w:szCs w:val="20"/>
      <w:lang w:val="en-GB"/>
      <w14:ligatures w14:val="standardContextual"/>
    </w:rPr>
  </w:style>
  <w:style w:type="character" w:customStyle="1" w:styleId="Tijeloteksta2Char1">
    <w:name w:val="Tijelo teksta 2 Char1"/>
    <w:basedOn w:val="Zadanifontodlomka"/>
    <w:uiPriority w:val="99"/>
    <w:semiHidden/>
    <w:rsid w:val="007E1680"/>
    <w:rPr>
      <w:rFonts w:ascii="Times New Roman" w:eastAsia="Times New Roman" w:hAnsi="Times New Roman" w:cs="Times New Roman"/>
      <w:kern w:val="0"/>
      <w:sz w:val="24"/>
      <w:szCs w:val="24"/>
      <w:lang w:eastAsia="hr-HR"/>
      <w14:ligatures w14:val="none"/>
    </w:rPr>
  </w:style>
  <w:style w:type="paragraph" w:styleId="Tijeloteksta-uvlaka2">
    <w:name w:val="Body Text Indent 2"/>
    <w:basedOn w:val="Normal"/>
    <w:link w:val="Tijeloteksta-uvlaka2Char1"/>
    <w:uiPriority w:val="99"/>
    <w:semiHidden/>
    <w:qFormat/>
    <w:rsid w:val="007E1680"/>
    <w:pPr>
      <w:ind w:firstLine="709"/>
      <w:jc w:val="both"/>
    </w:pPr>
    <w:rPr>
      <w:szCs w:val="20"/>
    </w:rPr>
  </w:style>
  <w:style w:type="character" w:customStyle="1" w:styleId="Tijeloteksta-uvlaka2Char1">
    <w:name w:val="Tijelo teksta - uvlaka 2 Char1"/>
    <w:basedOn w:val="Zadanifontodlomka"/>
    <w:link w:val="Tijeloteksta-uvlaka2"/>
    <w:semiHidden/>
    <w:rsid w:val="007E1680"/>
    <w:rPr>
      <w:rFonts w:ascii="Times New Roman" w:eastAsia="Times New Roman" w:hAnsi="Times New Roman" w:cs="Times New Roman"/>
      <w:kern w:val="0"/>
      <w:sz w:val="24"/>
      <w:szCs w:val="20"/>
      <w:lang w:eastAsia="hr-HR"/>
      <w14:ligatures w14:val="none"/>
    </w:rPr>
  </w:style>
  <w:style w:type="paragraph" w:styleId="Tijeloteksta-uvlaka3">
    <w:name w:val="Body Text Indent 3"/>
    <w:basedOn w:val="Normal"/>
    <w:link w:val="Tijeloteksta-uvlaka3Char1"/>
    <w:uiPriority w:val="99"/>
    <w:semiHidden/>
    <w:qFormat/>
    <w:rsid w:val="007E1680"/>
    <w:pPr>
      <w:ind w:left="720"/>
      <w:jc w:val="both"/>
    </w:pPr>
    <w:rPr>
      <w:rFonts w:eastAsia="Calibri"/>
      <w:b/>
      <w:i/>
      <w:sz w:val="20"/>
      <w:szCs w:val="20"/>
      <w:lang w:val="en-AU"/>
    </w:rPr>
  </w:style>
  <w:style w:type="character" w:customStyle="1" w:styleId="Tijeloteksta-uvlaka3Char1">
    <w:name w:val="Tijelo teksta - uvlaka 3 Char1"/>
    <w:basedOn w:val="Zadanifontodlomka"/>
    <w:link w:val="Tijeloteksta-uvlaka3"/>
    <w:uiPriority w:val="99"/>
    <w:semiHidden/>
    <w:rsid w:val="007E1680"/>
    <w:rPr>
      <w:rFonts w:ascii="Times New Roman" w:eastAsia="Calibri" w:hAnsi="Times New Roman" w:cs="Times New Roman"/>
      <w:b/>
      <w:i/>
      <w:kern w:val="0"/>
      <w:sz w:val="20"/>
      <w:szCs w:val="20"/>
      <w:lang w:val="en-AU" w:eastAsia="hr-HR"/>
      <w14:ligatures w14:val="none"/>
    </w:rPr>
  </w:style>
  <w:style w:type="paragraph" w:customStyle="1" w:styleId="Default">
    <w:name w:val="Default"/>
    <w:qFormat/>
    <w:rsid w:val="007E1680"/>
    <w:pPr>
      <w:snapToGrid w:val="0"/>
      <w:spacing w:after="0" w:line="240" w:lineRule="auto"/>
    </w:pPr>
    <w:rPr>
      <w:rFonts w:ascii="Arial" w:eastAsia="Times New Roman" w:hAnsi="Arial" w:cs="Times New Roman"/>
      <w:color w:val="000000"/>
      <w:kern w:val="0"/>
      <w:sz w:val="24"/>
      <w:szCs w:val="20"/>
      <w:lang w:val="en-AU" w:eastAsia="hr-HR"/>
      <w14:ligatures w14:val="none"/>
    </w:rPr>
  </w:style>
  <w:style w:type="paragraph" w:customStyle="1" w:styleId="t-9-8">
    <w:name w:val="t-9-8"/>
    <w:basedOn w:val="Normal"/>
    <w:uiPriority w:val="99"/>
    <w:qFormat/>
    <w:rsid w:val="007E1680"/>
    <w:pPr>
      <w:spacing w:beforeAutospacing="1" w:afterAutospacing="1"/>
    </w:pPr>
  </w:style>
  <w:style w:type="paragraph" w:styleId="StandardWeb">
    <w:name w:val="Normal (Web)"/>
    <w:basedOn w:val="Normal"/>
    <w:uiPriority w:val="99"/>
    <w:unhideWhenUsed/>
    <w:qFormat/>
    <w:rsid w:val="007E1680"/>
    <w:pPr>
      <w:spacing w:beforeAutospacing="1" w:afterAutospacing="1"/>
    </w:pPr>
  </w:style>
  <w:style w:type="paragraph" w:styleId="Odlomakpopisa">
    <w:name w:val="List Paragraph"/>
    <w:basedOn w:val="Normal"/>
    <w:link w:val="OdlomakpopisaChar"/>
    <w:uiPriority w:val="34"/>
    <w:qFormat/>
    <w:rsid w:val="007E1680"/>
    <w:pPr>
      <w:ind w:left="720"/>
      <w:contextualSpacing/>
    </w:pPr>
    <w:rPr>
      <w:sz w:val="20"/>
      <w:szCs w:val="20"/>
      <w:lang w:val="en-GB"/>
    </w:rPr>
  </w:style>
  <w:style w:type="table" w:customStyle="1" w:styleId="Reetkatablice1">
    <w:name w:val="Rešetka tablice1"/>
    <w:basedOn w:val="Obinatablica"/>
    <w:next w:val="Reetkatablice"/>
    <w:uiPriority w:val="39"/>
    <w:locked/>
    <w:rsid w:val="007E168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balonia1">
    <w:name w:val="Tekst balončića1"/>
    <w:basedOn w:val="Normal"/>
    <w:next w:val="Tekstbalonia"/>
    <w:link w:val="TekstbaloniaChar"/>
    <w:uiPriority w:val="99"/>
    <w:semiHidden/>
    <w:unhideWhenUsed/>
    <w:locked/>
    <w:rsid w:val="007E1680"/>
    <w:rPr>
      <w:rFonts w:ascii="Segoe UI" w:eastAsia="Calibri" w:hAnsi="Segoe UI" w:cs="Segoe UI"/>
      <w:kern w:val="2"/>
      <w:sz w:val="18"/>
      <w:szCs w:val="18"/>
      <w:lang w:eastAsia="en-US"/>
      <w14:ligatures w14:val="standardContextual"/>
    </w:rPr>
  </w:style>
  <w:style w:type="character" w:customStyle="1" w:styleId="TekstbaloniaChar">
    <w:name w:val="Tekst balončića Char"/>
    <w:basedOn w:val="Zadanifontodlomka"/>
    <w:link w:val="Tekstbalonia1"/>
    <w:uiPriority w:val="99"/>
    <w:semiHidden/>
    <w:rsid w:val="007E1680"/>
    <w:rPr>
      <w:rFonts w:ascii="Segoe UI" w:eastAsia="Calibri" w:hAnsi="Segoe UI" w:cs="Segoe UI"/>
      <w:sz w:val="18"/>
      <w:szCs w:val="18"/>
      <w:lang w:eastAsia="en-US"/>
    </w:rPr>
  </w:style>
  <w:style w:type="paragraph" w:customStyle="1" w:styleId="Tijeloteksta21">
    <w:name w:val="Tijelo teksta 21"/>
    <w:basedOn w:val="Normal"/>
    <w:qFormat/>
    <w:rsid w:val="007E1680"/>
    <w:pPr>
      <w:suppressAutoHyphens/>
    </w:pPr>
    <w:rPr>
      <w:b/>
      <w:szCs w:val="20"/>
      <w:lang w:val="en-GB" w:eastAsia="zh-CN"/>
    </w:rPr>
  </w:style>
  <w:style w:type="paragraph" w:customStyle="1" w:styleId="Tijeloteksta-uvlaka21">
    <w:name w:val="Tijelo teksta - uvlaka 21"/>
    <w:basedOn w:val="Normal"/>
    <w:uiPriority w:val="99"/>
    <w:qFormat/>
    <w:rsid w:val="007E1680"/>
    <w:pPr>
      <w:suppressAutoHyphens/>
      <w:ind w:firstLine="720"/>
      <w:jc w:val="both"/>
    </w:pPr>
    <w:rPr>
      <w:szCs w:val="20"/>
      <w:lang w:eastAsia="zh-CN"/>
    </w:rPr>
  </w:style>
  <w:style w:type="paragraph" w:styleId="Zaglavlje">
    <w:name w:val="header"/>
    <w:basedOn w:val="Normal"/>
    <w:link w:val="ZaglavljeChar"/>
    <w:uiPriority w:val="99"/>
    <w:unhideWhenUsed/>
    <w:qFormat/>
    <w:rsid w:val="007E1680"/>
    <w:pPr>
      <w:tabs>
        <w:tab w:val="center" w:pos="4536"/>
        <w:tab w:val="right" w:pos="9072"/>
      </w:tabs>
    </w:pPr>
    <w:rPr>
      <w:sz w:val="20"/>
      <w:szCs w:val="20"/>
      <w:lang w:val="en-GB"/>
    </w:rPr>
  </w:style>
  <w:style w:type="character" w:customStyle="1" w:styleId="ZaglavljeChar">
    <w:name w:val="Zaglavlje Char"/>
    <w:basedOn w:val="Zadanifontodlomka"/>
    <w:link w:val="Zaglavlje"/>
    <w:uiPriority w:val="99"/>
    <w:rsid w:val="007E1680"/>
    <w:rPr>
      <w:rFonts w:ascii="Times New Roman" w:eastAsia="Times New Roman" w:hAnsi="Times New Roman" w:cs="Times New Roman"/>
      <w:kern w:val="0"/>
      <w:sz w:val="20"/>
      <w:szCs w:val="20"/>
      <w:lang w:val="en-GB" w:eastAsia="hr-HR"/>
      <w14:ligatures w14:val="none"/>
    </w:rPr>
  </w:style>
  <w:style w:type="paragraph" w:styleId="Podnoje">
    <w:name w:val="footer"/>
    <w:basedOn w:val="Normal"/>
    <w:link w:val="PodnojeChar"/>
    <w:uiPriority w:val="99"/>
    <w:unhideWhenUsed/>
    <w:qFormat/>
    <w:rsid w:val="007E1680"/>
    <w:pPr>
      <w:tabs>
        <w:tab w:val="center" w:pos="4536"/>
        <w:tab w:val="right" w:pos="9072"/>
      </w:tabs>
    </w:pPr>
    <w:rPr>
      <w:sz w:val="20"/>
      <w:szCs w:val="20"/>
      <w:lang w:val="en-GB"/>
    </w:rPr>
  </w:style>
  <w:style w:type="character" w:customStyle="1" w:styleId="PodnojeChar">
    <w:name w:val="Podnožje Char"/>
    <w:basedOn w:val="Zadanifontodlomka"/>
    <w:link w:val="Podnoje"/>
    <w:uiPriority w:val="99"/>
    <w:rsid w:val="007E1680"/>
    <w:rPr>
      <w:rFonts w:ascii="Times New Roman" w:eastAsia="Times New Roman" w:hAnsi="Times New Roman" w:cs="Times New Roman"/>
      <w:kern w:val="0"/>
      <w:sz w:val="20"/>
      <w:szCs w:val="20"/>
      <w:lang w:val="en-GB" w:eastAsia="hr-HR"/>
      <w14:ligatures w14:val="none"/>
    </w:rPr>
  </w:style>
  <w:style w:type="character" w:customStyle="1" w:styleId="Hiperveza1">
    <w:name w:val="Hiperveza1"/>
    <w:basedOn w:val="Zadanifontodlomka"/>
    <w:uiPriority w:val="99"/>
    <w:unhideWhenUsed/>
    <w:locked/>
    <w:rsid w:val="007E1680"/>
    <w:rPr>
      <w:color w:val="0000FF"/>
      <w:u w:val="single"/>
    </w:rPr>
  </w:style>
  <w:style w:type="character" w:styleId="Nerijeenospominjanje">
    <w:name w:val="Unresolved Mention"/>
    <w:basedOn w:val="Zadanifontodlomka"/>
    <w:uiPriority w:val="99"/>
    <w:semiHidden/>
    <w:unhideWhenUsed/>
    <w:rsid w:val="007E1680"/>
    <w:rPr>
      <w:color w:val="605E5C"/>
      <w:shd w:val="clear" w:color="auto" w:fill="E1DFDD"/>
    </w:rPr>
  </w:style>
  <w:style w:type="table" w:styleId="Reetkatablice">
    <w:name w:val="Table Grid"/>
    <w:basedOn w:val="Obinatablica"/>
    <w:uiPriority w:val="39"/>
    <w:rsid w:val="007E1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1"/>
    <w:uiPriority w:val="99"/>
    <w:semiHidden/>
    <w:unhideWhenUsed/>
    <w:qFormat/>
    <w:rsid w:val="007E1680"/>
    <w:rPr>
      <w:rFonts w:ascii="Segoe UI" w:hAnsi="Segoe UI" w:cs="Segoe UI"/>
      <w:sz w:val="18"/>
      <w:szCs w:val="18"/>
    </w:rPr>
  </w:style>
  <w:style w:type="character" w:customStyle="1" w:styleId="TekstbaloniaChar1">
    <w:name w:val="Tekst balončića Char1"/>
    <w:basedOn w:val="Zadanifontodlomka"/>
    <w:link w:val="Tekstbalonia"/>
    <w:uiPriority w:val="99"/>
    <w:semiHidden/>
    <w:rsid w:val="007E1680"/>
    <w:rPr>
      <w:rFonts w:ascii="Segoe UI" w:eastAsia="Times New Roman" w:hAnsi="Segoe UI" w:cs="Segoe UI"/>
      <w:kern w:val="0"/>
      <w:sz w:val="18"/>
      <w:szCs w:val="18"/>
      <w:lang w:eastAsia="hr-HR"/>
      <w14:ligatures w14:val="none"/>
    </w:rPr>
  </w:style>
  <w:style w:type="character" w:styleId="Hiperveza">
    <w:name w:val="Hyperlink"/>
    <w:basedOn w:val="Zadanifontodlomka"/>
    <w:uiPriority w:val="99"/>
    <w:unhideWhenUsed/>
    <w:rsid w:val="007E1680"/>
    <w:rPr>
      <w:color w:val="0563C1" w:themeColor="hyperlink"/>
      <w:u w:val="single"/>
    </w:rPr>
  </w:style>
  <w:style w:type="paragraph" w:styleId="Uvuenotijeloteksta">
    <w:name w:val="Body Text Indent"/>
    <w:basedOn w:val="Normal"/>
    <w:link w:val="UvuenotijelotekstaChar"/>
    <w:uiPriority w:val="99"/>
    <w:unhideWhenUsed/>
    <w:qFormat/>
    <w:rsid w:val="007E1680"/>
    <w:pPr>
      <w:spacing w:after="120"/>
      <w:ind w:left="283"/>
    </w:pPr>
  </w:style>
  <w:style w:type="character" w:customStyle="1" w:styleId="UvuenotijelotekstaChar">
    <w:name w:val="Uvučeno tijelo teksta Char"/>
    <w:basedOn w:val="Zadanifontodlomka"/>
    <w:link w:val="Uvuenotijeloteksta"/>
    <w:uiPriority w:val="99"/>
    <w:rsid w:val="007E1680"/>
    <w:rPr>
      <w:rFonts w:ascii="Times New Roman" w:eastAsia="Times New Roman" w:hAnsi="Times New Roman" w:cs="Times New Roman"/>
      <w:kern w:val="0"/>
      <w:sz w:val="24"/>
      <w:szCs w:val="24"/>
      <w:lang w:eastAsia="hr-HR"/>
      <w14:ligatures w14:val="none"/>
    </w:rPr>
  </w:style>
  <w:style w:type="table" w:customStyle="1" w:styleId="Reetkatablice2">
    <w:name w:val="Rešetka tablice2"/>
    <w:basedOn w:val="Obinatablica"/>
    <w:next w:val="Reetkatablice"/>
    <w:uiPriority w:val="39"/>
    <w:locked/>
    <w:rsid w:val="003A64A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Bezpopisa"/>
    <w:uiPriority w:val="99"/>
    <w:semiHidden/>
    <w:unhideWhenUsed/>
    <w:rsid w:val="00D8563B"/>
  </w:style>
  <w:style w:type="paragraph" w:styleId="Bezproreda">
    <w:name w:val="No Spacing"/>
    <w:uiPriority w:val="1"/>
    <w:qFormat/>
    <w:rsid w:val="00D8563B"/>
    <w:pPr>
      <w:spacing w:after="0" w:line="240" w:lineRule="auto"/>
    </w:pPr>
    <w:rPr>
      <w:kern w:val="0"/>
      <w14:ligatures w14:val="none"/>
    </w:rPr>
  </w:style>
  <w:style w:type="paragraph" w:customStyle="1" w:styleId="EMPTYCELLSTYLE">
    <w:name w:val="EMPTY_CELL_STYLE"/>
    <w:basedOn w:val="DefaultStyle"/>
    <w:qFormat/>
    <w:rsid w:val="00D8563B"/>
    <w:rPr>
      <w:sz w:val="1"/>
    </w:rPr>
  </w:style>
  <w:style w:type="paragraph" w:customStyle="1" w:styleId="DefaultStyle">
    <w:name w:val="DefaultStyle"/>
    <w:qFormat/>
    <w:rsid w:val="00D8563B"/>
    <w:pPr>
      <w:spacing w:after="0" w:line="240" w:lineRule="auto"/>
    </w:pPr>
    <w:rPr>
      <w:rFonts w:ascii="Arimo" w:eastAsia="Arimo" w:hAnsi="Arimo" w:cs="Arimo"/>
      <w:color w:val="000000"/>
      <w:kern w:val="0"/>
      <w:sz w:val="20"/>
      <w:szCs w:val="20"/>
      <w:lang w:eastAsia="hr-HR"/>
      <w14:ligatures w14:val="none"/>
    </w:rPr>
  </w:style>
  <w:style w:type="paragraph" w:customStyle="1" w:styleId="glava">
    <w:name w:val="glava"/>
    <w:basedOn w:val="DefaultStyle"/>
    <w:qFormat/>
    <w:rsid w:val="00D8563B"/>
    <w:rPr>
      <w:b/>
      <w:color w:val="FFFFFF"/>
    </w:rPr>
  </w:style>
  <w:style w:type="paragraph" w:customStyle="1" w:styleId="izv1">
    <w:name w:val="izv1"/>
    <w:basedOn w:val="DefaultStyle"/>
    <w:qFormat/>
    <w:rsid w:val="00D8563B"/>
  </w:style>
  <w:style w:type="paragraph" w:customStyle="1" w:styleId="izv2">
    <w:name w:val="izv2"/>
    <w:basedOn w:val="DefaultStyle"/>
    <w:qFormat/>
    <w:rsid w:val="00D8563B"/>
  </w:style>
  <w:style w:type="paragraph" w:customStyle="1" w:styleId="UvjetniStil">
    <w:name w:val="UvjetniStil"/>
    <w:basedOn w:val="DefaultStyle"/>
    <w:qFormat/>
    <w:rsid w:val="00D8563B"/>
  </w:style>
  <w:style w:type="paragraph" w:customStyle="1" w:styleId="UvjetniStil10">
    <w:name w:val="UvjetniStil|10"/>
    <w:qFormat/>
    <w:rsid w:val="00D8563B"/>
    <w:pPr>
      <w:spacing w:after="0" w:line="240" w:lineRule="auto"/>
    </w:pPr>
    <w:rPr>
      <w:rFonts w:ascii="Arimo" w:eastAsia="Arimo" w:hAnsi="Arimo" w:cs="Arimo"/>
      <w:b/>
      <w:color w:val="000000"/>
      <w:kern w:val="0"/>
      <w:sz w:val="20"/>
      <w:szCs w:val="20"/>
      <w:lang w:eastAsia="hr-HR"/>
      <w14:ligatures w14:val="none"/>
    </w:rPr>
  </w:style>
  <w:style w:type="character" w:customStyle="1" w:styleId="UvuenotijelotekstaChar1">
    <w:name w:val="Uvučeno tijelo teksta Char1"/>
    <w:rsid w:val="00D8563B"/>
    <w:rPr>
      <w:rFonts w:ascii="Times New Roman" w:eastAsia="Times New Roman" w:hAnsi="Times New Roman" w:cs="Times New Roman"/>
      <w:sz w:val="24"/>
      <w:szCs w:val="20"/>
      <w:lang w:eastAsia="zh-CN"/>
    </w:rPr>
  </w:style>
  <w:style w:type="table" w:customStyle="1" w:styleId="Reetkatablice3">
    <w:name w:val="Rešetka tablice3"/>
    <w:basedOn w:val="Obinatablica"/>
    <w:next w:val="Reetkatablice"/>
    <w:uiPriority w:val="39"/>
    <w:rsid w:val="00D856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r1">
    <w:name w:val="kor1"/>
    <w:basedOn w:val="DefaultStyle"/>
    <w:qFormat/>
    <w:rsid w:val="00D8563B"/>
  </w:style>
  <w:style w:type="paragraph" w:customStyle="1" w:styleId="prog3">
    <w:name w:val="prog3"/>
    <w:basedOn w:val="DefaultStyle"/>
    <w:qFormat/>
    <w:rsid w:val="00D8563B"/>
  </w:style>
  <w:style w:type="paragraph" w:customStyle="1" w:styleId="prog2">
    <w:name w:val="prog2"/>
    <w:basedOn w:val="DefaultStyle"/>
    <w:qFormat/>
    <w:rsid w:val="00D8563B"/>
  </w:style>
  <w:style w:type="paragraph" w:customStyle="1" w:styleId="rgp2">
    <w:name w:val="rgp2"/>
    <w:basedOn w:val="DefaultStyle"/>
    <w:qFormat/>
    <w:rsid w:val="00D8563B"/>
  </w:style>
  <w:style w:type="paragraph" w:customStyle="1" w:styleId="rgp1">
    <w:name w:val="rgp1"/>
    <w:basedOn w:val="DefaultStyle"/>
    <w:qFormat/>
    <w:rsid w:val="00D8563B"/>
  </w:style>
  <w:style w:type="paragraph" w:customStyle="1" w:styleId="Naslov31">
    <w:name w:val="Naslov 31"/>
    <w:basedOn w:val="Normal"/>
    <w:next w:val="Normal"/>
    <w:uiPriority w:val="9"/>
    <w:unhideWhenUsed/>
    <w:qFormat/>
    <w:rsid w:val="00263FD8"/>
    <w:pPr>
      <w:keepNext/>
      <w:keepLines/>
      <w:spacing w:before="200" w:line="276" w:lineRule="auto"/>
      <w:outlineLvl w:val="2"/>
    </w:pPr>
    <w:rPr>
      <w:rFonts w:ascii="Cambria" w:hAnsi="Cambria"/>
      <w:b/>
      <w:bCs/>
      <w:color w:val="4F81BD"/>
      <w:sz w:val="22"/>
      <w:szCs w:val="22"/>
    </w:rPr>
  </w:style>
  <w:style w:type="numbering" w:customStyle="1" w:styleId="Bezpopisa3">
    <w:name w:val="Bez popisa3"/>
    <w:next w:val="Bezpopisa"/>
    <w:uiPriority w:val="99"/>
    <w:semiHidden/>
    <w:unhideWhenUsed/>
    <w:rsid w:val="00263FD8"/>
  </w:style>
  <w:style w:type="paragraph" w:customStyle="1" w:styleId="t-10-9-kurz-s">
    <w:name w:val="t-10-9-kurz-s"/>
    <w:basedOn w:val="Normal"/>
    <w:uiPriority w:val="99"/>
    <w:qFormat/>
    <w:rsid w:val="00263FD8"/>
    <w:pPr>
      <w:spacing w:before="100" w:beforeAutospacing="1" w:after="100" w:afterAutospacing="1"/>
    </w:pPr>
  </w:style>
  <w:style w:type="paragraph" w:customStyle="1" w:styleId="clanak">
    <w:name w:val="clanak"/>
    <w:basedOn w:val="Normal"/>
    <w:uiPriority w:val="99"/>
    <w:qFormat/>
    <w:rsid w:val="00263FD8"/>
    <w:pPr>
      <w:spacing w:before="100" w:beforeAutospacing="1" w:after="100" w:afterAutospacing="1"/>
    </w:pPr>
  </w:style>
  <w:style w:type="table" w:customStyle="1" w:styleId="Reetkatablice4">
    <w:name w:val="Rešetka tablice4"/>
    <w:basedOn w:val="Obinatablica"/>
    <w:next w:val="Reetkatablice"/>
    <w:uiPriority w:val="59"/>
    <w:rsid w:val="00263FD8"/>
    <w:pPr>
      <w:spacing w:after="0" w:line="240" w:lineRule="auto"/>
    </w:pPr>
    <w:rPr>
      <w:rFonts w:eastAsia="Times New Roman"/>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na16">
    <w:name w:val="tb-na16"/>
    <w:basedOn w:val="Normal"/>
    <w:uiPriority w:val="99"/>
    <w:qFormat/>
    <w:rsid w:val="00263FD8"/>
    <w:pPr>
      <w:spacing w:before="100" w:beforeAutospacing="1" w:after="100" w:afterAutospacing="1"/>
    </w:pPr>
  </w:style>
  <w:style w:type="paragraph" w:customStyle="1" w:styleId="t-12-9-fett-s">
    <w:name w:val="t-12-9-fett-s"/>
    <w:basedOn w:val="Normal"/>
    <w:uiPriority w:val="99"/>
    <w:qFormat/>
    <w:rsid w:val="00263FD8"/>
    <w:pPr>
      <w:spacing w:before="100" w:beforeAutospacing="1" w:after="100" w:afterAutospacing="1"/>
    </w:pPr>
  </w:style>
  <w:style w:type="character" w:customStyle="1" w:styleId="apple-converted-space">
    <w:name w:val="apple-converted-space"/>
    <w:basedOn w:val="Zadanifontodlomka"/>
    <w:rsid w:val="00263FD8"/>
  </w:style>
  <w:style w:type="character" w:styleId="Naglaeno">
    <w:name w:val="Strong"/>
    <w:basedOn w:val="Zadanifontodlomka"/>
    <w:uiPriority w:val="22"/>
    <w:qFormat/>
    <w:rsid w:val="00263FD8"/>
    <w:rPr>
      <w:b/>
      <w:bCs/>
    </w:rPr>
  </w:style>
  <w:style w:type="paragraph" w:customStyle="1" w:styleId="Standard">
    <w:name w:val="Standard"/>
    <w:uiPriority w:val="99"/>
    <w:qFormat/>
    <w:rsid w:val="00263FD8"/>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14:ligatures w14:val="none"/>
    </w:rPr>
  </w:style>
  <w:style w:type="paragraph" w:customStyle="1" w:styleId="StandardWeb1">
    <w:name w:val="Standard (Web)1"/>
    <w:basedOn w:val="Normal"/>
    <w:uiPriority w:val="99"/>
    <w:qFormat/>
    <w:rsid w:val="00263FD8"/>
    <w:pPr>
      <w:suppressAutoHyphens/>
      <w:spacing w:before="100" w:after="100" w:line="100" w:lineRule="atLeast"/>
    </w:pPr>
    <w:rPr>
      <w:kern w:val="1"/>
      <w:lang w:eastAsia="ar-SA"/>
    </w:rPr>
  </w:style>
  <w:style w:type="character" w:customStyle="1" w:styleId="SlijeenaHiperveza1">
    <w:name w:val="SlijeđenaHiperveza1"/>
    <w:basedOn w:val="Zadanifontodlomka"/>
    <w:uiPriority w:val="99"/>
    <w:semiHidden/>
    <w:unhideWhenUsed/>
    <w:rsid w:val="00263FD8"/>
    <w:rPr>
      <w:color w:val="800080"/>
      <w:u w:val="single"/>
    </w:rPr>
  </w:style>
  <w:style w:type="paragraph" w:customStyle="1" w:styleId="Sadraj11">
    <w:name w:val="Sadržaj 11"/>
    <w:basedOn w:val="Normal"/>
    <w:next w:val="Normal"/>
    <w:autoRedefine/>
    <w:uiPriority w:val="39"/>
    <w:qFormat/>
    <w:rsid w:val="00263FD8"/>
    <w:pPr>
      <w:tabs>
        <w:tab w:val="left" w:pos="284"/>
        <w:tab w:val="left" w:pos="426"/>
        <w:tab w:val="left" w:pos="851"/>
        <w:tab w:val="right" w:leader="dot" w:pos="9061"/>
      </w:tabs>
      <w:spacing w:line="276" w:lineRule="auto"/>
      <w:jc w:val="both"/>
    </w:pPr>
    <w:rPr>
      <w:rFonts w:ascii="Cambria" w:eastAsia="Symbol" w:hAnsi="Cambria"/>
      <w:b/>
      <w:bCs/>
      <w:i/>
      <w:caps/>
      <w:noProof/>
    </w:rPr>
  </w:style>
  <w:style w:type="paragraph" w:customStyle="1" w:styleId="Sadraj21">
    <w:name w:val="Sadržaj 21"/>
    <w:basedOn w:val="Bezproreda"/>
    <w:next w:val="Standard"/>
    <w:autoRedefine/>
    <w:uiPriority w:val="39"/>
    <w:qFormat/>
    <w:rsid w:val="00263FD8"/>
    <w:pPr>
      <w:tabs>
        <w:tab w:val="left" w:pos="284"/>
        <w:tab w:val="left" w:pos="1320"/>
        <w:tab w:val="right" w:leader="dot" w:pos="9061"/>
      </w:tabs>
      <w:spacing w:line="276" w:lineRule="auto"/>
      <w:ind w:left="578"/>
      <w:jc w:val="both"/>
    </w:pPr>
    <w:rPr>
      <w:rFonts w:ascii="Cambria" w:eastAsia="Times New Roman" w:hAnsi="Cambria" w:cs="Times New Roman"/>
      <w:bCs/>
      <w:i/>
      <w:iCs/>
      <w:smallCaps/>
      <w:noProof/>
      <w:sz w:val="24"/>
      <w:lang w:eastAsia="sl-SI"/>
    </w:rPr>
  </w:style>
  <w:style w:type="paragraph" w:styleId="Naslov">
    <w:name w:val="Title"/>
    <w:basedOn w:val="Normal"/>
    <w:link w:val="NaslovChar"/>
    <w:uiPriority w:val="99"/>
    <w:qFormat/>
    <w:rsid w:val="00263FD8"/>
    <w:pPr>
      <w:jc w:val="center"/>
    </w:pPr>
    <w:rPr>
      <w:rFonts w:ascii="HelveticaPlain" w:hAnsi="HelveticaPlain"/>
      <w:sz w:val="32"/>
      <w:szCs w:val="20"/>
      <w:lang w:val="en-US"/>
    </w:rPr>
  </w:style>
  <w:style w:type="character" w:customStyle="1" w:styleId="NaslovChar">
    <w:name w:val="Naslov Char"/>
    <w:basedOn w:val="Zadanifontodlomka"/>
    <w:link w:val="Naslov"/>
    <w:uiPriority w:val="99"/>
    <w:rsid w:val="00263FD8"/>
    <w:rPr>
      <w:rFonts w:ascii="HelveticaPlain" w:eastAsia="Times New Roman" w:hAnsi="HelveticaPlain" w:cs="Times New Roman"/>
      <w:kern w:val="0"/>
      <w:sz w:val="32"/>
      <w:szCs w:val="20"/>
      <w:lang w:val="en-US" w:eastAsia="hr-HR"/>
      <w14:ligatures w14:val="none"/>
    </w:rPr>
  </w:style>
  <w:style w:type="paragraph" w:customStyle="1" w:styleId="Sadraj31">
    <w:name w:val="Sadržaj 31"/>
    <w:basedOn w:val="Normal"/>
    <w:next w:val="Normal"/>
    <w:autoRedefine/>
    <w:uiPriority w:val="39"/>
    <w:unhideWhenUsed/>
    <w:qFormat/>
    <w:rsid w:val="00263FD8"/>
    <w:pPr>
      <w:tabs>
        <w:tab w:val="left" w:pos="1100"/>
        <w:tab w:val="right" w:leader="dot" w:pos="9060"/>
      </w:tabs>
      <w:spacing w:line="276" w:lineRule="auto"/>
      <w:ind w:left="993" w:hanging="425"/>
    </w:pPr>
    <w:rPr>
      <w:rFonts w:ascii="Cambria" w:hAnsi="Cambria"/>
      <w:i/>
      <w:iCs/>
      <w:noProof/>
      <w:sz w:val="22"/>
      <w:szCs w:val="22"/>
    </w:rPr>
  </w:style>
  <w:style w:type="paragraph" w:customStyle="1" w:styleId="TOCNaslov1">
    <w:name w:val="TOC Naslov1"/>
    <w:basedOn w:val="Naslov1"/>
    <w:next w:val="Normal"/>
    <w:uiPriority w:val="39"/>
    <w:unhideWhenUsed/>
    <w:qFormat/>
    <w:rsid w:val="00263FD8"/>
    <w:pPr>
      <w:keepLines/>
      <w:numPr>
        <w:numId w:val="0"/>
      </w:numPr>
      <w:spacing w:before="480" w:line="276" w:lineRule="auto"/>
      <w:jc w:val="left"/>
      <w:outlineLvl w:val="9"/>
    </w:pPr>
    <w:rPr>
      <w:rFonts w:ascii="Cambria" w:hAnsi="Cambria"/>
      <w:b/>
      <w:bCs/>
      <w:color w:val="365F91"/>
      <w:sz w:val="28"/>
      <w:szCs w:val="28"/>
      <w:u w:val="none"/>
      <w:lang w:eastAsia="en-US"/>
    </w:rPr>
  </w:style>
  <w:style w:type="character" w:customStyle="1" w:styleId="Naslov3Char">
    <w:name w:val="Naslov 3 Char"/>
    <w:basedOn w:val="Zadanifontodlomka"/>
    <w:link w:val="Naslov3"/>
    <w:rsid w:val="00263FD8"/>
    <w:rPr>
      <w:rFonts w:ascii="Cambria" w:eastAsia="Times New Roman" w:hAnsi="Cambria" w:cs="Times New Roman"/>
      <w:b/>
      <w:bCs/>
      <w:color w:val="4F81BD"/>
    </w:rPr>
  </w:style>
  <w:style w:type="paragraph" w:styleId="Tekstfusnote">
    <w:name w:val="footnote text"/>
    <w:basedOn w:val="Normal"/>
    <w:link w:val="TekstfusnoteChar"/>
    <w:uiPriority w:val="99"/>
    <w:semiHidden/>
    <w:unhideWhenUsed/>
    <w:qFormat/>
    <w:rsid w:val="00263FD8"/>
    <w:rPr>
      <w:rFonts w:ascii="Calibri" w:hAnsi="Calibri"/>
      <w:sz w:val="20"/>
      <w:szCs w:val="20"/>
    </w:rPr>
  </w:style>
  <w:style w:type="character" w:customStyle="1" w:styleId="TekstfusnoteChar">
    <w:name w:val="Tekst fusnote Char"/>
    <w:basedOn w:val="Zadanifontodlomka"/>
    <w:link w:val="Tekstfusnote"/>
    <w:uiPriority w:val="99"/>
    <w:semiHidden/>
    <w:rsid w:val="00263FD8"/>
    <w:rPr>
      <w:rFonts w:ascii="Calibri" w:eastAsia="Times New Roman" w:hAnsi="Calibri" w:cs="Times New Roman"/>
      <w:kern w:val="0"/>
      <w:sz w:val="20"/>
      <w:szCs w:val="20"/>
      <w:lang w:eastAsia="hr-HR"/>
      <w14:ligatures w14:val="none"/>
    </w:rPr>
  </w:style>
  <w:style w:type="character" w:styleId="Referencafusnote">
    <w:name w:val="footnote reference"/>
    <w:basedOn w:val="Zadanifontodlomka"/>
    <w:uiPriority w:val="99"/>
    <w:semiHidden/>
    <w:unhideWhenUsed/>
    <w:rsid w:val="00263FD8"/>
    <w:rPr>
      <w:vertAlign w:val="superscript"/>
    </w:rPr>
  </w:style>
  <w:style w:type="paragraph" w:styleId="Tablicaslika">
    <w:name w:val="table of figures"/>
    <w:basedOn w:val="Normal"/>
    <w:next w:val="Normal"/>
    <w:uiPriority w:val="99"/>
    <w:unhideWhenUsed/>
    <w:qFormat/>
    <w:rsid w:val="00263FD8"/>
    <w:pPr>
      <w:spacing w:line="276" w:lineRule="auto"/>
      <w:ind w:left="440" w:hanging="440"/>
    </w:pPr>
    <w:rPr>
      <w:rFonts w:ascii="Calibri" w:hAnsi="Calibri"/>
      <w:smallCaps/>
      <w:sz w:val="20"/>
      <w:szCs w:val="20"/>
    </w:rPr>
  </w:style>
  <w:style w:type="table" w:customStyle="1" w:styleId="Reetkatablice11">
    <w:name w:val="Rešetka tablice11"/>
    <w:basedOn w:val="Obinatablica"/>
    <w:next w:val="Reetkatablice"/>
    <w:uiPriority w:val="59"/>
    <w:rsid w:val="00263FD8"/>
    <w:pPr>
      <w:spacing w:after="0" w:line="240" w:lineRule="auto"/>
    </w:pPr>
    <w:rPr>
      <w:rFonts w:eastAsia="Times New Roman"/>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59"/>
    <w:rsid w:val="00263FD8"/>
    <w:pPr>
      <w:spacing w:after="0" w:line="240" w:lineRule="auto"/>
    </w:pPr>
    <w:rPr>
      <w:rFonts w:eastAsia="Times New Roman"/>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
    <w:name w:val="Rešetka tablice31"/>
    <w:basedOn w:val="Obinatablica"/>
    <w:next w:val="Reetkatablice"/>
    <w:uiPriority w:val="59"/>
    <w:rsid w:val="00263FD8"/>
    <w:pPr>
      <w:spacing w:after="0" w:line="240" w:lineRule="auto"/>
    </w:pPr>
    <w:rPr>
      <w:rFonts w:eastAsia="Times New Roman"/>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263FD8"/>
    <w:pPr>
      <w:spacing w:after="0" w:line="240" w:lineRule="auto"/>
    </w:pPr>
    <w:rPr>
      <w:rFonts w:eastAsia="Times New Roman"/>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263FD8"/>
    <w:pPr>
      <w:spacing w:after="0" w:line="240" w:lineRule="auto"/>
    </w:pPr>
    <w:rPr>
      <w:rFonts w:eastAsia="Times New Roman"/>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59"/>
    <w:rsid w:val="00263FD8"/>
    <w:pPr>
      <w:spacing w:after="0" w:line="240" w:lineRule="auto"/>
    </w:pPr>
    <w:rPr>
      <w:rFonts w:eastAsia="Times New Roman"/>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ica">
    <w:name w:val="tablica"/>
    <w:basedOn w:val="Opisslike"/>
    <w:link w:val="tablicaChar"/>
    <w:qFormat/>
    <w:rsid w:val="00263FD8"/>
    <w:pPr>
      <w:suppressLineNumbers w:val="0"/>
      <w:spacing w:before="0" w:after="200"/>
      <w:jc w:val="center"/>
    </w:pPr>
    <w:rPr>
      <w:rFonts w:cs="Times New Roman"/>
      <w:szCs w:val="20"/>
    </w:rPr>
  </w:style>
  <w:style w:type="paragraph" w:customStyle="1" w:styleId="tablica1">
    <w:name w:val="tablica 1"/>
    <w:basedOn w:val="Normal"/>
    <w:link w:val="tablica1Char"/>
    <w:qFormat/>
    <w:rsid w:val="00263FD8"/>
    <w:pPr>
      <w:spacing w:line="276" w:lineRule="auto"/>
      <w:jc w:val="both"/>
    </w:pPr>
    <w:rPr>
      <w:rFonts w:ascii="Cambria" w:hAnsi="Cambria"/>
      <w:b/>
      <w:bCs/>
      <w:sz w:val="22"/>
      <w:szCs w:val="22"/>
    </w:rPr>
  </w:style>
  <w:style w:type="character" w:customStyle="1" w:styleId="OpisslikeChar">
    <w:name w:val="Opis slike Char"/>
    <w:aliases w:val="Opis tablice Char"/>
    <w:basedOn w:val="Zadanifontodlomka"/>
    <w:link w:val="Opisslike"/>
    <w:uiPriority w:val="35"/>
    <w:rsid w:val="00263FD8"/>
    <w:rPr>
      <w:rFonts w:ascii="Times New Roman" w:eastAsia="Times New Roman" w:hAnsi="Times New Roman" w:cs="Lucida Sans"/>
      <w:i/>
      <w:iCs/>
      <w:kern w:val="0"/>
      <w:sz w:val="24"/>
      <w:szCs w:val="24"/>
      <w:lang w:val="en-GB" w:eastAsia="hr-HR"/>
      <w14:ligatures w14:val="none"/>
    </w:rPr>
  </w:style>
  <w:style w:type="character" w:customStyle="1" w:styleId="tablicaChar">
    <w:name w:val="tablica Char"/>
    <w:basedOn w:val="OpisslikeChar"/>
    <w:link w:val="tablica"/>
    <w:rsid w:val="00263FD8"/>
    <w:rPr>
      <w:rFonts w:ascii="Times New Roman" w:eastAsia="Times New Roman" w:hAnsi="Times New Roman" w:cs="Times New Roman"/>
      <w:i/>
      <w:iCs/>
      <w:kern w:val="0"/>
      <w:sz w:val="24"/>
      <w:szCs w:val="20"/>
      <w:lang w:val="en-GB" w:eastAsia="hr-HR"/>
      <w14:ligatures w14:val="none"/>
    </w:rPr>
  </w:style>
  <w:style w:type="character" w:customStyle="1" w:styleId="tablica1Char">
    <w:name w:val="tablica 1 Char"/>
    <w:basedOn w:val="Zadanifontodlomka"/>
    <w:link w:val="tablica1"/>
    <w:rsid w:val="00263FD8"/>
    <w:rPr>
      <w:rFonts w:ascii="Cambria" w:eastAsia="Times New Roman" w:hAnsi="Cambria" w:cs="Times New Roman"/>
      <w:b/>
      <w:bCs/>
      <w:kern w:val="0"/>
      <w:lang w:eastAsia="hr-HR"/>
      <w14:ligatures w14:val="none"/>
    </w:rPr>
  </w:style>
  <w:style w:type="character" w:customStyle="1" w:styleId="InternetLink">
    <w:name w:val="Internet Link"/>
    <w:basedOn w:val="Zadanifontodlomka"/>
    <w:uiPriority w:val="99"/>
    <w:unhideWhenUsed/>
    <w:rsid w:val="00263FD8"/>
    <w:rPr>
      <w:color w:val="0000FF"/>
      <w:u w:val="single"/>
    </w:rPr>
  </w:style>
  <w:style w:type="paragraph" w:customStyle="1" w:styleId="box459040">
    <w:name w:val="box_459040"/>
    <w:basedOn w:val="Normal"/>
    <w:uiPriority w:val="99"/>
    <w:qFormat/>
    <w:rsid w:val="00263FD8"/>
    <w:pPr>
      <w:spacing w:before="100" w:beforeAutospacing="1" w:after="100" w:afterAutospacing="1"/>
    </w:pPr>
  </w:style>
  <w:style w:type="character" w:styleId="Referencakomentara">
    <w:name w:val="annotation reference"/>
    <w:basedOn w:val="Zadanifontodlomka"/>
    <w:uiPriority w:val="99"/>
    <w:semiHidden/>
    <w:unhideWhenUsed/>
    <w:rsid w:val="00263FD8"/>
    <w:rPr>
      <w:sz w:val="16"/>
      <w:szCs w:val="16"/>
    </w:rPr>
  </w:style>
  <w:style w:type="paragraph" w:customStyle="1" w:styleId="Tekstkomentara1">
    <w:name w:val="Tekst komentara1"/>
    <w:basedOn w:val="Normal"/>
    <w:next w:val="Tekstkomentara"/>
    <w:link w:val="TekstkomentaraChar"/>
    <w:uiPriority w:val="99"/>
    <w:semiHidden/>
    <w:unhideWhenUsed/>
    <w:qFormat/>
    <w:rsid w:val="00263FD8"/>
    <w:pPr>
      <w:spacing w:after="200"/>
    </w:pPr>
    <w:rPr>
      <w:rFonts w:asciiTheme="minorHAnsi" w:eastAsia="Calibri" w:hAnsiTheme="minorHAnsi" w:cstheme="minorBidi"/>
      <w:kern w:val="2"/>
      <w:sz w:val="20"/>
      <w:szCs w:val="20"/>
      <w:lang w:eastAsia="en-US"/>
      <w14:ligatures w14:val="standardContextual"/>
    </w:rPr>
  </w:style>
  <w:style w:type="character" w:customStyle="1" w:styleId="TekstkomentaraChar">
    <w:name w:val="Tekst komentara Char"/>
    <w:basedOn w:val="Zadanifontodlomka"/>
    <w:link w:val="Tekstkomentara1"/>
    <w:uiPriority w:val="99"/>
    <w:semiHidden/>
    <w:rsid w:val="00263FD8"/>
    <w:rPr>
      <w:rFonts w:eastAsia="Calibri"/>
      <w:sz w:val="20"/>
      <w:szCs w:val="20"/>
      <w:lang w:eastAsia="en-US"/>
    </w:rPr>
  </w:style>
  <w:style w:type="paragraph" w:customStyle="1" w:styleId="pt-bodytext-000033">
    <w:name w:val="pt-bodytext-000033"/>
    <w:basedOn w:val="Normal"/>
    <w:uiPriority w:val="99"/>
    <w:qFormat/>
    <w:rsid w:val="00263FD8"/>
    <w:pPr>
      <w:spacing w:before="100" w:beforeAutospacing="1" w:after="100" w:afterAutospacing="1"/>
    </w:pPr>
  </w:style>
  <w:style w:type="character" w:customStyle="1" w:styleId="pt-defaultparagraphfont-000025">
    <w:name w:val="pt-defaultparagraphfont-000025"/>
    <w:basedOn w:val="Zadanifontodlomka"/>
    <w:rsid w:val="00263FD8"/>
  </w:style>
  <w:style w:type="character" w:customStyle="1" w:styleId="pt-defaultparagraphfont-000035">
    <w:name w:val="pt-defaultparagraphfont-000035"/>
    <w:basedOn w:val="Zadanifontodlomka"/>
    <w:rsid w:val="00263FD8"/>
  </w:style>
  <w:style w:type="paragraph" w:customStyle="1" w:styleId="pt-bodytext-000036">
    <w:name w:val="pt-bodytext-000036"/>
    <w:basedOn w:val="Normal"/>
    <w:uiPriority w:val="99"/>
    <w:qFormat/>
    <w:rsid w:val="00263FD8"/>
    <w:pPr>
      <w:spacing w:before="100" w:beforeAutospacing="1" w:after="100" w:afterAutospacing="1"/>
    </w:pPr>
  </w:style>
  <w:style w:type="paragraph" w:customStyle="1" w:styleId="pt-000037">
    <w:name w:val="pt-000037"/>
    <w:basedOn w:val="Normal"/>
    <w:uiPriority w:val="99"/>
    <w:qFormat/>
    <w:rsid w:val="00263FD8"/>
    <w:pPr>
      <w:spacing w:before="100" w:beforeAutospacing="1" w:after="100" w:afterAutospacing="1"/>
    </w:pPr>
  </w:style>
  <w:style w:type="character" w:customStyle="1" w:styleId="pt-000028">
    <w:name w:val="pt-000028"/>
    <w:basedOn w:val="Zadanifontodlomka"/>
    <w:rsid w:val="00263FD8"/>
  </w:style>
  <w:style w:type="character" w:customStyle="1" w:styleId="pt-defaultparagraphfont-000030">
    <w:name w:val="pt-defaultparagraphfont-000030"/>
    <w:basedOn w:val="Zadanifontodlomka"/>
    <w:rsid w:val="00263FD8"/>
  </w:style>
  <w:style w:type="paragraph" w:customStyle="1" w:styleId="pt-bodytext20-000039">
    <w:name w:val="pt-bodytext20-000039"/>
    <w:basedOn w:val="Normal"/>
    <w:uiPriority w:val="99"/>
    <w:qFormat/>
    <w:rsid w:val="00263FD8"/>
    <w:pPr>
      <w:spacing w:before="100" w:beforeAutospacing="1" w:after="100" w:afterAutospacing="1"/>
    </w:pPr>
  </w:style>
  <w:style w:type="character" w:customStyle="1" w:styleId="pt-000031">
    <w:name w:val="pt-000031"/>
    <w:basedOn w:val="Zadanifontodlomka"/>
    <w:rsid w:val="00263FD8"/>
  </w:style>
  <w:style w:type="paragraph" w:customStyle="1" w:styleId="pt-bodytext-000040">
    <w:name w:val="pt-bodytext-000040"/>
    <w:basedOn w:val="Normal"/>
    <w:uiPriority w:val="99"/>
    <w:qFormat/>
    <w:rsid w:val="00263FD8"/>
    <w:pPr>
      <w:spacing w:before="100" w:beforeAutospacing="1" w:after="100" w:afterAutospacing="1"/>
    </w:pPr>
  </w:style>
  <w:style w:type="paragraph" w:customStyle="1" w:styleId="pt-bodytext-000041">
    <w:name w:val="pt-bodytext-000041"/>
    <w:basedOn w:val="Normal"/>
    <w:uiPriority w:val="99"/>
    <w:qFormat/>
    <w:rsid w:val="00263FD8"/>
    <w:pPr>
      <w:spacing w:before="100" w:beforeAutospacing="1" w:after="100" w:afterAutospacing="1"/>
    </w:pPr>
  </w:style>
  <w:style w:type="paragraph" w:customStyle="1" w:styleId="pt-bodytext-000042">
    <w:name w:val="pt-bodytext-000042"/>
    <w:basedOn w:val="Normal"/>
    <w:uiPriority w:val="99"/>
    <w:qFormat/>
    <w:rsid w:val="00263FD8"/>
    <w:pPr>
      <w:spacing w:before="100" w:beforeAutospacing="1" w:after="100" w:afterAutospacing="1"/>
    </w:pPr>
  </w:style>
  <w:style w:type="paragraph" w:customStyle="1" w:styleId="pt-bodytext-000043">
    <w:name w:val="pt-bodytext-000043"/>
    <w:basedOn w:val="Normal"/>
    <w:uiPriority w:val="99"/>
    <w:qFormat/>
    <w:rsid w:val="00263FD8"/>
    <w:pPr>
      <w:spacing w:before="100" w:beforeAutospacing="1" w:after="100" w:afterAutospacing="1"/>
    </w:pPr>
  </w:style>
  <w:style w:type="paragraph" w:customStyle="1" w:styleId="pt-bodytext-000045">
    <w:name w:val="pt-bodytext-000045"/>
    <w:basedOn w:val="Normal"/>
    <w:uiPriority w:val="99"/>
    <w:qFormat/>
    <w:rsid w:val="00263FD8"/>
    <w:pPr>
      <w:spacing w:before="100" w:beforeAutospacing="1" w:after="100" w:afterAutospacing="1"/>
    </w:pPr>
  </w:style>
  <w:style w:type="paragraph" w:customStyle="1" w:styleId="pt-bodytext-000049">
    <w:name w:val="pt-bodytext-000049"/>
    <w:basedOn w:val="Normal"/>
    <w:uiPriority w:val="99"/>
    <w:qFormat/>
    <w:rsid w:val="00263FD8"/>
    <w:pPr>
      <w:spacing w:before="100" w:beforeAutospacing="1" w:after="100" w:afterAutospacing="1"/>
    </w:pPr>
  </w:style>
  <w:style w:type="paragraph" w:customStyle="1" w:styleId="pt-000051">
    <w:name w:val="pt-000051"/>
    <w:basedOn w:val="Normal"/>
    <w:uiPriority w:val="99"/>
    <w:qFormat/>
    <w:rsid w:val="00263FD8"/>
    <w:pPr>
      <w:spacing w:before="100" w:beforeAutospacing="1" w:after="100" w:afterAutospacing="1"/>
    </w:pPr>
  </w:style>
  <w:style w:type="paragraph" w:customStyle="1" w:styleId="pt-bodytext-000052">
    <w:name w:val="pt-bodytext-000052"/>
    <w:basedOn w:val="Normal"/>
    <w:uiPriority w:val="99"/>
    <w:qFormat/>
    <w:rsid w:val="00263FD8"/>
    <w:pPr>
      <w:spacing w:before="100" w:beforeAutospacing="1" w:after="100" w:afterAutospacing="1"/>
    </w:pPr>
  </w:style>
  <w:style w:type="character" w:customStyle="1" w:styleId="pt-heading2char">
    <w:name w:val="pt-heading2char"/>
    <w:basedOn w:val="Zadanifontodlomka"/>
    <w:rsid w:val="00263FD8"/>
  </w:style>
  <w:style w:type="paragraph" w:customStyle="1" w:styleId="pt-000053">
    <w:name w:val="pt-000053"/>
    <w:basedOn w:val="Normal"/>
    <w:uiPriority w:val="99"/>
    <w:qFormat/>
    <w:rsid w:val="00263FD8"/>
    <w:pPr>
      <w:spacing w:before="100" w:beforeAutospacing="1" w:after="100" w:afterAutospacing="1"/>
    </w:pPr>
  </w:style>
  <w:style w:type="character" w:customStyle="1" w:styleId="pt-000054">
    <w:name w:val="pt-000054"/>
    <w:basedOn w:val="Zadanifontodlomka"/>
    <w:rsid w:val="00263FD8"/>
  </w:style>
  <w:style w:type="paragraph" w:customStyle="1" w:styleId="pt-000056">
    <w:name w:val="pt-000056"/>
    <w:basedOn w:val="Normal"/>
    <w:uiPriority w:val="99"/>
    <w:qFormat/>
    <w:rsid w:val="00263FD8"/>
    <w:pPr>
      <w:spacing w:before="100" w:beforeAutospacing="1" w:after="100" w:afterAutospacing="1"/>
    </w:pPr>
  </w:style>
  <w:style w:type="paragraph" w:customStyle="1" w:styleId="pt-bodytext-000057">
    <w:name w:val="pt-bodytext-000057"/>
    <w:basedOn w:val="Normal"/>
    <w:uiPriority w:val="99"/>
    <w:qFormat/>
    <w:rsid w:val="00263FD8"/>
    <w:pPr>
      <w:spacing w:before="100" w:beforeAutospacing="1" w:after="100" w:afterAutospacing="1"/>
    </w:pPr>
  </w:style>
  <w:style w:type="paragraph" w:customStyle="1" w:styleId="pt-000058">
    <w:name w:val="pt-000058"/>
    <w:basedOn w:val="Normal"/>
    <w:uiPriority w:val="99"/>
    <w:qFormat/>
    <w:rsid w:val="00263FD8"/>
    <w:pPr>
      <w:spacing w:before="100" w:beforeAutospacing="1" w:after="100" w:afterAutospacing="1"/>
    </w:pPr>
  </w:style>
  <w:style w:type="paragraph" w:customStyle="1" w:styleId="pt-bodytext20-000059">
    <w:name w:val="pt-bodytext20-000059"/>
    <w:basedOn w:val="Normal"/>
    <w:uiPriority w:val="99"/>
    <w:qFormat/>
    <w:rsid w:val="00263FD8"/>
    <w:pPr>
      <w:spacing w:before="100" w:beforeAutospacing="1" w:after="100" w:afterAutospacing="1"/>
    </w:pPr>
  </w:style>
  <w:style w:type="paragraph" w:customStyle="1" w:styleId="pt-000060">
    <w:name w:val="pt-000060"/>
    <w:basedOn w:val="Normal"/>
    <w:uiPriority w:val="99"/>
    <w:qFormat/>
    <w:rsid w:val="00263FD8"/>
    <w:pPr>
      <w:spacing w:before="100" w:beforeAutospacing="1" w:after="100" w:afterAutospacing="1"/>
    </w:pPr>
  </w:style>
  <w:style w:type="paragraph" w:customStyle="1" w:styleId="pt-000061">
    <w:name w:val="pt-000061"/>
    <w:basedOn w:val="Normal"/>
    <w:uiPriority w:val="99"/>
    <w:qFormat/>
    <w:rsid w:val="00263FD8"/>
    <w:pPr>
      <w:spacing w:before="100" w:beforeAutospacing="1" w:after="100" w:afterAutospacing="1"/>
    </w:pPr>
  </w:style>
  <w:style w:type="paragraph" w:customStyle="1" w:styleId="pt-000062">
    <w:name w:val="pt-000062"/>
    <w:basedOn w:val="Normal"/>
    <w:uiPriority w:val="99"/>
    <w:qFormat/>
    <w:rsid w:val="00263FD8"/>
    <w:pPr>
      <w:spacing w:before="100" w:beforeAutospacing="1" w:after="100" w:afterAutospacing="1"/>
    </w:pPr>
  </w:style>
  <w:style w:type="paragraph" w:customStyle="1" w:styleId="pt-bodytext-000064">
    <w:name w:val="pt-bodytext-000064"/>
    <w:basedOn w:val="Normal"/>
    <w:uiPriority w:val="99"/>
    <w:qFormat/>
    <w:rsid w:val="00263FD8"/>
    <w:pPr>
      <w:spacing w:before="100" w:beforeAutospacing="1" w:after="100" w:afterAutospacing="1"/>
    </w:pPr>
  </w:style>
  <w:style w:type="character" w:customStyle="1" w:styleId="pt-000000">
    <w:name w:val="pt-000000"/>
    <w:basedOn w:val="Zadanifontodlomka"/>
    <w:rsid w:val="00263FD8"/>
  </w:style>
  <w:style w:type="paragraph" w:customStyle="1" w:styleId="pt-000065">
    <w:name w:val="pt-000065"/>
    <w:basedOn w:val="Normal"/>
    <w:uiPriority w:val="99"/>
    <w:qFormat/>
    <w:rsid w:val="00263FD8"/>
    <w:pPr>
      <w:spacing w:before="100" w:beforeAutospacing="1" w:after="100" w:afterAutospacing="1"/>
    </w:pPr>
  </w:style>
  <w:style w:type="paragraph" w:customStyle="1" w:styleId="pt-000067">
    <w:name w:val="pt-000067"/>
    <w:basedOn w:val="Normal"/>
    <w:uiPriority w:val="99"/>
    <w:qFormat/>
    <w:rsid w:val="00263FD8"/>
    <w:pPr>
      <w:spacing w:before="100" w:beforeAutospacing="1" w:after="100" w:afterAutospacing="1"/>
    </w:pPr>
  </w:style>
  <w:style w:type="paragraph" w:customStyle="1" w:styleId="pt-bodytext-000069">
    <w:name w:val="pt-bodytext-000069"/>
    <w:basedOn w:val="Normal"/>
    <w:uiPriority w:val="99"/>
    <w:qFormat/>
    <w:rsid w:val="00263FD8"/>
    <w:pPr>
      <w:spacing w:before="100" w:beforeAutospacing="1" w:after="100" w:afterAutospacing="1"/>
    </w:pPr>
  </w:style>
  <w:style w:type="paragraph" w:customStyle="1" w:styleId="pt-bodytext-000070">
    <w:name w:val="pt-bodytext-000070"/>
    <w:basedOn w:val="Normal"/>
    <w:uiPriority w:val="99"/>
    <w:qFormat/>
    <w:rsid w:val="00263FD8"/>
    <w:pPr>
      <w:spacing w:before="100" w:beforeAutospacing="1" w:after="100" w:afterAutospacing="1"/>
    </w:pPr>
  </w:style>
  <w:style w:type="paragraph" w:customStyle="1" w:styleId="pt-000071">
    <w:name w:val="pt-000071"/>
    <w:basedOn w:val="Normal"/>
    <w:uiPriority w:val="99"/>
    <w:qFormat/>
    <w:rsid w:val="00263FD8"/>
    <w:pPr>
      <w:spacing w:before="100" w:beforeAutospacing="1" w:after="100" w:afterAutospacing="1"/>
    </w:pPr>
  </w:style>
  <w:style w:type="paragraph" w:customStyle="1" w:styleId="pt-000072">
    <w:name w:val="pt-000072"/>
    <w:basedOn w:val="Normal"/>
    <w:uiPriority w:val="99"/>
    <w:qFormat/>
    <w:rsid w:val="00263FD8"/>
    <w:pPr>
      <w:spacing w:before="100" w:beforeAutospacing="1" w:after="100" w:afterAutospacing="1"/>
    </w:pPr>
  </w:style>
  <w:style w:type="paragraph" w:customStyle="1" w:styleId="pt-000073">
    <w:name w:val="pt-000073"/>
    <w:basedOn w:val="Normal"/>
    <w:uiPriority w:val="99"/>
    <w:qFormat/>
    <w:rsid w:val="00263FD8"/>
    <w:pPr>
      <w:spacing w:before="100" w:beforeAutospacing="1" w:after="100" w:afterAutospacing="1"/>
    </w:pPr>
  </w:style>
  <w:style w:type="paragraph" w:customStyle="1" w:styleId="pt-bodytext-000074">
    <w:name w:val="pt-bodytext-000074"/>
    <w:basedOn w:val="Normal"/>
    <w:uiPriority w:val="99"/>
    <w:qFormat/>
    <w:rsid w:val="00263FD8"/>
    <w:pPr>
      <w:spacing w:before="100" w:beforeAutospacing="1" w:after="100" w:afterAutospacing="1"/>
    </w:pPr>
  </w:style>
  <w:style w:type="paragraph" w:customStyle="1" w:styleId="pt-bodytext-000075">
    <w:name w:val="pt-bodytext-000075"/>
    <w:basedOn w:val="Normal"/>
    <w:uiPriority w:val="99"/>
    <w:qFormat/>
    <w:rsid w:val="00263FD8"/>
    <w:pPr>
      <w:spacing w:before="100" w:beforeAutospacing="1" w:after="100" w:afterAutospacing="1"/>
    </w:pPr>
  </w:style>
  <w:style w:type="paragraph" w:customStyle="1" w:styleId="pt-bodytext-000076">
    <w:name w:val="pt-bodytext-000076"/>
    <w:basedOn w:val="Normal"/>
    <w:uiPriority w:val="99"/>
    <w:qFormat/>
    <w:rsid w:val="00263FD8"/>
    <w:pPr>
      <w:spacing w:before="100" w:beforeAutospacing="1" w:after="100" w:afterAutospacing="1"/>
    </w:pPr>
  </w:style>
  <w:style w:type="paragraph" w:customStyle="1" w:styleId="pt-bodytext-000077">
    <w:name w:val="pt-bodytext-000077"/>
    <w:basedOn w:val="Normal"/>
    <w:uiPriority w:val="99"/>
    <w:qFormat/>
    <w:rsid w:val="00263FD8"/>
    <w:pPr>
      <w:spacing w:before="100" w:beforeAutospacing="1" w:after="100" w:afterAutospacing="1"/>
    </w:pPr>
  </w:style>
  <w:style w:type="paragraph" w:customStyle="1" w:styleId="pt-000078">
    <w:name w:val="pt-000078"/>
    <w:basedOn w:val="Normal"/>
    <w:uiPriority w:val="99"/>
    <w:qFormat/>
    <w:rsid w:val="00263FD8"/>
    <w:pPr>
      <w:spacing w:before="100" w:beforeAutospacing="1" w:after="100" w:afterAutospacing="1"/>
    </w:pPr>
  </w:style>
  <w:style w:type="paragraph" w:customStyle="1" w:styleId="pt-bodytext-000079">
    <w:name w:val="pt-bodytext-000079"/>
    <w:basedOn w:val="Normal"/>
    <w:uiPriority w:val="99"/>
    <w:qFormat/>
    <w:rsid w:val="00263FD8"/>
    <w:pPr>
      <w:spacing w:before="100" w:beforeAutospacing="1" w:after="100" w:afterAutospacing="1"/>
    </w:pPr>
  </w:style>
  <w:style w:type="paragraph" w:customStyle="1" w:styleId="pt-bodytext-000080">
    <w:name w:val="pt-bodytext-000080"/>
    <w:basedOn w:val="Normal"/>
    <w:uiPriority w:val="99"/>
    <w:qFormat/>
    <w:rsid w:val="00263FD8"/>
    <w:pPr>
      <w:spacing w:before="100" w:beforeAutospacing="1" w:after="100" w:afterAutospacing="1"/>
    </w:pPr>
  </w:style>
  <w:style w:type="paragraph" w:customStyle="1" w:styleId="pt-bodytext-000081">
    <w:name w:val="pt-bodytext-000081"/>
    <w:basedOn w:val="Normal"/>
    <w:uiPriority w:val="99"/>
    <w:qFormat/>
    <w:rsid w:val="00263FD8"/>
    <w:pPr>
      <w:spacing w:before="100" w:beforeAutospacing="1" w:after="100" w:afterAutospacing="1"/>
    </w:pPr>
  </w:style>
  <w:style w:type="paragraph" w:customStyle="1" w:styleId="pt-bodytext-000082">
    <w:name w:val="pt-bodytext-000082"/>
    <w:basedOn w:val="Normal"/>
    <w:uiPriority w:val="99"/>
    <w:qFormat/>
    <w:rsid w:val="00263FD8"/>
    <w:pPr>
      <w:spacing w:before="100" w:beforeAutospacing="1" w:after="100" w:afterAutospacing="1"/>
    </w:pPr>
  </w:style>
  <w:style w:type="paragraph" w:customStyle="1" w:styleId="pt-other0-000086">
    <w:name w:val="pt-other0-000086"/>
    <w:basedOn w:val="Normal"/>
    <w:uiPriority w:val="99"/>
    <w:qFormat/>
    <w:rsid w:val="00263FD8"/>
    <w:pPr>
      <w:spacing w:before="100" w:beforeAutospacing="1" w:after="100" w:afterAutospacing="1"/>
    </w:pPr>
  </w:style>
  <w:style w:type="character" w:customStyle="1" w:styleId="pt-defaultparagraphfont-000087">
    <w:name w:val="pt-defaultparagraphfont-000087"/>
    <w:basedOn w:val="Zadanifontodlomka"/>
    <w:rsid w:val="00263FD8"/>
  </w:style>
  <w:style w:type="paragraph" w:customStyle="1" w:styleId="pt-bodytext20-000032">
    <w:name w:val="pt-bodytext20-000032"/>
    <w:basedOn w:val="Normal"/>
    <w:uiPriority w:val="99"/>
    <w:qFormat/>
    <w:rsid w:val="00263FD8"/>
    <w:pPr>
      <w:spacing w:before="100" w:beforeAutospacing="1" w:after="100" w:afterAutospacing="1"/>
    </w:pPr>
  </w:style>
  <w:style w:type="character" w:customStyle="1" w:styleId="OdlomakpopisaChar">
    <w:name w:val="Odlomak popisa Char"/>
    <w:link w:val="Odlomakpopisa"/>
    <w:uiPriority w:val="34"/>
    <w:locked/>
    <w:rsid w:val="00263FD8"/>
    <w:rPr>
      <w:rFonts w:ascii="Times New Roman" w:eastAsia="Times New Roman" w:hAnsi="Times New Roman" w:cs="Times New Roman"/>
      <w:kern w:val="0"/>
      <w:sz w:val="20"/>
      <w:szCs w:val="20"/>
      <w:lang w:val="en-GB" w:eastAsia="hr-HR"/>
      <w14:ligatures w14:val="none"/>
    </w:rPr>
  </w:style>
  <w:style w:type="table" w:customStyle="1" w:styleId="Reetkatablice14">
    <w:name w:val="Rešetka tablice14"/>
    <w:basedOn w:val="Obinatablica"/>
    <w:next w:val="Reetkatablice"/>
    <w:uiPriority w:val="59"/>
    <w:rsid w:val="00263FD8"/>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63FD8"/>
    <w:pPr>
      <w:widowControl w:val="0"/>
      <w:autoSpaceDE w:val="0"/>
      <w:autoSpaceDN w:val="0"/>
    </w:pPr>
    <w:rPr>
      <w:rFonts w:ascii="Georgia" w:eastAsia="Georgia" w:hAnsi="Georgia" w:cs="Georgia"/>
      <w:sz w:val="22"/>
      <w:szCs w:val="22"/>
      <w:lang w:bidi="hr-HR"/>
    </w:rPr>
  </w:style>
  <w:style w:type="paragraph" w:customStyle="1" w:styleId="Predmetkomentara1">
    <w:name w:val="Predmet komentara1"/>
    <w:basedOn w:val="Tekstkomentara"/>
    <w:next w:val="Tekstkomentara"/>
    <w:uiPriority w:val="99"/>
    <w:semiHidden/>
    <w:unhideWhenUsed/>
    <w:qFormat/>
    <w:rsid w:val="00263FD8"/>
    <w:pPr>
      <w:spacing w:after="200"/>
    </w:pPr>
    <w:rPr>
      <w:rFonts w:ascii="Calibri" w:hAnsi="Calibri"/>
      <w:b/>
      <w:bCs/>
    </w:rPr>
  </w:style>
  <w:style w:type="character" w:customStyle="1" w:styleId="PredmetkomentaraChar">
    <w:name w:val="Predmet komentara Char"/>
    <w:basedOn w:val="TekstkomentaraChar"/>
    <w:link w:val="Predmetkomentara"/>
    <w:uiPriority w:val="99"/>
    <w:semiHidden/>
    <w:rsid w:val="00263FD8"/>
    <w:rPr>
      <w:rFonts w:eastAsia="Calibri"/>
      <w:b/>
      <w:bCs/>
      <w:sz w:val="20"/>
      <w:szCs w:val="20"/>
      <w:lang w:eastAsia="en-US"/>
    </w:rPr>
  </w:style>
  <w:style w:type="character" w:styleId="Tekstrezerviranogmjesta">
    <w:name w:val="Placeholder Text"/>
    <w:basedOn w:val="Zadanifontodlomka"/>
    <w:uiPriority w:val="99"/>
    <w:semiHidden/>
    <w:rsid w:val="00263FD8"/>
    <w:rPr>
      <w:color w:val="808080"/>
    </w:rPr>
  </w:style>
  <w:style w:type="character" w:customStyle="1" w:styleId="Nerijeenospominjanje1">
    <w:name w:val="Neriješeno spominjanje1"/>
    <w:basedOn w:val="Zadanifontodlomka"/>
    <w:uiPriority w:val="99"/>
    <w:semiHidden/>
    <w:unhideWhenUsed/>
    <w:rsid w:val="00263FD8"/>
    <w:rPr>
      <w:color w:val="605E5C"/>
      <w:shd w:val="clear" w:color="auto" w:fill="E1DFDD"/>
    </w:rPr>
  </w:style>
  <w:style w:type="character" w:customStyle="1" w:styleId="highlight">
    <w:name w:val="highlight"/>
    <w:basedOn w:val="Zadanifontodlomka"/>
    <w:rsid w:val="00263FD8"/>
  </w:style>
  <w:style w:type="table" w:customStyle="1" w:styleId="Reetkatablice8">
    <w:name w:val="Rešetka tablice8"/>
    <w:basedOn w:val="Obinatablica"/>
    <w:next w:val="Reetkatablice"/>
    <w:uiPriority w:val="59"/>
    <w:rsid w:val="00263FD8"/>
    <w:pPr>
      <w:spacing w:after="0" w:line="240" w:lineRule="auto"/>
    </w:pPr>
    <w:rPr>
      <w:rFonts w:eastAsia="Times New Roman"/>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263FD8"/>
    <w:rPr>
      <w:color w:val="605E5C"/>
      <w:shd w:val="clear" w:color="auto" w:fill="E1DFDD"/>
    </w:rPr>
  </w:style>
  <w:style w:type="table" w:customStyle="1" w:styleId="Reetkatablice9">
    <w:name w:val="Rešetka tablice9"/>
    <w:basedOn w:val="Obinatablica"/>
    <w:next w:val="Reetkatablice"/>
    <w:uiPriority w:val="39"/>
    <w:rsid w:val="00263FD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263FD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
    <w:name w:val="Rešetka tablice111"/>
    <w:basedOn w:val="Obinatablica"/>
    <w:next w:val="Reetkatablice"/>
    <w:uiPriority w:val="39"/>
    <w:rsid w:val="00263FD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39"/>
    <w:locked/>
    <w:rsid w:val="00263FD8"/>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
    <w:name w:val="Bez popisa11"/>
    <w:next w:val="Bezpopisa"/>
    <w:uiPriority w:val="99"/>
    <w:semiHidden/>
    <w:unhideWhenUsed/>
    <w:rsid w:val="00263FD8"/>
  </w:style>
  <w:style w:type="paragraph" w:customStyle="1" w:styleId="msonormal0">
    <w:name w:val="msonormal"/>
    <w:basedOn w:val="Normal"/>
    <w:uiPriority w:val="99"/>
    <w:qFormat/>
    <w:rsid w:val="00263FD8"/>
    <w:pPr>
      <w:spacing w:before="100" w:beforeAutospacing="1" w:after="100" w:afterAutospacing="1"/>
    </w:pPr>
  </w:style>
  <w:style w:type="paragraph" w:customStyle="1" w:styleId="Odlomakpopisa1">
    <w:name w:val="Odlomak popisa1"/>
    <w:basedOn w:val="Normal"/>
    <w:uiPriority w:val="99"/>
    <w:qFormat/>
    <w:rsid w:val="00263FD8"/>
    <w:pPr>
      <w:spacing w:after="200" w:line="276" w:lineRule="auto"/>
      <w:ind w:left="720"/>
      <w:contextualSpacing/>
    </w:pPr>
    <w:rPr>
      <w:rFonts w:ascii="Calibri" w:hAnsi="Calibri"/>
      <w:sz w:val="22"/>
      <w:szCs w:val="22"/>
    </w:rPr>
  </w:style>
  <w:style w:type="table" w:customStyle="1" w:styleId="Reetkatablice13">
    <w:name w:val="Rešetka tablice13"/>
    <w:basedOn w:val="Obinatablica"/>
    <w:next w:val="Reetkatablice"/>
    <w:uiPriority w:val="39"/>
    <w:rsid w:val="00263FD8"/>
    <w:pPr>
      <w:spacing w:after="0" w:line="240" w:lineRule="auto"/>
    </w:pPr>
    <w:rPr>
      <w:rFonts w:ascii="Calibri" w:eastAsia="Times New Roman" w:hAnsi="Calibri" w:cs="Times New Roman"/>
      <w:kern w:val="0"/>
      <w:lang w:eastAsia="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uiPriority w:val="59"/>
    <w:rsid w:val="00263FD8"/>
    <w:pPr>
      <w:spacing w:after="0" w:line="240" w:lineRule="auto"/>
    </w:pPr>
    <w:rPr>
      <w:rFonts w:ascii="Calibri" w:eastAsia="Times New Roman" w:hAnsi="Calibri" w:cs="Times New Roman"/>
      <w:kern w:val="0"/>
      <w:lang w:eastAsia="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1">
    <w:name w:val="Rešetka tablice211"/>
    <w:basedOn w:val="Obinatablica"/>
    <w:uiPriority w:val="59"/>
    <w:rsid w:val="00263FD8"/>
    <w:pPr>
      <w:spacing w:after="0" w:line="240" w:lineRule="auto"/>
    </w:pPr>
    <w:rPr>
      <w:rFonts w:ascii="Calibri" w:eastAsia="Times New Roman" w:hAnsi="Calibri" w:cs="Times New Roman"/>
      <w:kern w:val="0"/>
      <w:lang w:eastAsia="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11">
    <w:name w:val="Rešetka tablice311"/>
    <w:basedOn w:val="Obinatablica"/>
    <w:uiPriority w:val="59"/>
    <w:rsid w:val="00263FD8"/>
    <w:pPr>
      <w:spacing w:after="0" w:line="240" w:lineRule="auto"/>
    </w:pPr>
    <w:rPr>
      <w:rFonts w:ascii="Calibri" w:eastAsia="Times New Roman" w:hAnsi="Calibri" w:cs="Times New Roman"/>
      <w:kern w:val="0"/>
      <w:lang w:eastAsia="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uiPriority w:val="59"/>
    <w:rsid w:val="00263FD8"/>
    <w:pPr>
      <w:spacing w:after="0" w:line="240" w:lineRule="auto"/>
    </w:pPr>
    <w:rPr>
      <w:rFonts w:ascii="Calibri" w:eastAsia="Times New Roman" w:hAnsi="Calibri" w:cs="Times New Roman"/>
      <w:kern w:val="0"/>
      <w:lang w:eastAsia="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1">
    <w:name w:val="Rešetka tablice51"/>
    <w:basedOn w:val="Obinatablica"/>
    <w:uiPriority w:val="59"/>
    <w:rsid w:val="00263FD8"/>
    <w:pPr>
      <w:spacing w:after="0" w:line="240" w:lineRule="auto"/>
    </w:pPr>
    <w:rPr>
      <w:rFonts w:ascii="Calibri" w:eastAsia="Times New Roman" w:hAnsi="Calibri" w:cs="Times New Roman"/>
      <w:kern w:val="0"/>
      <w:lang w:eastAsia="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1">
    <w:name w:val="Rešetka tablice61"/>
    <w:basedOn w:val="Obinatablica"/>
    <w:uiPriority w:val="59"/>
    <w:rsid w:val="00263FD8"/>
    <w:pPr>
      <w:spacing w:after="0" w:line="240" w:lineRule="auto"/>
    </w:pPr>
    <w:rPr>
      <w:rFonts w:ascii="Calibri" w:eastAsia="Times New Roman" w:hAnsi="Calibri" w:cs="Times New Roman"/>
      <w:kern w:val="0"/>
      <w:lang w:eastAsia="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
    <w:name w:val="Rešetka tablice71"/>
    <w:basedOn w:val="Obinatablica"/>
    <w:uiPriority w:val="59"/>
    <w:rsid w:val="00263FD8"/>
    <w:pPr>
      <w:spacing w:after="0" w:line="240" w:lineRule="auto"/>
    </w:pPr>
    <w:rPr>
      <w:rFonts w:ascii="Calibri" w:eastAsia="Times New Roman" w:hAnsi="Calibri" w:cs="Times New Roman"/>
      <w:kern w:val="0"/>
      <w:lang w:eastAsia="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1">
    <w:name w:val="Rešetka tablice81"/>
    <w:basedOn w:val="Obinatablica"/>
    <w:uiPriority w:val="59"/>
    <w:rsid w:val="00263FD8"/>
    <w:pPr>
      <w:spacing w:after="0" w:line="240" w:lineRule="auto"/>
    </w:pPr>
    <w:rPr>
      <w:rFonts w:ascii="Calibri" w:eastAsia="Times New Roman" w:hAnsi="Calibri" w:cs="Times New Roman"/>
      <w:kern w:val="0"/>
      <w:lang w:eastAsia="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1">
    <w:name w:val="Rešetka tablice91"/>
    <w:basedOn w:val="Obinatablica"/>
    <w:uiPriority w:val="39"/>
    <w:rsid w:val="00263FD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
    <w:name w:val="Rešetka tablice101"/>
    <w:basedOn w:val="Obinatablica"/>
    <w:uiPriority w:val="39"/>
    <w:rsid w:val="00263FD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
    <w:name w:val="Rešetka tablice1111"/>
    <w:basedOn w:val="Obinatablica"/>
    <w:uiPriority w:val="39"/>
    <w:rsid w:val="00263FD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Obinatablica"/>
    <w:uiPriority w:val="39"/>
    <w:locked/>
    <w:rsid w:val="00263FD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263FD8"/>
    <w:rPr>
      <w:color w:val="954F72" w:themeColor="followedHyperlink"/>
      <w:u w:val="single"/>
    </w:rPr>
  </w:style>
  <w:style w:type="character" w:customStyle="1" w:styleId="Naslov3Char1">
    <w:name w:val="Naslov 3 Char1"/>
    <w:basedOn w:val="Zadanifontodlomka"/>
    <w:uiPriority w:val="9"/>
    <w:semiHidden/>
    <w:rsid w:val="00263FD8"/>
    <w:rPr>
      <w:rFonts w:asciiTheme="majorHAnsi" w:eastAsiaTheme="majorEastAsia" w:hAnsiTheme="majorHAnsi" w:cstheme="majorBidi"/>
      <w:color w:val="1F3763" w:themeColor="accent1" w:themeShade="7F"/>
      <w:kern w:val="0"/>
      <w:sz w:val="24"/>
      <w:szCs w:val="24"/>
      <w:lang w:eastAsia="hr-HR"/>
      <w14:ligatures w14:val="none"/>
    </w:rPr>
  </w:style>
  <w:style w:type="paragraph" w:styleId="Tekstkomentara">
    <w:name w:val="annotation text"/>
    <w:basedOn w:val="Normal"/>
    <w:link w:val="TekstkomentaraChar1"/>
    <w:uiPriority w:val="99"/>
    <w:semiHidden/>
    <w:unhideWhenUsed/>
    <w:rsid w:val="00263FD8"/>
    <w:rPr>
      <w:sz w:val="20"/>
      <w:szCs w:val="20"/>
    </w:rPr>
  </w:style>
  <w:style w:type="character" w:customStyle="1" w:styleId="TekstkomentaraChar1">
    <w:name w:val="Tekst komentara Char1"/>
    <w:basedOn w:val="Zadanifontodlomka"/>
    <w:link w:val="Tekstkomentara"/>
    <w:uiPriority w:val="99"/>
    <w:semiHidden/>
    <w:rsid w:val="00263FD8"/>
    <w:rPr>
      <w:rFonts w:ascii="Times New Roman" w:eastAsia="Times New Roman" w:hAnsi="Times New Roman" w:cs="Times New Roman"/>
      <w:kern w:val="0"/>
      <w:sz w:val="20"/>
      <w:szCs w:val="20"/>
      <w:lang w:eastAsia="hr-HR"/>
      <w14:ligatures w14:val="none"/>
    </w:rPr>
  </w:style>
  <w:style w:type="paragraph" w:styleId="Predmetkomentara">
    <w:name w:val="annotation subject"/>
    <w:basedOn w:val="Tekstkomentara"/>
    <w:next w:val="Tekstkomentara"/>
    <w:link w:val="PredmetkomentaraChar"/>
    <w:uiPriority w:val="99"/>
    <w:semiHidden/>
    <w:unhideWhenUsed/>
    <w:rsid w:val="00263FD8"/>
    <w:rPr>
      <w:rFonts w:asciiTheme="minorHAnsi" w:eastAsia="Calibri" w:hAnsiTheme="minorHAnsi" w:cstheme="minorBidi"/>
      <w:b/>
      <w:bCs/>
      <w:kern w:val="2"/>
      <w:lang w:eastAsia="en-US"/>
      <w14:ligatures w14:val="standardContextual"/>
    </w:rPr>
  </w:style>
  <w:style w:type="character" w:customStyle="1" w:styleId="PredmetkomentaraChar1">
    <w:name w:val="Predmet komentara Char1"/>
    <w:basedOn w:val="TekstkomentaraChar1"/>
    <w:uiPriority w:val="99"/>
    <w:semiHidden/>
    <w:rsid w:val="00263FD8"/>
    <w:rPr>
      <w:rFonts w:ascii="Times New Roman" w:eastAsia="Times New Roman" w:hAnsi="Times New Roman" w:cs="Times New Roman"/>
      <w:b/>
      <w:bCs/>
      <w:kern w:val="0"/>
      <w:sz w:val="20"/>
      <w:szCs w:val="20"/>
      <w:lang w:eastAsia="hr-HR"/>
      <w14:ligatures w14:val="none"/>
    </w:rPr>
  </w:style>
  <w:style w:type="table" w:customStyle="1" w:styleId="Reetkatablice22">
    <w:name w:val="Rešetka tablice22"/>
    <w:basedOn w:val="Obinatablica"/>
    <w:next w:val="Reetkatablice"/>
    <w:uiPriority w:val="39"/>
    <w:rsid w:val="00C94AF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4">
    <w:name w:val="Bez popisa4"/>
    <w:next w:val="Bezpopisa"/>
    <w:uiPriority w:val="99"/>
    <w:semiHidden/>
    <w:unhideWhenUsed/>
    <w:rsid w:val="000363A1"/>
  </w:style>
  <w:style w:type="table" w:customStyle="1" w:styleId="Reetkatablice16">
    <w:name w:val="Rešetka tablice16"/>
    <w:basedOn w:val="Obinatablica"/>
    <w:next w:val="Reetkatablice"/>
    <w:uiPriority w:val="39"/>
    <w:locked/>
    <w:rsid w:val="007B3E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5">
    <w:name w:val="Bez popisa5"/>
    <w:next w:val="Bezpopisa"/>
    <w:uiPriority w:val="99"/>
    <w:semiHidden/>
    <w:unhideWhenUsed/>
    <w:rsid w:val="007B3E41"/>
  </w:style>
  <w:style w:type="character" w:styleId="Brojstranice">
    <w:name w:val="page number"/>
    <w:basedOn w:val="Zadanifontodlomka"/>
    <w:rsid w:val="007B3E41"/>
  </w:style>
  <w:style w:type="character" w:customStyle="1" w:styleId="WW8Num1z0">
    <w:name w:val="WW8Num1z0"/>
    <w:rsid w:val="007B3E41"/>
    <w:rPr>
      <w:rFonts w:hint="default"/>
    </w:rPr>
  </w:style>
  <w:style w:type="character" w:customStyle="1" w:styleId="WW8Num2z0">
    <w:name w:val="WW8Num2z0"/>
    <w:rsid w:val="007B3E41"/>
    <w:rPr>
      <w:rFonts w:hint="default"/>
    </w:rPr>
  </w:style>
  <w:style w:type="character" w:customStyle="1" w:styleId="WW8Num3z0">
    <w:name w:val="WW8Num3z0"/>
    <w:rsid w:val="007B3E41"/>
    <w:rPr>
      <w:rFonts w:hint="default"/>
    </w:rPr>
  </w:style>
  <w:style w:type="character" w:customStyle="1" w:styleId="WW8Num4z0">
    <w:name w:val="WW8Num4z0"/>
    <w:rsid w:val="007B3E41"/>
    <w:rPr>
      <w:rFonts w:hint="default"/>
    </w:rPr>
  </w:style>
  <w:style w:type="character" w:customStyle="1" w:styleId="WW8Num5z0">
    <w:name w:val="WW8Num5z0"/>
    <w:rsid w:val="007B3E41"/>
    <w:rPr>
      <w:rFonts w:hint="default"/>
    </w:rPr>
  </w:style>
  <w:style w:type="character" w:customStyle="1" w:styleId="WW8Num5z1">
    <w:name w:val="WW8Num5z1"/>
    <w:rsid w:val="007B3E41"/>
  </w:style>
  <w:style w:type="character" w:customStyle="1" w:styleId="WW8Num5z2">
    <w:name w:val="WW8Num5z2"/>
    <w:rsid w:val="007B3E41"/>
  </w:style>
  <w:style w:type="character" w:customStyle="1" w:styleId="WW8Num5z3">
    <w:name w:val="WW8Num5z3"/>
    <w:rsid w:val="007B3E41"/>
  </w:style>
  <w:style w:type="character" w:customStyle="1" w:styleId="WW8Num5z4">
    <w:name w:val="WW8Num5z4"/>
    <w:rsid w:val="007B3E41"/>
  </w:style>
  <w:style w:type="character" w:customStyle="1" w:styleId="WW8Num5z5">
    <w:name w:val="WW8Num5z5"/>
    <w:rsid w:val="007B3E41"/>
  </w:style>
  <w:style w:type="character" w:customStyle="1" w:styleId="WW8Num5z6">
    <w:name w:val="WW8Num5z6"/>
    <w:rsid w:val="007B3E41"/>
  </w:style>
  <w:style w:type="character" w:customStyle="1" w:styleId="WW8Num5z7">
    <w:name w:val="WW8Num5z7"/>
    <w:rsid w:val="007B3E41"/>
  </w:style>
  <w:style w:type="character" w:customStyle="1" w:styleId="WW8Num5z8">
    <w:name w:val="WW8Num5z8"/>
    <w:rsid w:val="007B3E41"/>
  </w:style>
  <w:style w:type="character" w:customStyle="1" w:styleId="WW8Num6z0">
    <w:name w:val="WW8Num6z0"/>
    <w:rsid w:val="007B3E41"/>
    <w:rPr>
      <w:rFonts w:hint="default"/>
    </w:rPr>
  </w:style>
  <w:style w:type="character" w:customStyle="1" w:styleId="WW8Num7z0">
    <w:name w:val="WW8Num7z0"/>
    <w:rsid w:val="007B3E41"/>
    <w:rPr>
      <w:rFonts w:hint="default"/>
    </w:rPr>
  </w:style>
  <w:style w:type="character" w:customStyle="1" w:styleId="WW8Num8z0">
    <w:name w:val="WW8Num8z0"/>
    <w:rsid w:val="007B3E41"/>
    <w:rPr>
      <w:rFonts w:hint="default"/>
    </w:rPr>
  </w:style>
  <w:style w:type="character" w:customStyle="1" w:styleId="WW8Num9z0">
    <w:name w:val="WW8Num9z0"/>
    <w:rsid w:val="007B3E41"/>
    <w:rPr>
      <w:rFonts w:hint="default"/>
    </w:rPr>
  </w:style>
  <w:style w:type="character" w:customStyle="1" w:styleId="WW8Num10z0">
    <w:name w:val="WW8Num10z0"/>
    <w:rsid w:val="007B3E41"/>
    <w:rPr>
      <w:rFonts w:hint="default"/>
    </w:rPr>
  </w:style>
  <w:style w:type="character" w:customStyle="1" w:styleId="WW8Num11z0">
    <w:name w:val="WW8Num11z0"/>
    <w:rsid w:val="007B3E41"/>
    <w:rPr>
      <w:rFonts w:hint="default"/>
    </w:rPr>
  </w:style>
  <w:style w:type="character" w:customStyle="1" w:styleId="WW8Num12z0">
    <w:name w:val="WW8Num12z0"/>
    <w:rsid w:val="007B3E41"/>
    <w:rPr>
      <w:rFonts w:hint="default"/>
    </w:rPr>
  </w:style>
  <w:style w:type="character" w:customStyle="1" w:styleId="WW8Num13z0">
    <w:name w:val="WW8Num13z0"/>
    <w:rsid w:val="007B3E41"/>
    <w:rPr>
      <w:rFonts w:hint="default"/>
    </w:rPr>
  </w:style>
  <w:style w:type="character" w:customStyle="1" w:styleId="WW8Num14z0">
    <w:name w:val="WW8Num14z0"/>
    <w:rsid w:val="007B3E41"/>
    <w:rPr>
      <w:rFonts w:hint="default"/>
    </w:rPr>
  </w:style>
  <w:style w:type="character" w:customStyle="1" w:styleId="WW8Num15z0">
    <w:name w:val="WW8Num15z0"/>
    <w:rsid w:val="007B3E41"/>
    <w:rPr>
      <w:rFonts w:hint="default"/>
    </w:rPr>
  </w:style>
  <w:style w:type="character" w:customStyle="1" w:styleId="WW8Num16z0">
    <w:name w:val="WW8Num16z0"/>
    <w:rsid w:val="007B3E41"/>
    <w:rPr>
      <w:rFonts w:hint="default"/>
      <w:sz w:val="24"/>
      <w:lang w:val="hr-HR"/>
    </w:rPr>
  </w:style>
  <w:style w:type="character" w:customStyle="1" w:styleId="WW8Num17z0">
    <w:name w:val="WW8Num17z0"/>
    <w:rsid w:val="007B3E41"/>
    <w:rPr>
      <w:rFonts w:hint="default"/>
    </w:rPr>
  </w:style>
  <w:style w:type="character" w:customStyle="1" w:styleId="WW8Num18z0">
    <w:name w:val="WW8Num18z0"/>
    <w:rsid w:val="007B3E41"/>
    <w:rPr>
      <w:rFonts w:hint="default"/>
    </w:rPr>
  </w:style>
  <w:style w:type="character" w:customStyle="1" w:styleId="WW8Num19z0">
    <w:name w:val="WW8Num19z0"/>
    <w:rsid w:val="007B3E41"/>
    <w:rPr>
      <w:rFonts w:hint="default"/>
    </w:rPr>
  </w:style>
  <w:style w:type="character" w:customStyle="1" w:styleId="WW8Num20z0">
    <w:name w:val="WW8Num20z0"/>
    <w:rsid w:val="007B3E41"/>
    <w:rPr>
      <w:rFonts w:hint="default"/>
    </w:rPr>
  </w:style>
  <w:style w:type="character" w:customStyle="1" w:styleId="WW8Num21z0">
    <w:name w:val="WW8Num21z0"/>
    <w:rsid w:val="007B3E41"/>
    <w:rPr>
      <w:rFonts w:hint="default"/>
    </w:rPr>
  </w:style>
  <w:style w:type="character" w:customStyle="1" w:styleId="WW8Num22z0">
    <w:name w:val="WW8Num22z0"/>
    <w:rsid w:val="007B3E41"/>
    <w:rPr>
      <w:rFonts w:hint="default"/>
    </w:rPr>
  </w:style>
  <w:style w:type="character" w:customStyle="1" w:styleId="WW8Num23z0">
    <w:name w:val="WW8Num23z0"/>
    <w:rsid w:val="007B3E41"/>
    <w:rPr>
      <w:rFonts w:hint="default"/>
      <w:u w:val="none"/>
    </w:rPr>
  </w:style>
  <w:style w:type="character" w:customStyle="1" w:styleId="WW8Num24z0">
    <w:name w:val="WW8Num24z0"/>
    <w:rsid w:val="007B3E41"/>
    <w:rPr>
      <w:rFonts w:hint="default"/>
    </w:rPr>
  </w:style>
  <w:style w:type="character" w:customStyle="1" w:styleId="WW8Num25z0">
    <w:name w:val="WW8Num25z0"/>
    <w:rsid w:val="007B3E41"/>
    <w:rPr>
      <w:rFonts w:hint="default"/>
      <w:sz w:val="24"/>
      <w:lang w:val="hr-HR" w:eastAsia="en-US"/>
    </w:rPr>
  </w:style>
  <w:style w:type="character" w:customStyle="1" w:styleId="WW8Num26z0">
    <w:name w:val="WW8Num26z0"/>
    <w:rsid w:val="007B3E41"/>
    <w:rPr>
      <w:rFonts w:hint="default"/>
    </w:rPr>
  </w:style>
  <w:style w:type="character" w:customStyle="1" w:styleId="WW8Num26z1">
    <w:name w:val="WW8Num26z1"/>
    <w:rsid w:val="007B3E41"/>
  </w:style>
  <w:style w:type="character" w:customStyle="1" w:styleId="WW8Num26z2">
    <w:name w:val="WW8Num26z2"/>
    <w:rsid w:val="007B3E41"/>
  </w:style>
  <w:style w:type="character" w:customStyle="1" w:styleId="WW8Num26z3">
    <w:name w:val="WW8Num26z3"/>
    <w:rsid w:val="007B3E41"/>
  </w:style>
  <w:style w:type="character" w:customStyle="1" w:styleId="WW8Num26z4">
    <w:name w:val="WW8Num26z4"/>
    <w:rsid w:val="007B3E41"/>
  </w:style>
  <w:style w:type="character" w:customStyle="1" w:styleId="WW8Num26z5">
    <w:name w:val="WW8Num26z5"/>
    <w:rsid w:val="007B3E41"/>
  </w:style>
  <w:style w:type="character" w:customStyle="1" w:styleId="WW8Num26z6">
    <w:name w:val="WW8Num26z6"/>
    <w:rsid w:val="007B3E41"/>
  </w:style>
  <w:style w:type="character" w:customStyle="1" w:styleId="WW8Num26z7">
    <w:name w:val="WW8Num26z7"/>
    <w:rsid w:val="007B3E41"/>
  </w:style>
  <w:style w:type="character" w:customStyle="1" w:styleId="WW8Num26z8">
    <w:name w:val="WW8Num26z8"/>
    <w:rsid w:val="007B3E41"/>
  </w:style>
  <w:style w:type="character" w:customStyle="1" w:styleId="WW8Num27z0">
    <w:name w:val="WW8Num27z0"/>
    <w:rsid w:val="007B3E41"/>
    <w:rPr>
      <w:rFonts w:hint="default"/>
    </w:rPr>
  </w:style>
  <w:style w:type="character" w:customStyle="1" w:styleId="WW8Num28z0">
    <w:name w:val="WW8Num28z0"/>
    <w:rsid w:val="007B3E41"/>
    <w:rPr>
      <w:rFonts w:hint="default"/>
    </w:rPr>
  </w:style>
  <w:style w:type="character" w:customStyle="1" w:styleId="WW8Num29z0">
    <w:name w:val="WW8Num29z0"/>
    <w:rsid w:val="007B3E41"/>
    <w:rPr>
      <w:rFonts w:hint="default"/>
    </w:rPr>
  </w:style>
  <w:style w:type="character" w:customStyle="1" w:styleId="WW8Num30z0">
    <w:name w:val="WW8Num30z0"/>
    <w:rsid w:val="007B3E41"/>
    <w:rPr>
      <w:rFonts w:hint="default"/>
    </w:rPr>
  </w:style>
  <w:style w:type="character" w:customStyle="1" w:styleId="WW8Num30z1">
    <w:name w:val="WW8Num30z1"/>
    <w:rsid w:val="007B3E41"/>
  </w:style>
  <w:style w:type="character" w:customStyle="1" w:styleId="WW8Num30z2">
    <w:name w:val="WW8Num30z2"/>
    <w:rsid w:val="007B3E41"/>
  </w:style>
  <w:style w:type="character" w:customStyle="1" w:styleId="WW8Num30z3">
    <w:name w:val="WW8Num30z3"/>
    <w:rsid w:val="007B3E41"/>
  </w:style>
  <w:style w:type="character" w:customStyle="1" w:styleId="WW8Num30z4">
    <w:name w:val="WW8Num30z4"/>
    <w:rsid w:val="007B3E41"/>
  </w:style>
  <w:style w:type="character" w:customStyle="1" w:styleId="WW8Num30z5">
    <w:name w:val="WW8Num30z5"/>
    <w:rsid w:val="007B3E41"/>
  </w:style>
  <w:style w:type="character" w:customStyle="1" w:styleId="WW8Num30z6">
    <w:name w:val="WW8Num30z6"/>
    <w:rsid w:val="007B3E41"/>
  </w:style>
  <w:style w:type="character" w:customStyle="1" w:styleId="WW8Num30z7">
    <w:name w:val="WW8Num30z7"/>
    <w:rsid w:val="007B3E41"/>
  </w:style>
  <w:style w:type="character" w:customStyle="1" w:styleId="WW8Num30z8">
    <w:name w:val="WW8Num30z8"/>
    <w:rsid w:val="007B3E41"/>
  </w:style>
  <w:style w:type="character" w:customStyle="1" w:styleId="WW8Num31z0">
    <w:name w:val="WW8Num31z0"/>
    <w:rsid w:val="007B3E41"/>
    <w:rPr>
      <w:rFonts w:hint="default"/>
    </w:rPr>
  </w:style>
  <w:style w:type="character" w:customStyle="1" w:styleId="WW8Num32z0">
    <w:name w:val="WW8Num32z0"/>
    <w:rsid w:val="007B3E41"/>
    <w:rPr>
      <w:rFonts w:hint="default"/>
    </w:rPr>
  </w:style>
  <w:style w:type="character" w:customStyle="1" w:styleId="WW8Num33z0">
    <w:name w:val="WW8Num33z0"/>
    <w:rsid w:val="007B3E41"/>
    <w:rPr>
      <w:rFonts w:hint="default"/>
      <w:sz w:val="24"/>
      <w:szCs w:val="24"/>
      <w:lang w:val="hr-HR"/>
    </w:rPr>
  </w:style>
  <w:style w:type="character" w:customStyle="1" w:styleId="WW8Num33z1">
    <w:name w:val="WW8Num33z1"/>
    <w:rsid w:val="007B3E41"/>
  </w:style>
  <w:style w:type="character" w:customStyle="1" w:styleId="WW8Num33z2">
    <w:name w:val="WW8Num33z2"/>
    <w:rsid w:val="007B3E41"/>
  </w:style>
  <w:style w:type="character" w:customStyle="1" w:styleId="WW8Num33z3">
    <w:name w:val="WW8Num33z3"/>
    <w:rsid w:val="007B3E41"/>
  </w:style>
  <w:style w:type="character" w:customStyle="1" w:styleId="WW8Num33z4">
    <w:name w:val="WW8Num33z4"/>
    <w:rsid w:val="007B3E41"/>
  </w:style>
  <w:style w:type="character" w:customStyle="1" w:styleId="WW8Num33z5">
    <w:name w:val="WW8Num33z5"/>
    <w:rsid w:val="007B3E41"/>
  </w:style>
  <w:style w:type="character" w:customStyle="1" w:styleId="WW8Num33z6">
    <w:name w:val="WW8Num33z6"/>
    <w:rsid w:val="007B3E41"/>
  </w:style>
  <w:style w:type="character" w:customStyle="1" w:styleId="WW8Num33z7">
    <w:name w:val="WW8Num33z7"/>
    <w:rsid w:val="007B3E41"/>
  </w:style>
  <w:style w:type="character" w:customStyle="1" w:styleId="WW8Num33z8">
    <w:name w:val="WW8Num33z8"/>
    <w:rsid w:val="007B3E41"/>
  </w:style>
  <w:style w:type="character" w:customStyle="1" w:styleId="WW8Num34z0">
    <w:name w:val="WW8Num34z0"/>
    <w:rsid w:val="007B3E41"/>
    <w:rPr>
      <w:rFonts w:hint="default"/>
    </w:rPr>
  </w:style>
  <w:style w:type="character" w:customStyle="1" w:styleId="WW8Num35z0">
    <w:name w:val="WW8Num35z0"/>
    <w:rsid w:val="007B3E41"/>
    <w:rPr>
      <w:rFonts w:hint="default"/>
    </w:rPr>
  </w:style>
  <w:style w:type="character" w:customStyle="1" w:styleId="Zadanifontodlomka1">
    <w:name w:val="Zadani font odlomka1"/>
    <w:rsid w:val="007B3E41"/>
  </w:style>
  <w:style w:type="character" w:customStyle="1" w:styleId="mkusm397d91">
    <w:name w:val="mkusm397d91"/>
    <w:rsid w:val="007B3E41"/>
    <w:rPr>
      <w:b w:val="0"/>
      <w:bCs w:val="0"/>
      <w:vanish w:val="0"/>
      <w:color w:val="009900"/>
      <w:u w:val="single"/>
    </w:rPr>
  </w:style>
  <w:style w:type="character" w:customStyle="1" w:styleId="mkusm397d92">
    <w:name w:val="mkusm397d92"/>
    <w:rsid w:val="007B3E41"/>
    <w:rPr>
      <w:b w:val="0"/>
      <w:bCs w:val="0"/>
      <w:vanish w:val="0"/>
      <w:color w:val="009900"/>
      <w:u w:val="single"/>
    </w:rPr>
  </w:style>
  <w:style w:type="character" w:customStyle="1" w:styleId="Tijeloteksta3Char">
    <w:name w:val="Tijelo teksta 3 Char"/>
    <w:uiPriority w:val="99"/>
    <w:rsid w:val="007B3E41"/>
    <w:rPr>
      <w:sz w:val="24"/>
    </w:rPr>
  </w:style>
  <w:style w:type="character" w:customStyle="1" w:styleId="tablepress-table-description">
    <w:name w:val="tablepress-table-description"/>
    <w:basedOn w:val="Zadanifontodlomka1"/>
    <w:rsid w:val="007B3E41"/>
  </w:style>
  <w:style w:type="paragraph" w:customStyle="1" w:styleId="Tijeloteksta31">
    <w:name w:val="Tijelo teksta 31"/>
    <w:basedOn w:val="Normal"/>
    <w:rsid w:val="007B3E41"/>
    <w:pPr>
      <w:suppressAutoHyphens/>
      <w:jc w:val="both"/>
    </w:pPr>
    <w:rPr>
      <w:noProof/>
      <w:szCs w:val="20"/>
      <w:lang w:eastAsia="zh-CN"/>
    </w:rPr>
  </w:style>
  <w:style w:type="paragraph" w:customStyle="1" w:styleId="Kartadokumenta1">
    <w:name w:val="Karta dokumenta1"/>
    <w:basedOn w:val="Normal"/>
    <w:rsid w:val="007B3E41"/>
    <w:pPr>
      <w:shd w:val="clear" w:color="auto" w:fill="000080"/>
      <w:suppressAutoHyphens/>
    </w:pPr>
    <w:rPr>
      <w:rFonts w:ascii="Tahoma" w:hAnsi="Tahoma" w:cs="Tahoma"/>
      <w:noProof/>
      <w:sz w:val="20"/>
      <w:szCs w:val="20"/>
      <w:lang w:val="en-AU" w:eastAsia="zh-CN"/>
    </w:rPr>
  </w:style>
  <w:style w:type="paragraph" w:customStyle="1" w:styleId="Sadrajitablice">
    <w:name w:val="Sadržaji tablice"/>
    <w:basedOn w:val="Normal"/>
    <w:rsid w:val="007B3E41"/>
    <w:pPr>
      <w:suppressLineNumbers/>
      <w:suppressAutoHyphens/>
    </w:pPr>
    <w:rPr>
      <w:noProof/>
      <w:sz w:val="20"/>
      <w:szCs w:val="20"/>
      <w:lang w:val="en-AU" w:eastAsia="zh-CN"/>
    </w:rPr>
  </w:style>
  <w:style w:type="paragraph" w:customStyle="1" w:styleId="Naslovtablice">
    <w:name w:val="Naslov tablice"/>
    <w:basedOn w:val="Sadrajitablice"/>
    <w:rsid w:val="007B3E41"/>
    <w:pPr>
      <w:jc w:val="center"/>
    </w:pPr>
    <w:rPr>
      <w:b/>
      <w:bCs/>
    </w:rPr>
  </w:style>
  <w:style w:type="paragraph" w:customStyle="1" w:styleId="Sadrajokvira">
    <w:name w:val="Sadržaj okvira"/>
    <w:basedOn w:val="Normal"/>
    <w:rsid w:val="007B3E41"/>
    <w:pPr>
      <w:suppressAutoHyphens/>
    </w:pPr>
    <w:rPr>
      <w:noProof/>
      <w:sz w:val="20"/>
      <w:szCs w:val="20"/>
      <w:lang w:val="en-AU" w:eastAsia="zh-CN"/>
    </w:rPr>
  </w:style>
  <w:style w:type="table" w:customStyle="1" w:styleId="Reetkatablice17">
    <w:name w:val="Rešetka tablice17"/>
    <w:basedOn w:val="Obinatablica"/>
    <w:next w:val="Reetkatablice"/>
    <w:uiPriority w:val="39"/>
    <w:rsid w:val="007B3E4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3">
    <w:name w:val="Body Text 3"/>
    <w:basedOn w:val="Normal"/>
    <w:link w:val="Tijeloteksta3Char1"/>
    <w:uiPriority w:val="99"/>
    <w:semiHidden/>
    <w:unhideWhenUsed/>
    <w:rsid w:val="007B3E41"/>
    <w:pPr>
      <w:suppressAutoHyphens/>
      <w:spacing w:after="120"/>
    </w:pPr>
    <w:rPr>
      <w:noProof/>
      <w:sz w:val="16"/>
      <w:szCs w:val="16"/>
      <w:lang w:val="en-AU" w:eastAsia="zh-CN"/>
    </w:rPr>
  </w:style>
  <w:style w:type="character" w:customStyle="1" w:styleId="Tijeloteksta3Char1">
    <w:name w:val="Tijelo teksta 3 Char1"/>
    <w:basedOn w:val="Zadanifontodlomka"/>
    <w:link w:val="Tijeloteksta3"/>
    <w:uiPriority w:val="99"/>
    <w:semiHidden/>
    <w:rsid w:val="007B3E41"/>
    <w:rPr>
      <w:rFonts w:ascii="Times New Roman" w:eastAsia="Times New Roman" w:hAnsi="Times New Roman" w:cs="Times New Roman"/>
      <w:noProof/>
      <w:kern w:val="0"/>
      <w:sz w:val="16"/>
      <w:szCs w:val="16"/>
      <w:lang w:val="en-AU" w:eastAsia="zh-CN"/>
      <w14:ligatures w14:val="none"/>
    </w:rPr>
  </w:style>
  <w:style w:type="paragraph" w:customStyle="1" w:styleId="Char">
    <w:name w:val="Char"/>
    <w:basedOn w:val="Normal"/>
    <w:rsid w:val="00166B00"/>
    <w:pPr>
      <w:spacing w:after="160" w:line="240" w:lineRule="exact"/>
    </w:pPr>
    <w:rPr>
      <w:rFonts w:ascii="Tahoma" w:hAnsi="Tahoma"/>
      <w:sz w:val="20"/>
      <w:szCs w:val="20"/>
      <w:lang w:val="en-US" w:eastAsia="en-US"/>
    </w:rPr>
  </w:style>
  <w:style w:type="paragraph" w:customStyle="1" w:styleId="xl65">
    <w:name w:val="xl65"/>
    <w:basedOn w:val="Normal"/>
    <w:rsid w:val="00CF2F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66">
    <w:name w:val="xl66"/>
    <w:basedOn w:val="Normal"/>
    <w:rsid w:val="00CF2FA2"/>
    <w:pPr>
      <w:spacing w:before="100" w:beforeAutospacing="1" w:after="100" w:afterAutospacing="1"/>
    </w:pPr>
    <w:rPr>
      <w:rFonts w:ascii="Arial" w:hAnsi="Arial" w:cs="Arial"/>
      <w:sz w:val="16"/>
      <w:szCs w:val="16"/>
    </w:rPr>
  </w:style>
  <w:style w:type="paragraph" w:customStyle="1" w:styleId="xl67">
    <w:name w:val="xl67"/>
    <w:basedOn w:val="Normal"/>
    <w:rsid w:val="00CF2FA2"/>
    <w:pPr>
      <w:spacing w:before="100" w:beforeAutospacing="1" w:after="100" w:afterAutospacing="1"/>
      <w:jc w:val="right"/>
    </w:pPr>
    <w:rPr>
      <w:rFonts w:ascii="Arial" w:hAnsi="Arial" w:cs="Arial"/>
      <w:sz w:val="16"/>
      <w:szCs w:val="16"/>
    </w:rPr>
  </w:style>
  <w:style w:type="paragraph" w:customStyle="1" w:styleId="xl68">
    <w:name w:val="xl68"/>
    <w:basedOn w:val="Normal"/>
    <w:rsid w:val="00CF2F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69">
    <w:name w:val="xl69"/>
    <w:basedOn w:val="Normal"/>
    <w:rsid w:val="00CF2F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6"/>
      <w:szCs w:val="16"/>
    </w:rPr>
  </w:style>
  <w:style w:type="paragraph" w:customStyle="1" w:styleId="xl70">
    <w:name w:val="xl70"/>
    <w:basedOn w:val="Normal"/>
    <w:rsid w:val="00CF2FA2"/>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pPr>
    <w:rPr>
      <w:rFonts w:ascii="Arial" w:hAnsi="Arial" w:cs="Arial"/>
      <w:b/>
      <w:bCs/>
      <w:color w:val="FFFFFF"/>
      <w:sz w:val="16"/>
      <w:szCs w:val="16"/>
    </w:rPr>
  </w:style>
  <w:style w:type="paragraph" w:customStyle="1" w:styleId="xl71">
    <w:name w:val="xl71"/>
    <w:basedOn w:val="Normal"/>
    <w:rsid w:val="00CF2FA2"/>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right"/>
    </w:pPr>
    <w:rPr>
      <w:rFonts w:ascii="Arial" w:hAnsi="Arial" w:cs="Arial"/>
      <w:b/>
      <w:bCs/>
      <w:color w:val="FFFFFF"/>
      <w:sz w:val="16"/>
      <w:szCs w:val="16"/>
    </w:rPr>
  </w:style>
  <w:style w:type="paragraph" w:customStyle="1" w:styleId="xl72">
    <w:name w:val="xl72"/>
    <w:basedOn w:val="Normal"/>
    <w:rsid w:val="00CF2FA2"/>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pPr>
    <w:rPr>
      <w:rFonts w:ascii="Arial" w:hAnsi="Arial" w:cs="Arial"/>
      <w:b/>
      <w:bCs/>
      <w:color w:val="FFFFFF"/>
      <w:sz w:val="16"/>
      <w:szCs w:val="16"/>
    </w:rPr>
  </w:style>
  <w:style w:type="paragraph" w:customStyle="1" w:styleId="xl73">
    <w:name w:val="xl73"/>
    <w:basedOn w:val="Normal"/>
    <w:rsid w:val="00CF2FA2"/>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jc w:val="right"/>
    </w:pPr>
    <w:rPr>
      <w:rFonts w:ascii="Arial" w:hAnsi="Arial" w:cs="Arial"/>
      <w:b/>
      <w:bCs/>
      <w:color w:val="FFFFFF"/>
      <w:sz w:val="16"/>
      <w:szCs w:val="16"/>
    </w:rPr>
  </w:style>
  <w:style w:type="paragraph" w:customStyle="1" w:styleId="xl74">
    <w:name w:val="xl74"/>
    <w:basedOn w:val="Normal"/>
    <w:rsid w:val="00CF2FA2"/>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pPr>
    <w:rPr>
      <w:rFonts w:ascii="Arial" w:hAnsi="Arial" w:cs="Arial"/>
      <w:b/>
      <w:bCs/>
      <w:color w:val="000000"/>
      <w:sz w:val="16"/>
      <w:szCs w:val="16"/>
    </w:rPr>
  </w:style>
  <w:style w:type="paragraph" w:customStyle="1" w:styleId="xl75">
    <w:name w:val="xl75"/>
    <w:basedOn w:val="Normal"/>
    <w:rsid w:val="00CF2FA2"/>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pPr>
    <w:rPr>
      <w:rFonts w:ascii="Arial" w:hAnsi="Arial" w:cs="Arial"/>
      <w:b/>
      <w:bCs/>
      <w:color w:val="000000"/>
      <w:sz w:val="16"/>
      <w:szCs w:val="16"/>
    </w:rPr>
  </w:style>
  <w:style w:type="paragraph" w:customStyle="1" w:styleId="xl76">
    <w:name w:val="xl76"/>
    <w:basedOn w:val="Normal"/>
    <w:rsid w:val="00CF2FA2"/>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jc w:val="right"/>
    </w:pPr>
    <w:rPr>
      <w:rFonts w:ascii="Arial" w:hAnsi="Arial" w:cs="Arial"/>
      <w:b/>
      <w:bCs/>
      <w:color w:val="000000"/>
      <w:sz w:val="16"/>
      <w:szCs w:val="16"/>
    </w:rPr>
  </w:style>
  <w:style w:type="paragraph" w:customStyle="1" w:styleId="xl77">
    <w:name w:val="xl77"/>
    <w:basedOn w:val="Normal"/>
    <w:rsid w:val="00CF2FA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pPr>
    <w:rPr>
      <w:rFonts w:ascii="Arial" w:hAnsi="Arial" w:cs="Arial"/>
      <w:b/>
      <w:bCs/>
      <w:color w:val="000000"/>
      <w:sz w:val="16"/>
      <w:szCs w:val="16"/>
    </w:rPr>
  </w:style>
  <w:style w:type="paragraph" w:customStyle="1" w:styleId="xl78">
    <w:name w:val="xl78"/>
    <w:basedOn w:val="Normal"/>
    <w:rsid w:val="00CF2FA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pPr>
    <w:rPr>
      <w:rFonts w:ascii="Arial" w:hAnsi="Arial" w:cs="Arial"/>
      <w:b/>
      <w:bCs/>
      <w:color w:val="000000"/>
      <w:sz w:val="16"/>
      <w:szCs w:val="16"/>
    </w:rPr>
  </w:style>
  <w:style w:type="paragraph" w:customStyle="1" w:styleId="xl79">
    <w:name w:val="xl79"/>
    <w:basedOn w:val="Normal"/>
    <w:rsid w:val="00CF2FA2"/>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right"/>
    </w:pPr>
    <w:rPr>
      <w:rFonts w:ascii="Arial" w:hAnsi="Arial" w:cs="Arial"/>
      <w:b/>
      <w:bCs/>
      <w:color w:val="000000"/>
      <w:sz w:val="16"/>
      <w:szCs w:val="16"/>
    </w:rPr>
  </w:style>
  <w:style w:type="paragraph" w:customStyle="1" w:styleId="xl80">
    <w:name w:val="xl80"/>
    <w:basedOn w:val="Normal"/>
    <w:rsid w:val="00CF2F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color w:val="000000"/>
      <w:sz w:val="16"/>
      <w:szCs w:val="16"/>
    </w:rPr>
  </w:style>
  <w:style w:type="paragraph" w:customStyle="1" w:styleId="xl81">
    <w:name w:val="xl81"/>
    <w:basedOn w:val="Normal"/>
    <w:rsid w:val="00CF2F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color w:val="000000"/>
      <w:sz w:val="16"/>
      <w:szCs w:val="16"/>
    </w:rPr>
  </w:style>
  <w:style w:type="paragraph" w:customStyle="1" w:styleId="xl82">
    <w:name w:val="xl82"/>
    <w:basedOn w:val="Normal"/>
    <w:rsid w:val="00CF2F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b/>
      <w:bCs/>
      <w:color w:val="000000"/>
      <w:sz w:val="16"/>
      <w:szCs w:val="16"/>
    </w:rPr>
  </w:style>
  <w:style w:type="paragraph" w:customStyle="1" w:styleId="xl83">
    <w:name w:val="xl83"/>
    <w:basedOn w:val="Normal"/>
    <w:rsid w:val="00CF2F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4">
    <w:name w:val="xl84"/>
    <w:basedOn w:val="Normal"/>
    <w:rsid w:val="00CF2F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5">
    <w:name w:val="xl85"/>
    <w:basedOn w:val="Normal"/>
    <w:rsid w:val="00CF2F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6">
    <w:name w:val="xl86"/>
    <w:basedOn w:val="Normal"/>
    <w:rsid w:val="00CF2F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87">
    <w:name w:val="xl87"/>
    <w:basedOn w:val="Normal"/>
    <w:rsid w:val="00CF2F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8">
    <w:name w:val="xl88"/>
    <w:basedOn w:val="Normal"/>
    <w:rsid w:val="00CF2FA2"/>
    <w:pPr>
      <w:pBdr>
        <w:top w:val="single" w:sz="4" w:space="0" w:color="auto"/>
        <w:left w:val="single" w:sz="4" w:space="0" w:color="auto"/>
        <w:bottom w:val="single" w:sz="4" w:space="0" w:color="auto"/>
      </w:pBdr>
      <w:shd w:val="clear" w:color="000000" w:fill="9999FF"/>
      <w:spacing w:before="100" w:beforeAutospacing="1" w:after="100" w:afterAutospacing="1"/>
    </w:pPr>
    <w:rPr>
      <w:rFonts w:ascii="Arial" w:hAnsi="Arial" w:cs="Arial"/>
      <w:b/>
      <w:bCs/>
      <w:color w:val="000000"/>
      <w:sz w:val="16"/>
      <w:szCs w:val="16"/>
    </w:rPr>
  </w:style>
  <w:style w:type="paragraph" w:customStyle="1" w:styleId="xl89">
    <w:name w:val="xl89"/>
    <w:basedOn w:val="Normal"/>
    <w:rsid w:val="00CF2FA2"/>
    <w:pPr>
      <w:pBdr>
        <w:top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Normal"/>
    <w:rsid w:val="00CF2FA2"/>
    <w:pPr>
      <w:pBdr>
        <w:top w:val="single" w:sz="4" w:space="0" w:color="auto"/>
        <w:left w:val="single" w:sz="4" w:space="0" w:color="auto"/>
        <w:bottom w:val="single" w:sz="4" w:space="0" w:color="auto"/>
      </w:pBdr>
      <w:shd w:val="clear" w:color="000000" w:fill="CCCCFF"/>
      <w:spacing w:before="100" w:beforeAutospacing="1" w:after="100" w:afterAutospacing="1"/>
    </w:pPr>
    <w:rPr>
      <w:rFonts w:ascii="Arial" w:hAnsi="Arial" w:cs="Arial"/>
      <w:b/>
      <w:bCs/>
      <w:color w:val="000000"/>
      <w:sz w:val="16"/>
      <w:szCs w:val="16"/>
    </w:rPr>
  </w:style>
  <w:style w:type="paragraph" w:customStyle="1" w:styleId="xl91">
    <w:name w:val="xl91"/>
    <w:basedOn w:val="Normal"/>
    <w:rsid w:val="00CF2FA2"/>
    <w:pPr>
      <w:pBdr>
        <w:top w:val="single" w:sz="4" w:space="0" w:color="auto"/>
        <w:left w:val="single" w:sz="4" w:space="0" w:color="auto"/>
        <w:bottom w:val="single" w:sz="4" w:space="0" w:color="auto"/>
      </w:pBdr>
      <w:shd w:val="clear" w:color="000000" w:fill="FFFF00"/>
      <w:spacing w:before="100" w:beforeAutospacing="1" w:after="100" w:afterAutospacing="1"/>
    </w:pPr>
    <w:rPr>
      <w:rFonts w:ascii="Arial" w:hAnsi="Arial" w:cs="Arial"/>
      <w:b/>
      <w:bCs/>
      <w:color w:val="000000"/>
      <w:sz w:val="16"/>
      <w:szCs w:val="16"/>
    </w:rPr>
  </w:style>
  <w:style w:type="paragraph" w:customStyle="1" w:styleId="xl92">
    <w:name w:val="xl92"/>
    <w:basedOn w:val="Normal"/>
    <w:rsid w:val="00CF2FA2"/>
    <w:pPr>
      <w:pBdr>
        <w:top w:val="single" w:sz="4" w:space="0" w:color="auto"/>
        <w:left w:val="single" w:sz="4" w:space="0" w:color="auto"/>
        <w:bottom w:val="single" w:sz="4" w:space="0" w:color="auto"/>
      </w:pBdr>
      <w:shd w:val="clear" w:color="000000" w:fill="000080"/>
      <w:spacing w:before="100" w:beforeAutospacing="1" w:after="100" w:afterAutospacing="1"/>
    </w:pPr>
    <w:rPr>
      <w:rFonts w:ascii="Arial" w:hAnsi="Arial" w:cs="Arial"/>
      <w:b/>
      <w:bCs/>
      <w:color w:val="FFFFFF"/>
      <w:sz w:val="16"/>
      <w:szCs w:val="16"/>
    </w:rPr>
  </w:style>
  <w:style w:type="paragraph" w:customStyle="1" w:styleId="xl93">
    <w:name w:val="xl93"/>
    <w:basedOn w:val="Normal"/>
    <w:rsid w:val="00CF2FA2"/>
    <w:pPr>
      <w:pBdr>
        <w:top w:val="single" w:sz="4" w:space="0" w:color="auto"/>
        <w:left w:val="single" w:sz="4" w:space="0" w:color="auto"/>
        <w:bottom w:val="single" w:sz="4" w:space="0" w:color="auto"/>
      </w:pBdr>
      <w:shd w:val="clear" w:color="000000" w:fill="0000FF"/>
      <w:spacing w:before="100" w:beforeAutospacing="1" w:after="100" w:afterAutospacing="1"/>
    </w:pPr>
    <w:rPr>
      <w:rFonts w:ascii="Arial" w:hAnsi="Arial" w:cs="Arial"/>
      <w:b/>
      <w:bCs/>
      <w:color w:val="FFFFFF"/>
      <w:sz w:val="16"/>
      <w:szCs w:val="16"/>
    </w:rPr>
  </w:style>
  <w:style w:type="paragraph" w:customStyle="1" w:styleId="xl94">
    <w:name w:val="xl94"/>
    <w:basedOn w:val="Normal"/>
    <w:rsid w:val="00CF2FA2"/>
    <w:pPr>
      <w:spacing w:before="100" w:beforeAutospacing="1" w:after="100" w:afterAutospacing="1"/>
      <w:jc w:val="center"/>
    </w:pPr>
    <w:rPr>
      <w:rFonts w:ascii="Arial" w:hAnsi="Arial" w:cs="Arial"/>
      <w:b/>
      <w:bCs/>
      <w:sz w:val="16"/>
      <w:szCs w:val="16"/>
    </w:rPr>
  </w:style>
  <w:style w:type="paragraph" w:customStyle="1" w:styleId="xl95">
    <w:name w:val="xl95"/>
    <w:basedOn w:val="Normal"/>
    <w:rsid w:val="00CF2FA2"/>
    <w:pPr>
      <w:spacing w:before="100" w:beforeAutospacing="1" w:after="100" w:afterAutospacing="1"/>
      <w:jc w:val="center"/>
    </w:pPr>
    <w:rPr>
      <w:rFonts w:ascii="Arial" w:hAnsi="Arial" w:cs="Arial"/>
      <w:b/>
      <w:bCs/>
    </w:rPr>
  </w:style>
  <w:style w:type="character" w:customStyle="1" w:styleId="apple-style-span">
    <w:name w:val="apple-style-span"/>
    <w:basedOn w:val="Zadanifontodlomka"/>
    <w:rsid w:val="00416D67"/>
  </w:style>
  <w:style w:type="paragraph" w:customStyle="1" w:styleId="xl96">
    <w:name w:val="xl96"/>
    <w:basedOn w:val="Normal"/>
    <w:rsid w:val="00416D67"/>
    <w:pPr>
      <w:pBdr>
        <w:right w:val="single" w:sz="4" w:space="0" w:color="auto"/>
      </w:pBdr>
      <w:spacing w:before="100" w:beforeAutospacing="1" w:after="100" w:afterAutospacing="1"/>
    </w:pPr>
    <w:rPr>
      <w:sz w:val="16"/>
      <w:szCs w:val="16"/>
    </w:rPr>
  </w:style>
  <w:style w:type="paragraph" w:customStyle="1" w:styleId="xl97">
    <w:name w:val="xl97"/>
    <w:basedOn w:val="Normal"/>
    <w:rsid w:val="00416D67"/>
    <w:pPr>
      <w:pBdr>
        <w:left w:val="single" w:sz="4" w:space="0" w:color="auto"/>
        <w:bottom w:val="single" w:sz="4" w:space="0" w:color="auto"/>
      </w:pBdr>
      <w:spacing w:before="100" w:beforeAutospacing="1" w:after="100" w:afterAutospacing="1"/>
    </w:pPr>
    <w:rPr>
      <w:sz w:val="16"/>
      <w:szCs w:val="16"/>
    </w:rPr>
  </w:style>
  <w:style w:type="paragraph" w:customStyle="1" w:styleId="xl98">
    <w:name w:val="xl98"/>
    <w:basedOn w:val="Normal"/>
    <w:rsid w:val="00416D67"/>
    <w:pPr>
      <w:pBdr>
        <w:bottom w:val="single" w:sz="4" w:space="0" w:color="auto"/>
        <w:right w:val="single" w:sz="4" w:space="0" w:color="auto"/>
      </w:pBdr>
      <w:spacing w:before="100" w:beforeAutospacing="1" w:after="100" w:afterAutospacing="1"/>
    </w:pPr>
    <w:rPr>
      <w:sz w:val="16"/>
      <w:szCs w:val="16"/>
    </w:rPr>
  </w:style>
  <w:style w:type="paragraph" w:customStyle="1" w:styleId="xl99">
    <w:name w:val="xl99"/>
    <w:basedOn w:val="Normal"/>
    <w:rsid w:val="00416D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0">
    <w:name w:val="xl100"/>
    <w:basedOn w:val="Normal"/>
    <w:rsid w:val="00416D6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1">
    <w:name w:val="xl101"/>
    <w:basedOn w:val="Normal"/>
    <w:rsid w:val="00416D67"/>
    <w:pPr>
      <w:spacing w:before="100" w:beforeAutospacing="1" w:after="100" w:afterAutospacing="1"/>
    </w:pPr>
    <w:rPr>
      <w:i/>
      <w:iCs/>
      <w:sz w:val="16"/>
      <w:szCs w:val="16"/>
    </w:rPr>
  </w:style>
  <w:style w:type="paragraph" w:customStyle="1" w:styleId="xl102">
    <w:name w:val="xl102"/>
    <w:basedOn w:val="Normal"/>
    <w:rsid w:val="00416D67"/>
    <w:pPr>
      <w:pBdr>
        <w:top w:val="single" w:sz="4" w:space="0" w:color="auto"/>
        <w:left w:val="single" w:sz="4" w:space="0" w:color="auto"/>
        <w:bottom w:val="single" w:sz="4" w:space="0" w:color="auto"/>
      </w:pBdr>
      <w:shd w:val="clear" w:color="000000" w:fill="9999FF"/>
      <w:spacing w:before="100" w:beforeAutospacing="1" w:after="100" w:afterAutospacing="1"/>
    </w:pPr>
    <w:rPr>
      <w:b/>
      <w:bCs/>
      <w:sz w:val="18"/>
      <w:szCs w:val="18"/>
    </w:rPr>
  </w:style>
  <w:style w:type="paragraph" w:styleId="Grafikeoznake2">
    <w:name w:val="List Bullet 2"/>
    <w:basedOn w:val="Normal"/>
    <w:uiPriority w:val="99"/>
    <w:semiHidden/>
    <w:unhideWhenUsed/>
    <w:rsid w:val="00416D67"/>
    <w:pPr>
      <w:numPr>
        <w:numId w:val="13"/>
      </w:numPr>
      <w:tabs>
        <w:tab w:val="clear" w:pos="643"/>
      </w:tabs>
      <w:ind w:left="0" w:firstLine="0"/>
    </w:pPr>
  </w:style>
  <w:style w:type="paragraph" w:styleId="Blokteksta">
    <w:name w:val="Block Text"/>
    <w:basedOn w:val="Normal"/>
    <w:uiPriority w:val="99"/>
    <w:semiHidden/>
    <w:unhideWhenUsed/>
    <w:rsid w:val="00416D67"/>
    <w:pPr>
      <w:ind w:left="360" w:right="-648"/>
    </w:pPr>
  </w:style>
  <w:style w:type="paragraph" w:styleId="Obinitekst">
    <w:name w:val="Plain Text"/>
    <w:basedOn w:val="Normal"/>
    <w:link w:val="ObinitekstChar"/>
    <w:uiPriority w:val="99"/>
    <w:semiHidden/>
    <w:unhideWhenUsed/>
    <w:rsid w:val="00416D67"/>
    <w:rPr>
      <w:rFonts w:ascii="Courier New" w:hAnsi="Courier New" w:cs="Courier New"/>
    </w:rPr>
  </w:style>
  <w:style w:type="character" w:customStyle="1" w:styleId="ObinitekstChar">
    <w:name w:val="Obični tekst Char"/>
    <w:basedOn w:val="Zadanifontodlomka"/>
    <w:link w:val="Obinitekst"/>
    <w:uiPriority w:val="99"/>
    <w:semiHidden/>
    <w:rsid w:val="00416D67"/>
    <w:rPr>
      <w:rFonts w:ascii="Courier New" w:eastAsia="Times New Roman" w:hAnsi="Courier New" w:cs="Courier New"/>
      <w:kern w:val="0"/>
      <w:sz w:val="24"/>
      <w:szCs w:val="24"/>
      <w:lang w:eastAsia="hr-HR"/>
      <w14:ligatures w14:val="none"/>
    </w:rPr>
  </w:style>
  <w:style w:type="paragraph" w:customStyle="1" w:styleId="T-98-2">
    <w:name w:val="T-9/8-2"/>
    <w:basedOn w:val="Normal"/>
    <w:uiPriority w:val="99"/>
    <w:rsid w:val="00416D67"/>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customStyle="1" w:styleId="xl32">
    <w:name w:val="xl32"/>
    <w:basedOn w:val="Normal"/>
    <w:uiPriority w:val="99"/>
    <w:rsid w:val="00416D67"/>
    <w:pPr>
      <w:spacing w:before="100" w:beforeAutospacing="1" w:after="100" w:afterAutospacing="1"/>
      <w:jc w:val="center"/>
    </w:pPr>
    <w:rPr>
      <w:rFonts w:eastAsia="Arial Unicode MS"/>
      <w:b/>
      <w:bCs/>
    </w:rPr>
  </w:style>
  <w:style w:type="paragraph" w:customStyle="1" w:styleId="Bezproreda1">
    <w:name w:val="Bez proreda1"/>
    <w:uiPriority w:val="99"/>
    <w:qFormat/>
    <w:rsid w:val="00416D67"/>
    <w:pPr>
      <w:spacing w:after="0" w:line="240" w:lineRule="auto"/>
    </w:pPr>
    <w:rPr>
      <w:rFonts w:ascii="Calibri" w:eastAsia="Calibri" w:hAnsi="Calibri" w:cs="Times New Roman"/>
      <w:kern w:val="0"/>
      <w14:ligatures w14:val="none"/>
    </w:rPr>
  </w:style>
  <w:style w:type="paragraph" w:customStyle="1" w:styleId="T7">
    <w:name w:val="T 7"/>
    <w:basedOn w:val="Normal"/>
    <w:uiPriority w:val="99"/>
    <w:rsid w:val="00416D67"/>
    <w:pPr>
      <w:keepNext/>
      <w:numPr>
        <w:numId w:val="14"/>
      </w:numPr>
      <w:tabs>
        <w:tab w:val="num" w:pos="360"/>
      </w:tabs>
      <w:spacing w:after="240"/>
      <w:ind w:left="0"/>
      <w:jc w:val="center"/>
    </w:pPr>
    <w:rPr>
      <w:rFonts w:ascii="Arial" w:hAnsi="Arial"/>
      <w:b/>
      <w:smallCaps/>
      <w:color w:val="FF9900"/>
      <w:lang w:eastAsia="en-US"/>
    </w:rPr>
  </w:style>
  <w:style w:type="paragraph" w:customStyle="1" w:styleId="T8">
    <w:name w:val="T 8"/>
    <w:basedOn w:val="Normal"/>
    <w:uiPriority w:val="99"/>
    <w:rsid w:val="00416D67"/>
    <w:pPr>
      <w:keepNext/>
      <w:numPr>
        <w:ilvl w:val="1"/>
        <w:numId w:val="14"/>
      </w:numPr>
      <w:tabs>
        <w:tab w:val="num" w:pos="360"/>
      </w:tabs>
      <w:spacing w:after="240"/>
      <w:ind w:left="0"/>
      <w:jc w:val="center"/>
    </w:pPr>
    <w:rPr>
      <w:rFonts w:ascii="Arial" w:hAnsi="Arial"/>
      <w:b/>
      <w:smallCaps/>
      <w:color w:val="FF9900"/>
      <w:sz w:val="22"/>
      <w:lang w:eastAsia="en-US"/>
    </w:rPr>
  </w:style>
  <w:style w:type="paragraph" w:customStyle="1" w:styleId="T9">
    <w:name w:val="T 9"/>
    <w:basedOn w:val="Normal"/>
    <w:uiPriority w:val="99"/>
    <w:rsid w:val="00416D67"/>
    <w:pPr>
      <w:keepNext/>
      <w:numPr>
        <w:ilvl w:val="2"/>
        <w:numId w:val="14"/>
      </w:numPr>
      <w:tabs>
        <w:tab w:val="num" w:pos="360"/>
      </w:tabs>
      <w:spacing w:after="240"/>
      <w:ind w:left="0"/>
      <w:jc w:val="center"/>
    </w:pPr>
    <w:rPr>
      <w:rFonts w:ascii="Arial" w:hAnsi="Arial"/>
      <w:b/>
      <w:smallCaps/>
      <w:color w:val="FF9900"/>
      <w:lang w:eastAsia="en-US"/>
    </w:rPr>
  </w:style>
  <w:style w:type="paragraph" w:customStyle="1" w:styleId="TI1">
    <w:name w:val="TI 1"/>
    <w:basedOn w:val="Normal"/>
    <w:next w:val="Normal"/>
    <w:uiPriority w:val="99"/>
    <w:rsid w:val="00416D67"/>
    <w:pPr>
      <w:keepNext/>
      <w:numPr>
        <w:ilvl w:val="3"/>
        <w:numId w:val="14"/>
      </w:numPr>
      <w:tabs>
        <w:tab w:val="num" w:pos="360"/>
      </w:tabs>
      <w:spacing w:after="240"/>
      <w:ind w:left="0"/>
      <w:jc w:val="center"/>
    </w:pPr>
    <w:rPr>
      <w:rFonts w:ascii="Arial" w:hAnsi="Arial"/>
      <w:b/>
      <w:bCs/>
      <w:caps/>
      <w:color w:val="0000FF"/>
      <w:sz w:val="32"/>
      <w:lang w:eastAsia="en-US"/>
    </w:rPr>
  </w:style>
  <w:style w:type="paragraph" w:customStyle="1" w:styleId="TI2">
    <w:name w:val="TI 2"/>
    <w:basedOn w:val="Normal"/>
    <w:next w:val="Normal"/>
    <w:uiPriority w:val="99"/>
    <w:rsid w:val="00416D67"/>
    <w:pPr>
      <w:keepNext/>
      <w:numPr>
        <w:ilvl w:val="4"/>
        <w:numId w:val="14"/>
      </w:numPr>
      <w:tabs>
        <w:tab w:val="num" w:pos="360"/>
      </w:tabs>
      <w:spacing w:after="240"/>
      <w:ind w:left="0"/>
      <w:jc w:val="center"/>
    </w:pPr>
    <w:rPr>
      <w:rFonts w:ascii="Arial" w:hAnsi="Arial"/>
      <w:b/>
      <w:bCs/>
      <w:caps/>
      <w:color w:val="0000FF"/>
      <w:sz w:val="30"/>
      <w:lang w:eastAsia="en-US"/>
    </w:rPr>
  </w:style>
  <w:style w:type="paragraph" w:customStyle="1" w:styleId="TI3">
    <w:name w:val="TI 3"/>
    <w:basedOn w:val="Normal"/>
    <w:next w:val="Normal"/>
    <w:uiPriority w:val="99"/>
    <w:rsid w:val="00416D67"/>
    <w:pPr>
      <w:keepNext/>
      <w:numPr>
        <w:ilvl w:val="5"/>
        <w:numId w:val="14"/>
      </w:numPr>
      <w:tabs>
        <w:tab w:val="num" w:pos="360"/>
      </w:tabs>
      <w:spacing w:after="240"/>
      <w:ind w:left="0"/>
      <w:jc w:val="center"/>
    </w:pPr>
    <w:rPr>
      <w:rFonts w:ascii="Arial" w:hAnsi="Arial"/>
      <w:b/>
      <w:bCs/>
      <w:caps/>
      <w:color w:val="0000FF"/>
      <w:sz w:val="30"/>
      <w:lang w:eastAsia="en-US"/>
    </w:rPr>
  </w:style>
  <w:style w:type="paragraph" w:customStyle="1" w:styleId="TI4">
    <w:name w:val="TI 4"/>
    <w:basedOn w:val="Normal"/>
    <w:next w:val="Normal"/>
    <w:uiPriority w:val="99"/>
    <w:rsid w:val="00416D67"/>
    <w:pPr>
      <w:keepNext/>
      <w:numPr>
        <w:ilvl w:val="6"/>
        <w:numId w:val="14"/>
      </w:numPr>
      <w:tabs>
        <w:tab w:val="num" w:pos="360"/>
      </w:tabs>
      <w:spacing w:after="240"/>
      <w:ind w:left="0"/>
      <w:jc w:val="center"/>
    </w:pPr>
    <w:rPr>
      <w:rFonts w:ascii="Arial" w:hAnsi="Arial"/>
      <w:b/>
      <w:bCs/>
      <w:caps/>
      <w:color w:val="0000FF"/>
      <w:sz w:val="28"/>
      <w:lang w:eastAsia="en-US"/>
    </w:rPr>
  </w:style>
  <w:style w:type="paragraph" w:customStyle="1" w:styleId="TI5">
    <w:name w:val="TI 5"/>
    <w:basedOn w:val="Normal"/>
    <w:next w:val="Normal"/>
    <w:uiPriority w:val="99"/>
    <w:rsid w:val="00416D67"/>
    <w:pPr>
      <w:keepNext/>
      <w:numPr>
        <w:ilvl w:val="7"/>
        <w:numId w:val="14"/>
      </w:numPr>
      <w:tabs>
        <w:tab w:val="num" w:pos="360"/>
      </w:tabs>
      <w:spacing w:after="240"/>
      <w:ind w:left="0"/>
      <w:jc w:val="center"/>
    </w:pPr>
    <w:rPr>
      <w:rFonts w:ascii="Arial" w:hAnsi="Arial"/>
      <w:b/>
      <w:bCs/>
      <w:caps/>
      <w:color w:val="0000FF"/>
      <w:sz w:val="26"/>
      <w:lang w:eastAsia="en-US"/>
    </w:rPr>
  </w:style>
  <w:style w:type="paragraph" w:customStyle="1" w:styleId="TI6">
    <w:name w:val="TI 6"/>
    <w:basedOn w:val="Normal"/>
    <w:next w:val="T7"/>
    <w:uiPriority w:val="99"/>
    <w:rsid w:val="00416D67"/>
    <w:pPr>
      <w:keepNext/>
      <w:numPr>
        <w:ilvl w:val="8"/>
        <w:numId w:val="14"/>
      </w:numPr>
      <w:tabs>
        <w:tab w:val="num" w:pos="360"/>
        <w:tab w:val="num" w:pos="2421"/>
      </w:tabs>
      <w:spacing w:after="240"/>
      <w:ind w:left="0"/>
      <w:jc w:val="center"/>
    </w:pPr>
    <w:rPr>
      <w:rFonts w:ascii="Arial" w:hAnsi="Arial"/>
      <w:b/>
      <w:bCs/>
      <w:caps/>
      <w:color w:val="0000FF"/>
      <w:lang w:eastAsia="en-US"/>
    </w:rPr>
  </w:style>
  <w:style w:type="character" w:customStyle="1" w:styleId="st1">
    <w:name w:val="st1"/>
    <w:rsid w:val="00416D67"/>
  </w:style>
  <w:style w:type="character" w:customStyle="1" w:styleId="a">
    <w:name w:val="a_"/>
    <w:rsid w:val="00416D67"/>
  </w:style>
  <w:style w:type="table" w:styleId="Tablicas3Defektima1">
    <w:name w:val="Table 3D effects 1"/>
    <w:basedOn w:val="Obinatablica"/>
    <w:semiHidden/>
    <w:unhideWhenUsed/>
    <w:rsid w:val="00416D67"/>
    <w:pPr>
      <w:overflowPunct w:val="0"/>
      <w:autoSpaceDE w:val="0"/>
      <w:autoSpaceDN w:val="0"/>
      <w:adjustRightInd w:val="0"/>
      <w:spacing w:after="0" w:line="240" w:lineRule="auto"/>
    </w:pPr>
    <w:rPr>
      <w:rFonts w:ascii="Times New Roman" w:eastAsia="Times New Roman" w:hAnsi="Times New Roman" w:cs="Times New Roman"/>
      <w:kern w:val="0"/>
      <w:sz w:val="20"/>
      <w:szCs w:val="20"/>
      <w:lang w:eastAsia="hr-HR"/>
      <w14:ligatures w14:val="none"/>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3">
    <w:name w:val="Table 3D effects 3"/>
    <w:basedOn w:val="Obinatablica"/>
    <w:semiHidden/>
    <w:unhideWhenUsed/>
    <w:rsid w:val="00416D67"/>
    <w:pPr>
      <w:overflowPunct w:val="0"/>
      <w:autoSpaceDE w:val="0"/>
      <w:autoSpaceDN w:val="0"/>
      <w:adjustRightInd w:val="0"/>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Reetkatablice18">
    <w:name w:val="Rešetka tablice18"/>
    <w:basedOn w:val="Obinatablica"/>
    <w:next w:val="Reetkatablice"/>
    <w:uiPriority w:val="39"/>
    <w:rsid w:val="00416D67"/>
    <w:pPr>
      <w:spacing w:after="0" w:line="240" w:lineRule="auto"/>
    </w:pPr>
    <w:rPr>
      <w:rFonts w:ascii="Times New Roman" w:eastAsia="Times New Roman" w:hAnsi="Times New Roman" w:cs="Times New Roman"/>
      <w:kern w:val="0"/>
      <w:sz w:val="20"/>
      <w:szCs w:val="20"/>
      <w:lang w:eastAsia="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kekvd">
    <w:name w:val="vkekvd"/>
    <w:rsid w:val="00416D67"/>
  </w:style>
  <w:style w:type="table" w:customStyle="1" w:styleId="Reetkatablice19">
    <w:name w:val="Rešetka tablice19"/>
    <w:basedOn w:val="Obinatablica"/>
    <w:next w:val="Reetkatablice"/>
    <w:uiPriority w:val="39"/>
    <w:rsid w:val="00416D67"/>
    <w:pPr>
      <w:spacing w:after="0" w:line="240" w:lineRule="auto"/>
    </w:pPr>
    <w:rPr>
      <w:rFonts w:ascii="Times New Roman" w:eastAsia="Times New Roman" w:hAnsi="Times New Roman" w:cs="Times New Roman"/>
      <w:kern w:val="0"/>
      <w:sz w:val="20"/>
      <w:szCs w:val="20"/>
      <w:lang w:eastAsia="hr-H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Obinatablica"/>
    <w:next w:val="Reetkatablice"/>
    <w:uiPriority w:val="59"/>
    <w:rsid w:val="00AC05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127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marcana@marcana.hr" TargetMode="External"/><Relationship Id="rId2" Type="http://schemas.openxmlformats.org/officeDocument/2006/relationships/numbering" Target="numbering.xml"/><Relationship Id="rId16" Type="http://schemas.openxmlformats.org/officeDocument/2006/relationships/hyperlink" Target="https://narodne-novine.nn.hr/clanci/sluzbeni/2024_04_44_764.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oleObject" Target="Knjiga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List1!$D$2</c:f>
              <c:strCache>
                <c:ptCount val="1"/>
                <c:pt idx="0">
                  <c:v>Ostvarenje 2024.</c:v>
                </c:pt>
              </c:strCache>
            </c:strRef>
          </c:tx>
          <c:invertIfNegative val="0"/>
          <c:cat>
            <c:strRef>
              <c:f>List1!$C$3:$C$13</c:f>
              <c:strCache>
                <c:ptCount val="11"/>
                <c:pt idx="0">
                  <c:v>1.PRIHODI</c:v>
                </c:pt>
                <c:pt idx="1">
                  <c:v>1.1.Prihodi poslovanja</c:v>
                </c:pt>
                <c:pt idx="2">
                  <c:v>1.2.Prihodi od prodaje nefinancijske imovine</c:v>
                </c:pt>
                <c:pt idx="3">
                  <c:v>1.3. Primici od financijske imovine i zaduživanja</c:v>
                </c:pt>
                <c:pt idx="4">
                  <c:v>2.RASHODI</c:v>
                </c:pt>
                <c:pt idx="5">
                  <c:v>2.1.Rashodi poslovanja</c:v>
                </c:pt>
                <c:pt idx="6">
                  <c:v>2.2.Rashodi za nabavu nefinancijske imovine</c:v>
                </c:pt>
                <c:pt idx="7">
                  <c:v>2.3. Izdaci za financijsku imovinu i otplate zajmova</c:v>
                </c:pt>
                <c:pt idx="8">
                  <c:v>3. MANJAK/VIŠAK TEKUĆA GODINA</c:v>
                </c:pt>
                <c:pt idx="9">
                  <c:v>4.MANJAK/VIŠAK PRETHODNIH GODINA</c:v>
                </c:pt>
                <c:pt idx="10">
                  <c:v>5.UKUPNI MANJAK /VIŠAK   31.12.</c:v>
                </c:pt>
              </c:strCache>
            </c:strRef>
          </c:cat>
          <c:val>
            <c:numRef>
              <c:f>List1!$D$3:$D$13</c:f>
              <c:numCache>
                <c:formatCode>#,##0.00</c:formatCode>
                <c:ptCount val="11"/>
                <c:pt idx="0">
                  <c:v>5816430.3700000001</c:v>
                </c:pt>
                <c:pt idx="1">
                  <c:v>5807544.3600000003</c:v>
                </c:pt>
                <c:pt idx="2">
                  <c:v>8886.01</c:v>
                </c:pt>
                <c:pt idx="3">
                  <c:v>0</c:v>
                </c:pt>
                <c:pt idx="4">
                  <c:v>5321693.8599999994</c:v>
                </c:pt>
                <c:pt idx="5">
                  <c:v>3423197.81</c:v>
                </c:pt>
                <c:pt idx="6">
                  <c:v>1827066.29</c:v>
                </c:pt>
                <c:pt idx="7">
                  <c:v>71429.759999999995</c:v>
                </c:pt>
                <c:pt idx="8">
                  <c:v>494736.51000000071</c:v>
                </c:pt>
                <c:pt idx="9">
                  <c:v>1252877.31</c:v>
                </c:pt>
                <c:pt idx="10">
                  <c:v>1747613.8200000008</c:v>
                </c:pt>
              </c:numCache>
            </c:numRef>
          </c:val>
          <c:extLst>
            <c:ext xmlns:c16="http://schemas.microsoft.com/office/drawing/2014/chart" uri="{C3380CC4-5D6E-409C-BE32-E72D297353CC}">
              <c16:uniqueId val="{00000000-5A5D-4214-AF41-ED6763E92A2D}"/>
            </c:ext>
          </c:extLst>
        </c:ser>
        <c:ser>
          <c:idx val="1"/>
          <c:order val="1"/>
          <c:tx>
            <c:strRef>
              <c:f>List1!$E$2</c:f>
              <c:strCache>
                <c:ptCount val="1"/>
                <c:pt idx="0">
                  <c:v>Plan 2025.</c:v>
                </c:pt>
              </c:strCache>
            </c:strRef>
          </c:tx>
          <c:invertIfNegative val="0"/>
          <c:cat>
            <c:strRef>
              <c:f>List1!$C$3:$C$13</c:f>
              <c:strCache>
                <c:ptCount val="11"/>
                <c:pt idx="0">
                  <c:v>1.PRIHODI</c:v>
                </c:pt>
                <c:pt idx="1">
                  <c:v>1.1.Prihodi poslovanja</c:v>
                </c:pt>
                <c:pt idx="2">
                  <c:v>1.2.Prihodi od prodaje nefinancijske imovine</c:v>
                </c:pt>
                <c:pt idx="3">
                  <c:v>1.3. Primici od financijske imovine i zaduživanja</c:v>
                </c:pt>
                <c:pt idx="4">
                  <c:v>2.RASHODI</c:v>
                </c:pt>
                <c:pt idx="5">
                  <c:v>2.1.Rashodi poslovanja</c:v>
                </c:pt>
                <c:pt idx="6">
                  <c:v>2.2.Rashodi za nabavu nefinancijske imovine</c:v>
                </c:pt>
                <c:pt idx="7">
                  <c:v>2.3. Izdaci za financijsku imovinu i otplate zajmova</c:v>
                </c:pt>
                <c:pt idx="8">
                  <c:v>3. MANJAK/VIŠAK TEKUĆA GODINA</c:v>
                </c:pt>
                <c:pt idx="9">
                  <c:v>4.MANJAK/VIŠAK PRETHODNIH GODINA</c:v>
                </c:pt>
                <c:pt idx="10">
                  <c:v>5.UKUPNI MANJAK /VIŠAK   31.12.</c:v>
                </c:pt>
              </c:strCache>
            </c:strRef>
          </c:cat>
          <c:val>
            <c:numRef>
              <c:f>List1!$E$3:$E$13</c:f>
              <c:numCache>
                <c:formatCode>#,##0.00</c:formatCode>
                <c:ptCount val="11"/>
                <c:pt idx="0">
                  <c:v>7416186.1799999997</c:v>
                </c:pt>
                <c:pt idx="1">
                  <c:v>5662816.1799999997</c:v>
                </c:pt>
                <c:pt idx="2">
                  <c:v>1683370</c:v>
                </c:pt>
                <c:pt idx="3">
                  <c:v>70000</c:v>
                </c:pt>
                <c:pt idx="4">
                  <c:v>9163800</c:v>
                </c:pt>
                <c:pt idx="5">
                  <c:v>5785441.4699999997</c:v>
                </c:pt>
                <c:pt idx="6">
                  <c:v>3111154.77</c:v>
                </c:pt>
                <c:pt idx="7">
                  <c:v>267203.76</c:v>
                </c:pt>
                <c:pt idx="8">
                  <c:v>-1747613.8200000003</c:v>
                </c:pt>
                <c:pt idx="9">
                  <c:v>1747613.8200000008</c:v>
                </c:pt>
                <c:pt idx="10">
                  <c:v>0</c:v>
                </c:pt>
              </c:numCache>
            </c:numRef>
          </c:val>
          <c:extLst>
            <c:ext xmlns:c16="http://schemas.microsoft.com/office/drawing/2014/chart" uri="{C3380CC4-5D6E-409C-BE32-E72D297353CC}">
              <c16:uniqueId val="{00000001-5A5D-4214-AF41-ED6763E92A2D}"/>
            </c:ext>
          </c:extLst>
        </c:ser>
        <c:ser>
          <c:idx val="2"/>
          <c:order val="2"/>
          <c:tx>
            <c:strRef>
              <c:f>List1!$F$2</c:f>
              <c:strCache>
                <c:ptCount val="1"/>
                <c:pt idx="0">
                  <c:v>Ostvarenje 2025.</c:v>
                </c:pt>
              </c:strCache>
            </c:strRef>
          </c:tx>
          <c:invertIfNegative val="0"/>
          <c:cat>
            <c:strRef>
              <c:f>List1!$C$3:$C$13</c:f>
              <c:strCache>
                <c:ptCount val="11"/>
                <c:pt idx="0">
                  <c:v>1.PRIHODI</c:v>
                </c:pt>
                <c:pt idx="1">
                  <c:v>1.1.Prihodi poslovanja</c:v>
                </c:pt>
                <c:pt idx="2">
                  <c:v>1.2.Prihodi od prodaje nefinancijske imovine</c:v>
                </c:pt>
                <c:pt idx="3">
                  <c:v>1.3. Primici od financijske imovine i zaduživanja</c:v>
                </c:pt>
                <c:pt idx="4">
                  <c:v>2.RASHODI</c:v>
                </c:pt>
                <c:pt idx="5">
                  <c:v>2.1.Rashodi poslovanja</c:v>
                </c:pt>
                <c:pt idx="6">
                  <c:v>2.2.Rashodi za nabavu nefinancijske imovine</c:v>
                </c:pt>
                <c:pt idx="7">
                  <c:v>2.3. Izdaci za financijsku imovinu i otplate zajmova</c:v>
                </c:pt>
                <c:pt idx="8">
                  <c:v>3. MANJAK/VIŠAK TEKUĆA GODINA</c:v>
                </c:pt>
                <c:pt idx="9">
                  <c:v>4.MANJAK/VIŠAK PRETHODNIH GODINA</c:v>
                </c:pt>
                <c:pt idx="10">
                  <c:v>5.UKUPNI MANJAK /VIŠAK   31.12.</c:v>
                </c:pt>
              </c:strCache>
            </c:strRef>
          </c:cat>
          <c:val>
            <c:numRef>
              <c:f>List1!$F$3:$F$13</c:f>
              <c:numCache>
                <c:formatCode>#,##0.00</c:formatCode>
                <c:ptCount val="11"/>
                <c:pt idx="0">
                  <c:v>7552638.8200000003</c:v>
                </c:pt>
                <c:pt idx="1">
                  <c:v>5877215.4199999999</c:v>
                </c:pt>
                <c:pt idx="2">
                  <c:v>1632646.65</c:v>
                </c:pt>
                <c:pt idx="3">
                  <c:v>42776.75</c:v>
                </c:pt>
                <c:pt idx="4">
                  <c:v>6587292.79</c:v>
                </c:pt>
                <c:pt idx="5">
                  <c:v>4187956.59</c:v>
                </c:pt>
                <c:pt idx="6">
                  <c:v>2172336.4900000002</c:v>
                </c:pt>
                <c:pt idx="7">
                  <c:v>226999.71</c:v>
                </c:pt>
                <c:pt idx="8">
                  <c:v>965346.03000000026</c:v>
                </c:pt>
                <c:pt idx="9">
                  <c:v>1744497.18</c:v>
                </c:pt>
                <c:pt idx="10">
                  <c:v>2709843.21</c:v>
                </c:pt>
              </c:numCache>
            </c:numRef>
          </c:val>
          <c:extLst>
            <c:ext xmlns:c16="http://schemas.microsoft.com/office/drawing/2014/chart" uri="{C3380CC4-5D6E-409C-BE32-E72D297353CC}">
              <c16:uniqueId val="{00000002-5A5D-4214-AF41-ED6763E92A2D}"/>
            </c:ext>
          </c:extLst>
        </c:ser>
        <c:dLbls>
          <c:showLegendKey val="0"/>
          <c:showVal val="0"/>
          <c:showCatName val="0"/>
          <c:showSerName val="0"/>
          <c:showPercent val="0"/>
          <c:showBubbleSize val="0"/>
        </c:dLbls>
        <c:gapWidth val="150"/>
        <c:shape val="box"/>
        <c:axId val="252943360"/>
        <c:axId val="288302208"/>
        <c:axId val="0"/>
      </c:bar3DChart>
      <c:catAx>
        <c:axId val="252943360"/>
        <c:scaling>
          <c:orientation val="minMax"/>
        </c:scaling>
        <c:delete val="0"/>
        <c:axPos val="b"/>
        <c:numFmt formatCode="General" sourceLinked="0"/>
        <c:majorTickMark val="out"/>
        <c:minorTickMark val="none"/>
        <c:tickLblPos val="nextTo"/>
        <c:crossAx val="288302208"/>
        <c:crosses val="autoZero"/>
        <c:auto val="1"/>
        <c:lblAlgn val="ctr"/>
        <c:lblOffset val="100"/>
        <c:noMultiLvlLbl val="0"/>
      </c:catAx>
      <c:valAx>
        <c:axId val="288302208"/>
        <c:scaling>
          <c:orientation val="minMax"/>
        </c:scaling>
        <c:delete val="0"/>
        <c:axPos val="l"/>
        <c:majorGridlines/>
        <c:numFmt formatCode="#,##0.00" sourceLinked="1"/>
        <c:majorTickMark val="out"/>
        <c:minorTickMark val="none"/>
        <c:tickLblPos val="nextTo"/>
        <c:crossAx val="252943360"/>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B1F19-672B-4B1B-87C4-AEEF5FF1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104</Pages>
  <Words>40002</Words>
  <Characters>255213</Characters>
  <Application>Microsoft Office Word</Application>
  <DocSecurity>0</DocSecurity>
  <Lines>17014</Lines>
  <Paragraphs>14057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KorisnikW11</dc:creator>
  <cp:keywords/>
  <dc:description/>
  <cp:lastModifiedBy>Aleksander Gaberscek Via Sancti Jacobi</cp:lastModifiedBy>
  <cp:revision>13</cp:revision>
  <dcterms:created xsi:type="dcterms:W3CDTF">2026-05-28T06:18:00Z</dcterms:created>
  <dcterms:modified xsi:type="dcterms:W3CDTF">2026-05-29T08:13:00Z</dcterms:modified>
</cp:coreProperties>
</file>